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2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BBBE5" w14:textId="6F251DC8" w:rsidR="00920C84" w:rsidRPr="002D46D6" w:rsidRDefault="00D94F46" w:rsidP="00920C84">
      <w:pPr>
        <w:spacing w:line="20" w:lineRule="atLeast"/>
        <w:jc w:val="center"/>
        <w:outlineLvl w:val="0"/>
        <w:rPr>
          <w:rFonts w:ascii="Garamond" w:hAnsi="Garamond"/>
          <w:b/>
          <w:color w:val="000080"/>
          <w:sz w:val="144"/>
          <w:szCs w:val="144"/>
        </w:rPr>
      </w:pPr>
      <w:bookmarkStart w:id="0" w:name="_GoBack"/>
      <w:bookmarkEnd w:id="0"/>
      <w:r>
        <w:rPr>
          <w:rFonts w:ascii="Garamond" w:hAnsi="Garamond"/>
          <w:b/>
          <w:color w:val="000080"/>
          <w:sz w:val="144"/>
          <w:szCs w:val="144"/>
        </w:rPr>
        <w:t xml:space="preserve"> </w:t>
      </w:r>
      <w:r w:rsidR="00920C84" w:rsidRPr="002D46D6">
        <w:rPr>
          <w:rFonts w:ascii="Garamond" w:hAnsi="Garamond"/>
          <w:b/>
          <w:color w:val="000080"/>
          <w:sz w:val="144"/>
          <w:szCs w:val="144"/>
        </w:rPr>
        <w:t>SEBI</w:t>
      </w:r>
    </w:p>
    <w:p w14:paraId="219421C0" w14:textId="77777777" w:rsidR="00920C84" w:rsidRPr="002D46D6" w:rsidRDefault="00920C84" w:rsidP="00920C84">
      <w:pPr>
        <w:spacing w:line="20" w:lineRule="atLeast"/>
        <w:jc w:val="center"/>
        <w:outlineLvl w:val="0"/>
        <w:rPr>
          <w:rFonts w:ascii="Garamond" w:hAnsi="Garamond"/>
          <w:b/>
          <w:color w:val="000080"/>
          <w:sz w:val="56"/>
          <w:szCs w:val="56"/>
        </w:rPr>
      </w:pPr>
      <w:r w:rsidRPr="002D46D6">
        <w:rPr>
          <w:rFonts w:ascii="Garamond" w:hAnsi="Garamond"/>
          <w:b/>
          <w:color w:val="000080"/>
          <w:sz w:val="56"/>
          <w:szCs w:val="56"/>
        </w:rPr>
        <w:t>BULLETIN</w:t>
      </w:r>
    </w:p>
    <w:p w14:paraId="4ADF8942" w14:textId="77777777" w:rsidR="00920C84" w:rsidRPr="002D46D6" w:rsidRDefault="00920C84" w:rsidP="00920C84">
      <w:pPr>
        <w:spacing w:line="20" w:lineRule="atLeast"/>
        <w:jc w:val="center"/>
        <w:rPr>
          <w:rFonts w:ascii="Garamond" w:hAnsi="Garamond"/>
          <w:b/>
          <w:color w:val="000080"/>
        </w:rPr>
      </w:pPr>
    </w:p>
    <w:p w14:paraId="7CA17FE4" w14:textId="77777777" w:rsidR="00920C84" w:rsidRPr="002D46D6" w:rsidRDefault="00920C84" w:rsidP="00920C84">
      <w:pPr>
        <w:spacing w:line="20" w:lineRule="atLeast"/>
        <w:jc w:val="center"/>
        <w:rPr>
          <w:rFonts w:ascii="Garamond" w:hAnsi="Garamond"/>
          <w:b/>
          <w:color w:val="000080"/>
        </w:rPr>
      </w:pPr>
    </w:p>
    <w:p w14:paraId="5AB442A4" w14:textId="77777777" w:rsidR="00920C84" w:rsidRPr="002D46D6" w:rsidRDefault="00C76896" w:rsidP="00920C84">
      <w:pPr>
        <w:spacing w:line="20" w:lineRule="atLeast"/>
        <w:jc w:val="center"/>
        <w:rPr>
          <w:rFonts w:ascii="Garamond" w:hAnsi="Garamond"/>
          <w:b/>
          <w:color w:val="FF0000"/>
          <w:sz w:val="28"/>
          <w:szCs w:val="28"/>
        </w:rPr>
      </w:pPr>
      <w:r>
        <w:rPr>
          <w:rFonts w:ascii="Garamond" w:hAnsi="Garamond"/>
          <w:b/>
          <w:color w:val="000080"/>
          <w:sz w:val="28"/>
          <w:szCs w:val="28"/>
        </w:rPr>
        <w:t>October</w:t>
      </w:r>
      <w:r w:rsidR="00151C67" w:rsidRPr="002D46D6">
        <w:rPr>
          <w:rFonts w:ascii="Garamond" w:hAnsi="Garamond"/>
          <w:b/>
          <w:color w:val="000080"/>
          <w:sz w:val="28"/>
          <w:szCs w:val="28"/>
        </w:rPr>
        <w:t xml:space="preserve"> 2018</w:t>
      </w:r>
      <w:r w:rsidR="00920C84" w:rsidRPr="002D46D6">
        <w:rPr>
          <w:rFonts w:ascii="Garamond" w:hAnsi="Garamond"/>
          <w:b/>
          <w:color w:val="000080"/>
          <w:sz w:val="28"/>
          <w:szCs w:val="28"/>
        </w:rPr>
        <w:t xml:space="preserve">   VOL. 16</w:t>
      </w:r>
      <w:r w:rsidR="00920C84" w:rsidRPr="002D46D6">
        <w:rPr>
          <w:rFonts w:ascii="Garamond" w:hAnsi="Garamond"/>
          <w:b/>
          <w:color w:val="000080"/>
          <w:sz w:val="28"/>
          <w:szCs w:val="28"/>
        </w:rPr>
        <w:tab/>
        <w:t xml:space="preserve">  </w:t>
      </w:r>
      <w:r w:rsidR="00992888" w:rsidRPr="002D46D6">
        <w:rPr>
          <w:rFonts w:ascii="Garamond" w:hAnsi="Garamond"/>
          <w:b/>
          <w:color w:val="FF0000"/>
          <w:sz w:val="28"/>
          <w:szCs w:val="28"/>
        </w:rPr>
        <w:t xml:space="preserve">NUMBER </w:t>
      </w:r>
      <w:r>
        <w:rPr>
          <w:rFonts w:ascii="Garamond" w:hAnsi="Garamond"/>
          <w:b/>
          <w:color w:val="FF0000"/>
          <w:sz w:val="28"/>
          <w:szCs w:val="28"/>
        </w:rPr>
        <w:t>10</w:t>
      </w:r>
    </w:p>
    <w:p w14:paraId="506D6E4F" w14:textId="77777777" w:rsidR="00920C84" w:rsidRPr="002D46D6" w:rsidRDefault="00920C84" w:rsidP="00920C84">
      <w:pPr>
        <w:spacing w:line="20" w:lineRule="atLeast"/>
        <w:jc w:val="center"/>
        <w:rPr>
          <w:rFonts w:ascii="Garamond" w:hAnsi="Garamond"/>
          <w:b/>
          <w:color w:val="000080"/>
        </w:rPr>
      </w:pPr>
    </w:p>
    <w:p w14:paraId="112DB9A6" w14:textId="77777777" w:rsidR="00920C84" w:rsidRPr="002D46D6" w:rsidRDefault="00920C84" w:rsidP="00920C84">
      <w:pPr>
        <w:spacing w:line="20" w:lineRule="atLeast"/>
        <w:jc w:val="center"/>
        <w:rPr>
          <w:rFonts w:ascii="Garamond" w:hAnsi="Garamond"/>
          <w:b/>
          <w:color w:val="000080"/>
        </w:rPr>
      </w:pPr>
    </w:p>
    <w:p w14:paraId="2237CCD4" w14:textId="77777777" w:rsidR="00920C84" w:rsidRPr="002D46D6" w:rsidRDefault="00920C84" w:rsidP="00920C84">
      <w:pPr>
        <w:spacing w:line="20" w:lineRule="atLeast"/>
        <w:jc w:val="center"/>
        <w:rPr>
          <w:rFonts w:ascii="Garamond" w:hAnsi="Garamond"/>
          <w:b/>
          <w:color w:val="000080"/>
        </w:rPr>
      </w:pPr>
    </w:p>
    <w:p w14:paraId="51B9AB58" w14:textId="77777777" w:rsidR="00920C84" w:rsidRPr="002D46D6" w:rsidRDefault="00920C84" w:rsidP="00920C84">
      <w:pPr>
        <w:spacing w:line="20" w:lineRule="atLeast"/>
        <w:jc w:val="center"/>
        <w:rPr>
          <w:rFonts w:ascii="Garamond" w:hAnsi="Garamond"/>
          <w:b/>
          <w:color w:val="000080"/>
        </w:rPr>
      </w:pPr>
    </w:p>
    <w:p w14:paraId="5AEF3000" w14:textId="77777777" w:rsidR="00920C84" w:rsidRPr="002D46D6" w:rsidRDefault="00920C84" w:rsidP="00920C84">
      <w:pPr>
        <w:spacing w:line="20" w:lineRule="atLeast"/>
        <w:jc w:val="center"/>
        <w:rPr>
          <w:rFonts w:ascii="Garamond" w:hAnsi="Garamond"/>
          <w:b/>
          <w:color w:val="000080"/>
        </w:rPr>
      </w:pPr>
    </w:p>
    <w:p w14:paraId="25115275" w14:textId="77777777" w:rsidR="00920C84" w:rsidRPr="002D46D6" w:rsidRDefault="00920C84" w:rsidP="00920C84">
      <w:pPr>
        <w:spacing w:line="20" w:lineRule="atLeast"/>
        <w:jc w:val="center"/>
        <w:rPr>
          <w:rFonts w:ascii="Garamond" w:hAnsi="Garamond"/>
          <w:b/>
          <w:color w:val="000080"/>
        </w:rPr>
      </w:pPr>
    </w:p>
    <w:p w14:paraId="24951FE8" w14:textId="77777777" w:rsidR="00920C84" w:rsidRPr="002D46D6" w:rsidRDefault="00920C84" w:rsidP="00920C84">
      <w:pPr>
        <w:spacing w:line="20" w:lineRule="atLeast"/>
        <w:jc w:val="center"/>
        <w:rPr>
          <w:rFonts w:ascii="Garamond" w:hAnsi="Garamond"/>
          <w:b/>
          <w:color w:val="000080"/>
        </w:rPr>
      </w:pPr>
    </w:p>
    <w:p w14:paraId="07F5D31D" w14:textId="77777777" w:rsidR="00920C84" w:rsidRPr="002D46D6" w:rsidRDefault="00920C84" w:rsidP="00920C84">
      <w:pPr>
        <w:spacing w:line="20" w:lineRule="atLeast"/>
        <w:jc w:val="center"/>
        <w:rPr>
          <w:rFonts w:ascii="Garamond" w:hAnsi="Garamond"/>
          <w:b/>
          <w:color w:val="000080"/>
        </w:rPr>
      </w:pPr>
      <w:r w:rsidRPr="002D46D6">
        <w:rPr>
          <w:rFonts w:ascii="Garamond" w:hAnsi="Garamond"/>
          <w:b/>
          <w:color w:val="000080"/>
        </w:rPr>
        <w:t>(LOGO)</w:t>
      </w:r>
    </w:p>
    <w:p w14:paraId="7CB0AC1D" w14:textId="77777777" w:rsidR="00920C84" w:rsidRPr="002D46D6" w:rsidRDefault="00920C84" w:rsidP="00920C84">
      <w:pPr>
        <w:spacing w:line="20" w:lineRule="atLeast"/>
        <w:jc w:val="center"/>
        <w:rPr>
          <w:rFonts w:ascii="Garamond" w:hAnsi="Garamond"/>
          <w:b/>
          <w:color w:val="000080"/>
        </w:rPr>
      </w:pPr>
    </w:p>
    <w:p w14:paraId="20C7D7A9" w14:textId="77777777" w:rsidR="00920C84" w:rsidRPr="002D46D6" w:rsidRDefault="00920C84" w:rsidP="00920C84">
      <w:pPr>
        <w:spacing w:line="20" w:lineRule="atLeast"/>
        <w:jc w:val="center"/>
        <w:rPr>
          <w:rFonts w:ascii="Garamond" w:hAnsi="Garamond"/>
          <w:b/>
          <w:color w:val="000080"/>
        </w:rPr>
      </w:pPr>
    </w:p>
    <w:p w14:paraId="2DA94371" w14:textId="77777777" w:rsidR="00920C84" w:rsidRPr="002D46D6" w:rsidRDefault="00920C84" w:rsidP="00920C84">
      <w:pPr>
        <w:spacing w:line="20" w:lineRule="atLeast"/>
        <w:jc w:val="center"/>
        <w:rPr>
          <w:rFonts w:ascii="Garamond" w:hAnsi="Garamond"/>
          <w:b/>
          <w:color w:val="000080"/>
        </w:rPr>
      </w:pPr>
    </w:p>
    <w:p w14:paraId="518CFFBF" w14:textId="77777777" w:rsidR="00920C84" w:rsidRPr="002D46D6" w:rsidRDefault="00920C84" w:rsidP="00920C84">
      <w:pPr>
        <w:spacing w:line="20" w:lineRule="atLeast"/>
        <w:jc w:val="center"/>
        <w:rPr>
          <w:rFonts w:ascii="Garamond" w:hAnsi="Garamond"/>
          <w:b/>
          <w:color w:val="000080"/>
        </w:rPr>
      </w:pPr>
    </w:p>
    <w:p w14:paraId="293C16FC" w14:textId="77777777" w:rsidR="00920C84" w:rsidRPr="002D46D6" w:rsidRDefault="00920C84" w:rsidP="00920C84">
      <w:pPr>
        <w:rPr>
          <w:rFonts w:ascii="Garamond" w:hAnsi="Garamond"/>
          <w:b/>
          <w:color w:val="000080"/>
        </w:rPr>
      </w:pPr>
      <w:r w:rsidRPr="002D46D6">
        <w:rPr>
          <w:rFonts w:ascii="Garamond" w:hAnsi="Garamond"/>
          <w:b/>
          <w:color w:val="000080"/>
        </w:rPr>
        <w:br w:type="page"/>
      </w:r>
    </w:p>
    <w:p w14:paraId="014A77CD" w14:textId="77777777" w:rsidR="00920C84" w:rsidRPr="002D46D6" w:rsidRDefault="00920C84" w:rsidP="00920C84">
      <w:pPr>
        <w:spacing w:line="20" w:lineRule="atLeast"/>
        <w:jc w:val="center"/>
        <w:rPr>
          <w:rFonts w:ascii="Garamond" w:hAnsi="Garamond"/>
          <w:b/>
          <w:color w:val="000080"/>
        </w:rPr>
      </w:pPr>
    </w:p>
    <w:p w14:paraId="20E29412" w14:textId="77777777" w:rsidR="00920C84" w:rsidRPr="002D46D6" w:rsidRDefault="00920C84" w:rsidP="00920C84">
      <w:pPr>
        <w:spacing w:line="20" w:lineRule="atLeast"/>
        <w:jc w:val="center"/>
        <w:rPr>
          <w:rFonts w:ascii="Garamond" w:hAnsi="Garamond"/>
          <w:b/>
          <w:color w:val="000080"/>
        </w:rPr>
      </w:pPr>
    </w:p>
    <w:p w14:paraId="2F572A8B" w14:textId="77777777" w:rsidR="00920C84" w:rsidRPr="002D46D6" w:rsidRDefault="00920C84" w:rsidP="00920C84">
      <w:pPr>
        <w:spacing w:line="20" w:lineRule="atLeast"/>
        <w:jc w:val="center"/>
        <w:rPr>
          <w:rFonts w:ascii="Garamond" w:hAnsi="Garamond"/>
          <w:b/>
          <w:color w:val="000080"/>
        </w:rPr>
      </w:pPr>
    </w:p>
    <w:p w14:paraId="3E07D7B9" w14:textId="77777777" w:rsidR="00920C84" w:rsidRPr="002D46D6" w:rsidRDefault="00920C84" w:rsidP="00920C84">
      <w:pPr>
        <w:spacing w:line="20" w:lineRule="atLeast"/>
        <w:jc w:val="center"/>
        <w:rPr>
          <w:rFonts w:ascii="Garamond" w:hAnsi="Garamond"/>
          <w:b/>
          <w:color w:val="000080"/>
        </w:rPr>
      </w:pPr>
    </w:p>
    <w:p w14:paraId="4DEB9F66" w14:textId="77777777" w:rsidR="00920C84" w:rsidRPr="002D46D6" w:rsidRDefault="00920C84" w:rsidP="00920C84">
      <w:pPr>
        <w:spacing w:line="20" w:lineRule="atLeast"/>
        <w:jc w:val="center"/>
        <w:rPr>
          <w:rFonts w:ascii="Garamond" w:hAnsi="Garamond"/>
          <w:b/>
          <w:color w:val="000080"/>
        </w:rPr>
      </w:pPr>
    </w:p>
    <w:p w14:paraId="634EDD46" w14:textId="77777777" w:rsidR="00920C84" w:rsidRPr="002D46D6" w:rsidRDefault="00920C84" w:rsidP="00920C84">
      <w:pPr>
        <w:spacing w:line="20" w:lineRule="atLeast"/>
        <w:jc w:val="center"/>
        <w:rPr>
          <w:rFonts w:ascii="Garamond" w:hAnsi="Garamond"/>
          <w:b/>
          <w:color w:val="000080"/>
        </w:rPr>
      </w:pPr>
    </w:p>
    <w:p w14:paraId="638BC2BC" w14:textId="77777777" w:rsidR="00920C84" w:rsidRPr="002D46D6" w:rsidRDefault="00920C84" w:rsidP="00920C84">
      <w:pPr>
        <w:spacing w:line="20" w:lineRule="atLeast"/>
        <w:rPr>
          <w:rFonts w:ascii="Garamond" w:hAnsi="Garamond"/>
          <w:b/>
          <w:color w:val="000080"/>
        </w:rPr>
      </w:pPr>
    </w:p>
    <w:p w14:paraId="03BA8D41" w14:textId="77777777" w:rsidR="00920C84" w:rsidRPr="002D46D6" w:rsidRDefault="00920C84" w:rsidP="00920C84">
      <w:pPr>
        <w:spacing w:line="20" w:lineRule="atLeast"/>
        <w:jc w:val="center"/>
        <w:rPr>
          <w:rFonts w:ascii="Garamond" w:hAnsi="Garamond"/>
          <w:b/>
          <w:color w:val="000080"/>
        </w:rPr>
      </w:pPr>
      <w:r w:rsidRPr="002D46D6">
        <w:rPr>
          <w:rFonts w:ascii="Garamond" w:hAnsi="Garamond"/>
          <w:b/>
          <w:color w:val="000080"/>
        </w:rPr>
        <w:t>SECURITIES AND EXCHANGE BOARD OF INDIA</w:t>
      </w:r>
    </w:p>
    <w:p w14:paraId="26C999C2" w14:textId="77777777" w:rsidR="00920C84" w:rsidRPr="002D46D6" w:rsidRDefault="00920C84" w:rsidP="00920C84">
      <w:pPr>
        <w:spacing w:line="20" w:lineRule="atLeast"/>
        <w:jc w:val="both"/>
        <w:rPr>
          <w:rFonts w:ascii="Garamond" w:hAnsi="Garamond"/>
          <w:color w:val="FF0000"/>
        </w:rPr>
      </w:pPr>
    </w:p>
    <w:p w14:paraId="1F1C6239" w14:textId="77777777" w:rsidR="00920C84" w:rsidRPr="002D46D6" w:rsidRDefault="00920C84" w:rsidP="00920C84">
      <w:pPr>
        <w:spacing w:line="20" w:lineRule="atLeast"/>
        <w:rPr>
          <w:rFonts w:ascii="Garamond" w:hAnsi="Garamond"/>
          <w:b/>
        </w:rPr>
      </w:pPr>
      <w:r w:rsidRPr="002D46D6">
        <w:rPr>
          <w:rFonts w:ascii="Garamond" w:hAnsi="Garamond"/>
          <w:b/>
        </w:rPr>
        <w:t xml:space="preserve">EDITORIAL COMMITTEE </w:t>
      </w:r>
    </w:p>
    <w:p w14:paraId="1EF0E7C5" w14:textId="77777777" w:rsidR="00920C84" w:rsidRPr="002D46D6" w:rsidRDefault="00920C84" w:rsidP="00920C84">
      <w:pPr>
        <w:spacing w:line="20" w:lineRule="atLeast"/>
        <w:jc w:val="both"/>
        <w:outlineLvl w:val="0"/>
        <w:rPr>
          <w:rFonts w:ascii="Garamond" w:hAnsi="Garamond"/>
          <w:b/>
        </w:rPr>
      </w:pPr>
      <w:r w:rsidRPr="002D46D6">
        <w:rPr>
          <w:rFonts w:ascii="Garamond" w:hAnsi="Garamond"/>
          <w:b/>
        </w:rPr>
        <w:t xml:space="preserve">Mr. </w:t>
      </w:r>
      <w:r w:rsidR="006969B4" w:rsidRPr="002D46D6">
        <w:rPr>
          <w:rFonts w:ascii="Garamond" w:hAnsi="Garamond"/>
          <w:b/>
        </w:rPr>
        <w:t>Amarjeet Singh</w:t>
      </w:r>
    </w:p>
    <w:p w14:paraId="1AF839D9" w14:textId="77777777" w:rsidR="00920C84" w:rsidRPr="002D46D6" w:rsidRDefault="00920C84" w:rsidP="00920C84">
      <w:pPr>
        <w:spacing w:line="20" w:lineRule="atLeast"/>
        <w:jc w:val="both"/>
        <w:outlineLvl w:val="0"/>
        <w:rPr>
          <w:rFonts w:ascii="Garamond" w:hAnsi="Garamond"/>
          <w:b/>
        </w:rPr>
      </w:pPr>
      <w:r w:rsidRPr="002D46D6">
        <w:rPr>
          <w:rFonts w:ascii="Garamond" w:hAnsi="Garamond"/>
          <w:b/>
        </w:rPr>
        <w:t xml:space="preserve">Mr. </w:t>
      </w:r>
      <w:r w:rsidR="006969B4" w:rsidRPr="002D46D6">
        <w:rPr>
          <w:rFonts w:ascii="Garamond" w:hAnsi="Garamond"/>
          <w:b/>
        </w:rPr>
        <w:t>Prabhakar R. Patil</w:t>
      </w:r>
    </w:p>
    <w:p w14:paraId="3FD00609" w14:textId="77777777" w:rsidR="00A77112" w:rsidRPr="002D46D6" w:rsidRDefault="00A77112" w:rsidP="00920C84">
      <w:pPr>
        <w:spacing w:line="20" w:lineRule="atLeast"/>
        <w:jc w:val="both"/>
        <w:outlineLvl w:val="0"/>
        <w:rPr>
          <w:rFonts w:ascii="Garamond" w:hAnsi="Garamond"/>
          <w:b/>
        </w:rPr>
      </w:pPr>
      <w:r w:rsidRPr="002D46D6">
        <w:rPr>
          <w:rFonts w:ascii="Garamond" w:hAnsi="Garamond"/>
          <w:b/>
        </w:rPr>
        <w:t>Mr</w:t>
      </w:r>
      <w:r w:rsidR="0083773A" w:rsidRPr="002D46D6">
        <w:rPr>
          <w:rFonts w:ascii="Garamond" w:hAnsi="Garamond"/>
          <w:b/>
        </w:rPr>
        <w:t>.</w:t>
      </w:r>
      <w:r w:rsidRPr="002D46D6">
        <w:rPr>
          <w:rFonts w:ascii="Garamond" w:hAnsi="Garamond"/>
          <w:b/>
        </w:rPr>
        <w:t xml:space="preserve"> </w:t>
      </w:r>
      <w:r w:rsidR="006969B4" w:rsidRPr="002D46D6">
        <w:rPr>
          <w:rFonts w:ascii="Garamond" w:hAnsi="Garamond"/>
          <w:b/>
        </w:rPr>
        <w:t>Shashikumar Valsakumar</w:t>
      </w:r>
    </w:p>
    <w:p w14:paraId="2A8456B2" w14:textId="77777777" w:rsidR="006969B4" w:rsidRPr="002D46D6" w:rsidRDefault="006969B4" w:rsidP="00920C84">
      <w:pPr>
        <w:spacing w:line="20" w:lineRule="atLeast"/>
        <w:jc w:val="both"/>
        <w:outlineLvl w:val="0"/>
        <w:rPr>
          <w:rFonts w:ascii="Garamond" w:hAnsi="Garamond"/>
          <w:b/>
        </w:rPr>
      </w:pPr>
      <w:r w:rsidRPr="002D46D6">
        <w:rPr>
          <w:rFonts w:ascii="Garamond" w:hAnsi="Garamond"/>
          <w:b/>
        </w:rPr>
        <w:t>Mr. Prabhas Rath</w:t>
      </w:r>
    </w:p>
    <w:p w14:paraId="31FEB2D2" w14:textId="77777777" w:rsidR="006969B4" w:rsidRPr="002D46D6" w:rsidRDefault="006969B4" w:rsidP="00920C84">
      <w:pPr>
        <w:spacing w:line="20" w:lineRule="atLeast"/>
        <w:jc w:val="both"/>
        <w:outlineLvl w:val="0"/>
        <w:rPr>
          <w:rFonts w:ascii="Garamond" w:hAnsi="Garamond"/>
          <w:b/>
        </w:rPr>
      </w:pPr>
      <w:r w:rsidRPr="002D46D6">
        <w:rPr>
          <w:rFonts w:ascii="Garamond" w:hAnsi="Garamond"/>
          <w:b/>
        </w:rPr>
        <w:t>Mr. Venkateswaran Ramakrishnan</w:t>
      </w:r>
    </w:p>
    <w:p w14:paraId="131EF90F" w14:textId="77777777" w:rsidR="006969B4" w:rsidRPr="002D46D6" w:rsidRDefault="006969B4" w:rsidP="00920C84">
      <w:pPr>
        <w:spacing w:line="20" w:lineRule="atLeast"/>
        <w:jc w:val="both"/>
        <w:outlineLvl w:val="0"/>
        <w:rPr>
          <w:rFonts w:ascii="Garamond" w:hAnsi="Garamond"/>
          <w:b/>
        </w:rPr>
      </w:pPr>
      <w:r w:rsidRPr="002D46D6">
        <w:rPr>
          <w:rFonts w:ascii="Garamond" w:hAnsi="Garamond"/>
          <w:b/>
        </w:rPr>
        <w:t>Mr. Sahil Malik</w:t>
      </w:r>
    </w:p>
    <w:p w14:paraId="264574F7" w14:textId="77777777" w:rsidR="006969B4" w:rsidRPr="002D46D6" w:rsidRDefault="006969B4" w:rsidP="00920C84">
      <w:pPr>
        <w:spacing w:line="20" w:lineRule="atLeast"/>
        <w:jc w:val="both"/>
        <w:outlineLvl w:val="0"/>
        <w:rPr>
          <w:rFonts w:ascii="Garamond" w:hAnsi="Garamond"/>
          <w:b/>
        </w:rPr>
      </w:pPr>
    </w:p>
    <w:p w14:paraId="51A4EA44" w14:textId="77777777" w:rsidR="00920C84" w:rsidRPr="002D46D6" w:rsidRDefault="00920C84" w:rsidP="00920C84">
      <w:pPr>
        <w:spacing w:line="20" w:lineRule="atLeast"/>
        <w:jc w:val="both"/>
        <w:rPr>
          <w:rFonts w:ascii="Garamond" w:hAnsi="Garamond"/>
        </w:rPr>
      </w:pPr>
    </w:p>
    <w:p w14:paraId="3EBC17EF" w14:textId="77777777" w:rsidR="00920C84" w:rsidRPr="002D46D6" w:rsidRDefault="00920C84" w:rsidP="00920C84">
      <w:pPr>
        <w:spacing w:line="20" w:lineRule="atLeast"/>
        <w:jc w:val="both"/>
        <w:rPr>
          <w:rFonts w:ascii="Garamond" w:hAnsi="Garamond"/>
        </w:rPr>
      </w:pPr>
      <w:r w:rsidRPr="002D46D6">
        <w:rPr>
          <w:rFonts w:ascii="Garamond" w:hAnsi="Garamond"/>
        </w:rPr>
        <w:t xml:space="preserve">The Securities and Exchange Board of India Bulletin is issued by the Department of Economic and Policy Analysis, Securities and Exchange Board of India under the direction of an Editorial Committee. SEBI is not responsible for accuracy of data/information/interpretations and opinions expressed in the case of signed articles/speeches as authors are responsible for their personal views. SEBI has no objection to the material published herein being reproduced, provided an acknowledgement of the same is made. The soft copy of SEBI Bulletin is available free of cost to the subscribers/readers, who register at </w:t>
      </w:r>
      <w:hyperlink r:id="rId8" w:history="1">
        <w:r w:rsidRPr="002D46D6">
          <w:rPr>
            <w:rFonts w:ascii="Garamond" w:hAnsi="Garamond"/>
          </w:rPr>
          <w:t>bulletin@sebi.gov.in</w:t>
        </w:r>
      </w:hyperlink>
      <w:r w:rsidRPr="002D46D6">
        <w:rPr>
          <w:rFonts w:ascii="Garamond" w:hAnsi="Garamond"/>
        </w:rPr>
        <w:t xml:space="preserve"> along with their complete address. </w:t>
      </w:r>
      <w:r w:rsidRPr="002D46D6">
        <w:rPr>
          <w:rFonts w:ascii="Garamond" w:hAnsi="Garamond"/>
          <w:bCs/>
        </w:rPr>
        <w:t xml:space="preserve">A readable version of SEBI Bulletin is available at </w:t>
      </w:r>
      <w:hyperlink r:id="rId9" w:history="1">
        <w:r w:rsidRPr="002D46D6">
          <w:rPr>
            <w:rFonts w:ascii="Garamond" w:hAnsi="Garamond"/>
            <w:bCs/>
          </w:rPr>
          <w:t>http://www.sebi.gov.in</w:t>
        </w:r>
      </w:hyperlink>
      <w:r w:rsidRPr="002D46D6">
        <w:rPr>
          <w:rFonts w:ascii="Garamond" w:hAnsi="Garamond"/>
          <w:bCs/>
        </w:rPr>
        <w:t xml:space="preserve">. Any comments and suggestions on any of the features/sections may be sent to </w:t>
      </w:r>
      <w:hyperlink r:id="rId10" w:history="1">
        <w:r w:rsidRPr="002D46D6">
          <w:rPr>
            <w:rFonts w:ascii="Garamond" w:hAnsi="Garamond"/>
            <w:bCs/>
          </w:rPr>
          <w:t>bulletin@sebi.gov.in</w:t>
        </w:r>
      </w:hyperlink>
    </w:p>
    <w:p w14:paraId="50EEEE82" w14:textId="77777777" w:rsidR="00920C84" w:rsidRPr="002D46D6" w:rsidRDefault="00920C84" w:rsidP="00920C84">
      <w:pPr>
        <w:spacing w:line="20" w:lineRule="atLeast"/>
        <w:jc w:val="both"/>
        <w:rPr>
          <w:rFonts w:ascii="Garamond" w:hAnsi="Garamond"/>
          <w:bCs/>
        </w:rPr>
      </w:pPr>
    </w:p>
    <w:p w14:paraId="7940E463" w14:textId="77777777" w:rsidR="00920C84" w:rsidRPr="002D46D6" w:rsidRDefault="00920C84" w:rsidP="00920C84">
      <w:pPr>
        <w:spacing w:line="20" w:lineRule="atLeast"/>
        <w:jc w:val="both"/>
        <w:rPr>
          <w:rFonts w:ascii="Garamond" w:hAnsi="Garamond"/>
          <w:bCs/>
        </w:rPr>
      </w:pPr>
    </w:p>
    <w:p w14:paraId="4986B123" w14:textId="77777777" w:rsidR="00920C84" w:rsidRPr="002D46D6" w:rsidRDefault="00920C84" w:rsidP="00920C84">
      <w:pPr>
        <w:spacing w:line="20" w:lineRule="atLeast"/>
        <w:jc w:val="both"/>
        <w:rPr>
          <w:rFonts w:ascii="Garamond" w:hAnsi="Garamond"/>
          <w:b/>
          <w:color w:val="0000FF"/>
        </w:rPr>
      </w:pPr>
    </w:p>
    <w:p w14:paraId="4F465944" w14:textId="77777777" w:rsidR="00920C84" w:rsidRPr="002D46D6" w:rsidRDefault="00920C84" w:rsidP="00920C84">
      <w:pPr>
        <w:spacing w:line="20" w:lineRule="atLeast"/>
        <w:jc w:val="both"/>
        <w:rPr>
          <w:rFonts w:ascii="Garamond" w:hAnsi="Garamond"/>
          <w:b/>
          <w:color w:val="0000FF"/>
        </w:rPr>
      </w:pPr>
    </w:p>
    <w:p w14:paraId="58DB5F77" w14:textId="77777777" w:rsidR="00920C84" w:rsidRPr="002D46D6" w:rsidRDefault="00920C84" w:rsidP="00920C84">
      <w:pPr>
        <w:spacing w:line="20" w:lineRule="atLeast"/>
        <w:jc w:val="both"/>
        <w:rPr>
          <w:rFonts w:ascii="Garamond" w:hAnsi="Garamond"/>
          <w:b/>
          <w:color w:val="0000FF"/>
        </w:rPr>
      </w:pPr>
    </w:p>
    <w:p w14:paraId="72EA494B" w14:textId="77777777" w:rsidR="00920C84" w:rsidRPr="002D46D6" w:rsidRDefault="00920C84" w:rsidP="00920C84">
      <w:pPr>
        <w:spacing w:line="20" w:lineRule="atLeast"/>
        <w:jc w:val="both"/>
        <w:rPr>
          <w:rFonts w:ascii="Garamond" w:hAnsi="Garamond"/>
          <w:b/>
          <w:color w:val="0000FF"/>
        </w:rPr>
      </w:pPr>
    </w:p>
    <w:p w14:paraId="210AC61F" w14:textId="77777777" w:rsidR="00920C84" w:rsidRPr="002D46D6" w:rsidRDefault="00920C84" w:rsidP="00920C84">
      <w:pPr>
        <w:spacing w:line="20" w:lineRule="atLeast"/>
        <w:jc w:val="both"/>
        <w:rPr>
          <w:rFonts w:ascii="Garamond" w:hAnsi="Garamond"/>
          <w:b/>
          <w:color w:val="0000FF"/>
        </w:rPr>
      </w:pPr>
    </w:p>
    <w:p w14:paraId="355F611D" w14:textId="77777777" w:rsidR="00920C84" w:rsidRPr="002D46D6" w:rsidRDefault="00920C84" w:rsidP="00920C84">
      <w:pPr>
        <w:spacing w:line="20" w:lineRule="atLeast"/>
        <w:jc w:val="both"/>
        <w:rPr>
          <w:rFonts w:ascii="Garamond" w:hAnsi="Garamond"/>
          <w:b/>
          <w:color w:val="0000FF"/>
        </w:rPr>
      </w:pPr>
    </w:p>
    <w:p w14:paraId="271D64D0" w14:textId="77777777" w:rsidR="00920C84" w:rsidRPr="002D46D6" w:rsidRDefault="00920C84" w:rsidP="00920C84">
      <w:pPr>
        <w:spacing w:line="20" w:lineRule="atLeast"/>
        <w:jc w:val="both"/>
        <w:rPr>
          <w:rFonts w:ascii="Garamond" w:hAnsi="Garamond"/>
          <w:b/>
          <w:color w:val="0000FF"/>
        </w:rPr>
      </w:pPr>
    </w:p>
    <w:p w14:paraId="2DB139C9" w14:textId="77777777" w:rsidR="00920C84" w:rsidRPr="002D46D6" w:rsidRDefault="00920C84" w:rsidP="00920C84">
      <w:pPr>
        <w:spacing w:line="20" w:lineRule="atLeast"/>
        <w:jc w:val="both"/>
        <w:rPr>
          <w:rFonts w:ascii="Garamond" w:hAnsi="Garamond"/>
          <w:b/>
          <w:color w:val="0000FF"/>
        </w:rPr>
      </w:pPr>
    </w:p>
    <w:p w14:paraId="03028CAB" w14:textId="77777777" w:rsidR="00920C84" w:rsidRPr="002D46D6" w:rsidRDefault="00920C84" w:rsidP="00920C84">
      <w:pPr>
        <w:spacing w:line="20" w:lineRule="atLeast"/>
        <w:jc w:val="both"/>
        <w:rPr>
          <w:rFonts w:ascii="Garamond" w:hAnsi="Garamond"/>
          <w:b/>
          <w:color w:val="0000FF"/>
        </w:rPr>
      </w:pPr>
    </w:p>
    <w:p w14:paraId="13DB3BE3" w14:textId="77777777" w:rsidR="00920C84" w:rsidRPr="002D46D6" w:rsidRDefault="00920C84" w:rsidP="00920C84">
      <w:pPr>
        <w:spacing w:line="20" w:lineRule="atLeast"/>
        <w:jc w:val="center"/>
        <w:rPr>
          <w:rFonts w:ascii="Garamond" w:hAnsi="Garamond"/>
          <w:b/>
          <w:color w:val="632423"/>
        </w:rPr>
      </w:pPr>
    </w:p>
    <w:p w14:paraId="5C953D0C" w14:textId="77777777" w:rsidR="00920C84" w:rsidRPr="002D46D6" w:rsidRDefault="00920C84" w:rsidP="00920C84">
      <w:pPr>
        <w:rPr>
          <w:rFonts w:ascii="Garamond" w:hAnsi="Garamond"/>
          <w:b/>
          <w:color w:val="632423"/>
          <w:sz w:val="40"/>
          <w:szCs w:val="40"/>
        </w:rPr>
      </w:pPr>
      <w:r w:rsidRPr="002D46D6">
        <w:rPr>
          <w:rFonts w:ascii="Garamond" w:hAnsi="Garamond"/>
          <w:b/>
          <w:color w:val="632423"/>
          <w:sz w:val="40"/>
          <w:szCs w:val="40"/>
        </w:rPr>
        <w:br w:type="page"/>
      </w:r>
    </w:p>
    <w:p w14:paraId="6453CE13" w14:textId="77777777" w:rsidR="00920C84" w:rsidRPr="002D46D6" w:rsidRDefault="00920C84" w:rsidP="00920C84">
      <w:pPr>
        <w:spacing w:line="20" w:lineRule="atLeast"/>
        <w:jc w:val="center"/>
        <w:rPr>
          <w:rFonts w:ascii="Garamond" w:hAnsi="Garamond"/>
          <w:b/>
          <w:color w:val="632423"/>
          <w:sz w:val="40"/>
          <w:szCs w:val="40"/>
        </w:rPr>
      </w:pPr>
    </w:p>
    <w:p w14:paraId="7E158B23" w14:textId="77777777" w:rsidR="00920C84" w:rsidRPr="002D46D6" w:rsidRDefault="00920C84" w:rsidP="00920C84">
      <w:pPr>
        <w:spacing w:line="20" w:lineRule="atLeast"/>
        <w:rPr>
          <w:rFonts w:ascii="Garamond" w:hAnsi="Garamond"/>
          <w:b/>
          <w:color w:val="632423"/>
          <w:sz w:val="40"/>
          <w:szCs w:val="40"/>
        </w:rPr>
      </w:pPr>
    </w:p>
    <w:p w14:paraId="1B87AE8F" w14:textId="77777777" w:rsidR="00920C84" w:rsidRPr="002D46D6" w:rsidRDefault="00920C84" w:rsidP="00920C84">
      <w:pPr>
        <w:spacing w:line="20" w:lineRule="atLeast"/>
        <w:jc w:val="center"/>
        <w:rPr>
          <w:rFonts w:ascii="Garamond" w:hAnsi="Garamond"/>
          <w:b/>
          <w:color w:val="632423"/>
          <w:sz w:val="40"/>
          <w:szCs w:val="40"/>
        </w:rPr>
      </w:pPr>
      <w:r w:rsidRPr="002D46D6">
        <w:rPr>
          <w:rFonts w:ascii="Garamond" w:hAnsi="Garamond"/>
          <w:b/>
          <w:color w:val="632423"/>
          <w:sz w:val="40"/>
          <w:szCs w:val="40"/>
        </w:rPr>
        <w:t>CONTENTS</w:t>
      </w:r>
    </w:p>
    <w:p w14:paraId="3F406CB4" w14:textId="77777777" w:rsidR="00920C84" w:rsidRPr="002D46D6" w:rsidRDefault="00920C84" w:rsidP="00920C84">
      <w:pPr>
        <w:spacing w:line="20" w:lineRule="atLeast"/>
        <w:jc w:val="center"/>
        <w:rPr>
          <w:rFonts w:ascii="Garamond" w:hAnsi="Garamond"/>
          <w:b/>
          <w:color w:val="632423"/>
          <w:sz w:val="40"/>
          <w:szCs w:val="40"/>
        </w:rPr>
      </w:pPr>
    </w:p>
    <w:p w14:paraId="31552368" w14:textId="1A792489" w:rsidR="006C682D" w:rsidRDefault="00C6763D" w:rsidP="00920C84">
      <w:pPr>
        <w:spacing w:line="20" w:lineRule="atLeast"/>
        <w:jc w:val="both"/>
        <w:rPr>
          <w:rFonts w:ascii="Garamond" w:hAnsi="Garamond"/>
          <w:b/>
          <w:color w:val="0000FF"/>
        </w:rPr>
      </w:pPr>
      <w:r w:rsidRPr="00C6763D">
        <w:rPr>
          <w:rFonts w:ascii="Garamond" w:hAnsi="Garamond"/>
          <w:b/>
          <w:color w:val="0000FF"/>
        </w:rPr>
        <w:t>INAUGURAL ADDRESS BY SEBI CHAIRMAN SHRI AJAY TYAGI AT 15TH FICCI ANNUAL CAPITAL MARKET CONFERENCE (CAPAM) 2018 “BLUEPRINT FOR CAPITAL MARKET IN NEW INDIA 2022” ON 11</w:t>
      </w:r>
      <w:r w:rsidRPr="00C814A1">
        <w:rPr>
          <w:rFonts w:ascii="Garamond" w:hAnsi="Garamond"/>
          <w:b/>
          <w:color w:val="0000FF"/>
          <w:vertAlign w:val="superscript"/>
        </w:rPr>
        <w:t>TH</w:t>
      </w:r>
      <w:r w:rsidRPr="00C6763D">
        <w:rPr>
          <w:rFonts w:ascii="Garamond" w:hAnsi="Garamond"/>
          <w:b/>
          <w:color w:val="0000FF"/>
        </w:rPr>
        <w:t xml:space="preserve"> SEPTEMBER 2018 IN MUMBAI</w:t>
      </w:r>
    </w:p>
    <w:p w14:paraId="79DE1295" w14:textId="77777777" w:rsidR="00C6763D" w:rsidRDefault="00C6763D" w:rsidP="00920C84">
      <w:pPr>
        <w:spacing w:line="20" w:lineRule="atLeast"/>
        <w:jc w:val="both"/>
        <w:rPr>
          <w:rFonts w:ascii="Garamond" w:hAnsi="Garamond"/>
          <w:b/>
          <w:color w:val="0000FF"/>
        </w:rPr>
      </w:pPr>
    </w:p>
    <w:p w14:paraId="577BCBD3" w14:textId="1AE9F8AE" w:rsidR="00C6763D" w:rsidRDefault="00C6763D" w:rsidP="00920C84">
      <w:pPr>
        <w:spacing w:line="20" w:lineRule="atLeast"/>
        <w:jc w:val="both"/>
        <w:rPr>
          <w:rFonts w:ascii="Garamond" w:hAnsi="Garamond"/>
          <w:b/>
          <w:color w:val="0000FF"/>
        </w:rPr>
      </w:pPr>
      <w:r w:rsidRPr="00C6763D">
        <w:rPr>
          <w:rFonts w:ascii="Garamond" w:hAnsi="Garamond"/>
          <w:b/>
          <w:color w:val="0000FF"/>
        </w:rPr>
        <w:t>ADDRESS BY SEBI CHAIRMAN SHRI AJAY TYAGI ON “DISTRESSED ASSETS MARKET IN INDIA” ORGANIZED BY INDIAN PROFESSIONALS FORUM AND THE HIGH COMMISSION OF INDIA AT LONDON BUSINESS SCHOOL, LONDON ON 24</w:t>
      </w:r>
      <w:r w:rsidRPr="00C814A1">
        <w:rPr>
          <w:rFonts w:ascii="Garamond" w:hAnsi="Garamond"/>
          <w:b/>
          <w:color w:val="0000FF"/>
          <w:vertAlign w:val="superscript"/>
        </w:rPr>
        <w:t>TH</w:t>
      </w:r>
      <w:r w:rsidRPr="00C6763D">
        <w:rPr>
          <w:rFonts w:ascii="Garamond" w:hAnsi="Garamond"/>
          <w:b/>
          <w:color w:val="0000FF"/>
        </w:rPr>
        <w:t xml:space="preserve"> SEPTEMBER 2018</w:t>
      </w:r>
    </w:p>
    <w:p w14:paraId="7EB8F9AE" w14:textId="77777777" w:rsidR="00C6763D" w:rsidRPr="002D46D6" w:rsidRDefault="00C6763D" w:rsidP="00920C84">
      <w:pPr>
        <w:spacing w:line="20" w:lineRule="atLeast"/>
        <w:jc w:val="both"/>
        <w:rPr>
          <w:rFonts w:ascii="Garamond" w:hAnsi="Garamond"/>
          <w:b/>
          <w:color w:val="0000FF"/>
        </w:rPr>
      </w:pPr>
    </w:p>
    <w:p w14:paraId="2A3C1251" w14:textId="77777777" w:rsidR="00920C84" w:rsidRPr="002D46D6" w:rsidRDefault="00920C84" w:rsidP="00920C84">
      <w:pPr>
        <w:spacing w:line="20" w:lineRule="atLeast"/>
        <w:jc w:val="both"/>
        <w:rPr>
          <w:rFonts w:ascii="Garamond" w:hAnsi="Garamond"/>
          <w:b/>
          <w:color w:val="0000FF"/>
        </w:rPr>
      </w:pPr>
      <w:r w:rsidRPr="002D46D6">
        <w:rPr>
          <w:rFonts w:ascii="Garamond" w:hAnsi="Garamond"/>
          <w:b/>
          <w:color w:val="0000FF"/>
        </w:rPr>
        <w:t>CAPITAL MARKET REVIEW</w:t>
      </w:r>
    </w:p>
    <w:p w14:paraId="5D97767B" w14:textId="77777777" w:rsidR="00920C84" w:rsidRPr="002D46D6" w:rsidRDefault="00920C84" w:rsidP="00920C84">
      <w:pPr>
        <w:spacing w:line="20" w:lineRule="atLeast"/>
        <w:jc w:val="both"/>
        <w:rPr>
          <w:rFonts w:ascii="Garamond" w:hAnsi="Garamond"/>
          <w:b/>
          <w:color w:val="0000FF"/>
        </w:rPr>
      </w:pPr>
    </w:p>
    <w:p w14:paraId="16A92A59" w14:textId="77777777" w:rsidR="00920C84" w:rsidRPr="002D46D6" w:rsidRDefault="001E2A24" w:rsidP="00920C84">
      <w:pPr>
        <w:spacing w:line="20" w:lineRule="atLeast"/>
        <w:jc w:val="both"/>
        <w:rPr>
          <w:rFonts w:ascii="Garamond" w:hAnsi="Garamond"/>
          <w:b/>
          <w:color w:val="0000FF"/>
        </w:rPr>
      </w:pPr>
      <w:r w:rsidRPr="002D46D6">
        <w:rPr>
          <w:rFonts w:ascii="Garamond" w:hAnsi="Garamond"/>
          <w:b/>
          <w:color w:val="0000FF"/>
        </w:rPr>
        <w:t>REVIEW OF GLOBAL FINANCIAL MARKETS</w:t>
      </w:r>
    </w:p>
    <w:p w14:paraId="72CA4DC1" w14:textId="77777777" w:rsidR="00920C84" w:rsidRPr="002D46D6" w:rsidRDefault="00920C84" w:rsidP="00920C84">
      <w:pPr>
        <w:spacing w:line="20" w:lineRule="atLeast"/>
        <w:jc w:val="both"/>
        <w:rPr>
          <w:rFonts w:ascii="Garamond" w:hAnsi="Garamond"/>
          <w:b/>
          <w:color w:val="0000FF"/>
        </w:rPr>
      </w:pPr>
    </w:p>
    <w:p w14:paraId="5615D282" w14:textId="77777777" w:rsidR="00920C84" w:rsidRDefault="00920C84" w:rsidP="00920C84">
      <w:pPr>
        <w:spacing w:line="20" w:lineRule="atLeast"/>
        <w:jc w:val="both"/>
        <w:rPr>
          <w:rFonts w:ascii="Garamond" w:hAnsi="Garamond"/>
          <w:b/>
          <w:color w:val="0000FF"/>
        </w:rPr>
      </w:pPr>
      <w:r w:rsidRPr="002D46D6">
        <w:rPr>
          <w:rFonts w:ascii="Garamond" w:hAnsi="Garamond"/>
          <w:b/>
          <w:color w:val="0000FF"/>
        </w:rPr>
        <w:t>HIGHLIGHTS OF DEVELOPMENTS IN INTERNATIONAL SECURITIES MARKET</w:t>
      </w:r>
    </w:p>
    <w:p w14:paraId="1E39A690" w14:textId="77777777" w:rsidR="004B124F" w:rsidRDefault="004B124F" w:rsidP="00920C84">
      <w:pPr>
        <w:spacing w:line="20" w:lineRule="atLeast"/>
        <w:jc w:val="both"/>
        <w:rPr>
          <w:rFonts w:ascii="Garamond" w:hAnsi="Garamond"/>
          <w:b/>
          <w:color w:val="0000FF"/>
        </w:rPr>
      </w:pPr>
    </w:p>
    <w:p w14:paraId="24B793EB" w14:textId="77777777" w:rsidR="004B124F" w:rsidRPr="002D46D6" w:rsidRDefault="004B124F" w:rsidP="00920C84">
      <w:pPr>
        <w:spacing w:line="20" w:lineRule="atLeast"/>
        <w:jc w:val="both"/>
        <w:rPr>
          <w:rFonts w:ascii="Garamond" w:hAnsi="Garamond"/>
          <w:b/>
          <w:color w:val="0000FF"/>
        </w:rPr>
      </w:pPr>
      <w:r w:rsidRPr="004B124F">
        <w:rPr>
          <w:rFonts w:ascii="Garamond" w:hAnsi="Garamond"/>
          <w:b/>
          <w:color w:val="0000FF"/>
        </w:rPr>
        <w:t>POLICY D</w:t>
      </w:r>
      <w:r>
        <w:rPr>
          <w:rFonts w:ascii="Garamond" w:hAnsi="Garamond"/>
          <w:b/>
          <w:color w:val="0000FF"/>
        </w:rPr>
        <w:t>EVELOPMENTS AND ACTIONS TAKEN</w:t>
      </w:r>
    </w:p>
    <w:p w14:paraId="31B25B4A" w14:textId="77777777" w:rsidR="00920C84" w:rsidRPr="002D46D6" w:rsidRDefault="00920C84" w:rsidP="00920C84">
      <w:pPr>
        <w:spacing w:line="20" w:lineRule="atLeast"/>
        <w:jc w:val="both"/>
        <w:rPr>
          <w:rFonts w:ascii="Garamond" w:hAnsi="Garamond"/>
          <w:b/>
          <w:color w:val="0000FF"/>
        </w:rPr>
      </w:pPr>
    </w:p>
    <w:p w14:paraId="2264F336" w14:textId="77777777" w:rsidR="00920C84" w:rsidRPr="002D46D6" w:rsidRDefault="00920C84" w:rsidP="00920C84">
      <w:pPr>
        <w:spacing w:line="20" w:lineRule="atLeast"/>
        <w:jc w:val="both"/>
        <w:rPr>
          <w:rFonts w:ascii="Garamond" w:hAnsi="Garamond"/>
          <w:b/>
          <w:color w:val="0000FF"/>
        </w:rPr>
      </w:pPr>
      <w:r w:rsidRPr="002D46D6">
        <w:rPr>
          <w:rFonts w:ascii="Garamond" w:hAnsi="Garamond"/>
          <w:b/>
          <w:color w:val="0000FF"/>
        </w:rPr>
        <w:t xml:space="preserve">TABLES </w:t>
      </w:r>
    </w:p>
    <w:p w14:paraId="15D3237B" w14:textId="77777777" w:rsidR="00920C84" w:rsidRPr="002D46D6" w:rsidRDefault="00920C84" w:rsidP="00920C84">
      <w:pPr>
        <w:spacing w:line="20" w:lineRule="atLeast"/>
        <w:jc w:val="both"/>
        <w:rPr>
          <w:rFonts w:ascii="Garamond" w:hAnsi="Garamond"/>
          <w:b/>
          <w:color w:val="0000FF"/>
        </w:rPr>
      </w:pPr>
    </w:p>
    <w:p w14:paraId="6004D663" w14:textId="77777777" w:rsidR="00920C84" w:rsidRPr="002D46D6" w:rsidRDefault="00920C84" w:rsidP="00920C84">
      <w:pPr>
        <w:spacing w:line="20" w:lineRule="atLeast"/>
        <w:jc w:val="both"/>
        <w:rPr>
          <w:rFonts w:ascii="Garamond" w:hAnsi="Garamond"/>
          <w:b/>
          <w:color w:val="0000FF"/>
        </w:rPr>
      </w:pPr>
      <w:r w:rsidRPr="002D46D6">
        <w:rPr>
          <w:rFonts w:ascii="Garamond" w:hAnsi="Garamond"/>
          <w:b/>
          <w:color w:val="0000FF"/>
        </w:rPr>
        <w:t>PUBLICATIONS</w:t>
      </w:r>
    </w:p>
    <w:p w14:paraId="34A1705A" w14:textId="77777777" w:rsidR="00920C84" w:rsidRPr="002D46D6" w:rsidRDefault="00920C84">
      <w:pPr>
        <w:rPr>
          <w:rFonts w:ascii="Garamond" w:hAnsi="Garamond" w:cs="Helvetica"/>
          <w:b/>
          <w:color w:val="000099"/>
          <w:sz w:val="32"/>
          <w:szCs w:val="40"/>
        </w:rPr>
      </w:pPr>
      <w:r w:rsidRPr="002D46D6">
        <w:rPr>
          <w:rFonts w:ascii="Garamond" w:hAnsi="Garamond" w:cs="Helvetica"/>
          <w:b/>
          <w:color w:val="000099"/>
          <w:sz w:val="32"/>
          <w:szCs w:val="40"/>
        </w:rPr>
        <w:br w:type="page"/>
      </w:r>
    </w:p>
    <w:p w14:paraId="1409F785" w14:textId="74EA026F" w:rsidR="00B91017" w:rsidRPr="002D46D6" w:rsidRDefault="006C2176" w:rsidP="00B91017">
      <w:pPr>
        <w:rPr>
          <w:rFonts w:ascii="Garamond" w:hAnsi="Garamond"/>
        </w:rPr>
      </w:pPr>
      <w:r>
        <w:rPr>
          <w:rFonts w:ascii="Garamond" w:hAnsi="Garamond"/>
          <w:b/>
          <w:sz w:val="28"/>
        </w:rPr>
        <w:lastRenderedPageBreak/>
        <w:t xml:space="preserve">Inaugural Address </w:t>
      </w:r>
      <w:r w:rsidR="00B91017" w:rsidRPr="00345367">
        <w:rPr>
          <w:rFonts w:ascii="Garamond" w:hAnsi="Garamond"/>
          <w:b/>
          <w:sz w:val="28"/>
        </w:rPr>
        <w:t xml:space="preserve">by SEBI Chairman Shri Ajay Tyagi </w:t>
      </w:r>
      <w:r w:rsidR="00B91017">
        <w:rPr>
          <w:rFonts w:ascii="Garamond" w:hAnsi="Garamond"/>
          <w:b/>
          <w:sz w:val="28"/>
        </w:rPr>
        <w:t xml:space="preserve">at </w:t>
      </w:r>
      <w:r w:rsidR="00B91017" w:rsidRPr="00D80581">
        <w:rPr>
          <w:rFonts w:ascii="Garamond" w:hAnsi="Garamond"/>
          <w:b/>
          <w:sz w:val="28"/>
        </w:rPr>
        <w:t>15th FICCI Annual Capital Market Conference (CAPAM) 2018 “Blueprint for Capital Market in New India 2022”</w:t>
      </w:r>
      <w:r>
        <w:rPr>
          <w:rFonts w:ascii="Garamond" w:hAnsi="Garamond"/>
          <w:b/>
          <w:sz w:val="28"/>
        </w:rPr>
        <w:t xml:space="preserve"> on </w:t>
      </w:r>
      <w:r w:rsidR="00B91017">
        <w:rPr>
          <w:rFonts w:ascii="Garamond" w:hAnsi="Garamond"/>
          <w:b/>
          <w:sz w:val="28"/>
        </w:rPr>
        <w:t>11</w:t>
      </w:r>
      <w:r w:rsidR="00B91017" w:rsidRPr="003245DD">
        <w:rPr>
          <w:rFonts w:ascii="Garamond" w:hAnsi="Garamond"/>
          <w:b/>
          <w:sz w:val="28"/>
        </w:rPr>
        <w:t>th September 2018</w:t>
      </w:r>
      <w:r w:rsidR="00560A50">
        <w:rPr>
          <w:rFonts w:ascii="Garamond" w:hAnsi="Garamond"/>
          <w:b/>
          <w:sz w:val="28"/>
        </w:rPr>
        <w:t xml:space="preserve"> in Mumbai</w:t>
      </w:r>
      <w:r w:rsidR="00B91017" w:rsidRPr="00345367">
        <w:rPr>
          <w:rFonts w:ascii="Garamond" w:hAnsi="Garamond"/>
          <w:b/>
          <w:sz w:val="28"/>
        </w:rPr>
        <w:t xml:space="preserve"> </w:t>
      </w:r>
    </w:p>
    <w:p w14:paraId="5D697092" w14:textId="77777777" w:rsidR="005A7521" w:rsidRDefault="005A7521" w:rsidP="00B91017">
      <w:pPr>
        <w:ind w:hanging="72"/>
        <w:rPr>
          <w:rFonts w:ascii="Garamond" w:hAnsi="Garamond" w:cs="Helvetica"/>
          <w:b/>
          <w:color w:val="000099"/>
          <w:sz w:val="32"/>
          <w:szCs w:val="40"/>
        </w:rPr>
      </w:pPr>
    </w:p>
    <w:p w14:paraId="31108747" w14:textId="77777777" w:rsidR="005A7521" w:rsidRPr="005A7521" w:rsidRDefault="005A7521" w:rsidP="001852D7">
      <w:pPr>
        <w:jc w:val="both"/>
        <w:rPr>
          <w:rFonts w:ascii="Garamond" w:hAnsi="Garamond"/>
        </w:rPr>
      </w:pPr>
      <w:r w:rsidRPr="005A7521">
        <w:rPr>
          <w:rFonts w:ascii="Garamond" w:hAnsi="Garamond"/>
        </w:rPr>
        <w:t xml:space="preserve">Ladies and Gentlemen, it gives me great pleasure to address this august gathering today. </w:t>
      </w:r>
      <w:r w:rsidRPr="005A7521">
        <w:rPr>
          <w:rFonts w:ascii="Garamond" w:eastAsia="Times New Roman" w:hAnsi="Garamond"/>
          <w:b/>
        </w:rPr>
        <w:t xml:space="preserve"> </w:t>
      </w:r>
    </w:p>
    <w:p w14:paraId="62227A65" w14:textId="77777777" w:rsidR="006A250E" w:rsidRDefault="006A250E" w:rsidP="005A7521">
      <w:pPr>
        <w:pStyle w:val="Heading1"/>
        <w:spacing w:line="240" w:lineRule="auto"/>
        <w:rPr>
          <w:szCs w:val="24"/>
          <w:u w:color="000000"/>
        </w:rPr>
      </w:pPr>
    </w:p>
    <w:p w14:paraId="5FBE5918" w14:textId="77777777" w:rsidR="005A7521" w:rsidRPr="005A7521" w:rsidRDefault="005A7521" w:rsidP="004F324A">
      <w:pPr>
        <w:pStyle w:val="Heading1"/>
        <w:spacing w:line="240" w:lineRule="auto"/>
        <w:ind w:left="-426"/>
        <w:rPr>
          <w:szCs w:val="24"/>
        </w:rPr>
      </w:pPr>
      <w:r w:rsidRPr="004F324A">
        <w:rPr>
          <w:b/>
          <w:szCs w:val="24"/>
          <w:u w:val="single"/>
        </w:rPr>
        <w:t>A</w:t>
      </w:r>
      <w:r w:rsidRPr="005A7521">
        <w:rPr>
          <w:szCs w:val="24"/>
          <w:u w:color="000000"/>
        </w:rPr>
        <w:t>.</w:t>
      </w:r>
      <w:r w:rsidRPr="005A7521">
        <w:rPr>
          <w:rFonts w:eastAsia="Arial" w:cs="Arial"/>
          <w:szCs w:val="24"/>
          <w:u w:color="000000"/>
        </w:rPr>
        <w:t xml:space="preserve"> </w:t>
      </w:r>
      <w:r w:rsidRPr="004F324A">
        <w:rPr>
          <w:b/>
          <w:szCs w:val="24"/>
          <w:u w:val="single"/>
        </w:rPr>
        <w:t>Economic Outlook</w:t>
      </w:r>
      <w:r w:rsidRPr="005A7521">
        <w:rPr>
          <w:szCs w:val="24"/>
          <w:u w:color="000000"/>
        </w:rPr>
        <w:t xml:space="preserve">  </w:t>
      </w:r>
    </w:p>
    <w:p w14:paraId="246CD6D8" w14:textId="77777777" w:rsidR="005A7521" w:rsidRPr="005A7521" w:rsidRDefault="005A7521" w:rsidP="001852D7">
      <w:pPr>
        <w:jc w:val="both"/>
        <w:rPr>
          <w:rFonts w:ascii="Garamond" w:hAnsi="Garamond"/>
        </w:rPr>
      </w:pPr>
      <w:r w:rsidRPr="005A7521">
        <w:rPr>
          <w:rFonts w:ascii="Garamond" w:hAnsi="Garamond"/>
        </w:rPr>
        <w:t xml:space="preserve">During the April-June quarter of the current year, GDP of India grew by 8.2%. </w:t>
      </w:r>
    </w:p>
    <w:p w14:paraId="7E7AF03C" w14:textId="77777777" w:rsidR="005A7521" w:rsidRPr="005A7521" w:rsidRDefault="005A7521" w:rsidP="005A7521">
      <w:pPr>
        <w:rPr>
          <w:rFonts w:ascii="Garamond" w:hAnsi="Garamond"/>
        </w:rPr>
      </w:pPr>
      <w:r w:rsidRPr="005A7521">
        <w:rPr>
          <w:rFonts w:ascii="Garamond" w:hAnsi="Garamond"/>
        </w:rPr>
        <w:t xml:space="preserve">This is the highest growth in two years and strongest since the first quarter of 2016. This was achieved, inter alia, by 13.5% growth in manufacturing, 5.3% in agriculture and 10% growth in investments.  Robust corporate earnings figure and the Purchasing Managers' Index (PMI) also indicate that the economy is in a recovery mode.  </w:t>
      </w:r>
    </w:p>
    <w:p w14:paraId="4D5F30D9" w14:textId="77777777" w:rsidR="005A7521" w:rsidRPr="005A7521" w:rsidRDefault="005A7521" w:rsidP="001852D7">
      <w:pPr>
        <w:jc w:val="both"/>
        <w:rPr>
          <w:rFonts w:ascii="Garamond" w:hAnsi="Garamond"/>
        </w:rPr>
      </w:pPr>
      <w:r w:rsidRPr="005A7521">
        <w:rPr>
          <w:rFonts w:ascii="Garamond" w:hAnsi="Garamond"/>
        </w:rPr>
        <w:t xml:space="preserve">IMF also projects an overall favorable macroeconomic outlook for India and expects economic growth to rise to 7.3% in FY2018/19 and 7.5% in FY2019/20, on strengthening investment and robust private consumption. With concerted measures being taken to address the twin balance sheet problems of the corporate and banking sector, the outlook is expected to improve further.  </w:t>
      </w:r>
    </w:p>
    <w:p w14:paraId="57E1C2D5" w14:textId="77777777" w:rsidR="005A7521" w:rsidRPr="005A7521" w:rsidRDefault="005A7521" w:rsidP="001852D7">
      <w:pPr>
        <w:jc w:val="both"/>
        <w:rPr>
          <w:rFonts w:ascii="Garamond" w:hAnsi="Garamond"/>
        </w:rPr>
      </w:pPr>
      <w:r w:rsidRPr="005A7521">
        <w:rPr>
          <w:rFonts w:ascii="Garamond" w:hAnsi="Garamond"/>
        </w:rPr>
        <w:t xml:space="preserve">As far as economic risks are concerned, increase in international oil prices, tighter global financial conditions, spillover risks from a global trade conflict, and rising regional geopolitical tensions are some of the potential risks. </w:t>
      </w:r>
    </w:p>
    <w:p w14:paraId="0AFC4298" w14:textId="77777777" w:rsidR="005A7521" w:rsidRPr="005A7521" w:rsidRDefault="005A7521" w:rsidP="005A7521">
      <w:pPr>
        <w:rPr>
          <w:rFonts w:ascii="Garamond" w:hAnsi="Garamond"/>
        </w:rPr>
      </w:pPr>
      <w:r w:rsidRPr="005A7521">
        <w:rPr>
          <w:rFonts w:ascii="Garamond" w:hAnsi="Garamond"/>
        </w:rPr>
        <w:t xml:space="preserve"> </w:t>
      </w:r>
    </w:p>
    <w:p w14:paraId="0A937333" w14:textId="77777777" w:rsidR="005A7521" w:rsidRPr="005A7521" w:rsidRDefault="005A7521" w:rsidP="004F324A">
      <w:pPr>
        <w:pStyle w:val="Heading1"/>
        <w:spacing w:line="240" w:lineRule="auto"/>
        <w:ind w:left="-426"/>
        <w:rPr>
          <w:szCs w:val="24"/>
        </w:rPr>
      </w:pPr>
      <w:r w:rsidRPr="004F324A">
        <w:rPr>
          <w:b/>
          <w:szCs w:val="24"/>
          <w:u w:val="single"/>
        </w:rPr>
        <w:t xml:space="preserve">B. Fund Raising Activities  </w:t>
      </w:r>
    </w:p>
    <w:p w14:paraId="55B724EC" w14:textId="77777777" w:rsidR="005A7521" w:rsidRPr="005A7521" w:rsidRDefault="005A7521" w:rsidP="001852D7">
      <w:pPr>
        <w:jc w:val="both"/>
        <w:rPr>
          <w:rFonts w:ascii="Garamond" w:hAnsi="Garamond"/>
        </w:rPr>
      </w:pPr>
      <w:r w:rsidRPr="005A7521">
        <w:rPr>
          <w:rFonts w:ascii="Garamond" w:hAnsi="Garamond"/>
        </w:rPr>
        <w:t xml:space="preserve">Let me now give an overview of the fund raising activity happening in the capital market and the interesting trends that I see with regard to IPO market.   </w:t>
      </w:r>
    </w:p>
    <w:p w14:paraId="6E1050D1" w14:textId="77777777" w:rsidR="005A7521" w:rsidRPr="005A7521" w:rsidRDefault="005A7521" w:rsidP="001852D7">
      <w:pPr>
        <w:jc w:val="both"/>
        <w:rPr>
          <w:rFonts w:ascii="Garamond" w:hAnsi="Garamond"/>
        </w:rPr>
      </w:pPr>
      <w:r w:rsidRPr="005A7521">
        <w:rPr>
          <w:rFonts w:ascii="Garamond" w:hAnsi="Garamond"/>
        </w:rPr>
        <w:t>A record amount of Rs. 8.8 trillion was raised from Indian capital market during 2017-18 (through equity and debt) against Rs. 7.7 trillion during 2016</w:t>
      </w:r>
      <w:r w:rsidR="00542B8F">
        <w:rPr>
          <w:rFonts w:ascii="Garamond" w:hAnsi="Garamond"/>
        </w:rPr>
        <w:t>-</w:t>
      </w:r>
      <w:r w:rsidRPr="005A7521">
        <w:rPr>
          <w:rFonts w:ascii="Garamond" w:hAnsi="Garamond"/>
        </w:rPr>
        <w:t xml:space="preserve">17. Rs. 2.3 trillion has already been raised in the first quarter of this financial year. This kind of sustained fund raising from capital market is very encouraging. It definitely signals increased economic activity.   </w:t>
      </w:r>
    </w:p>
    <w:p w14:paraId="02F94F07" w14:textId="77777777" w:rsidR="005A7521" w:rsidRPr="005A7521" w:rsidRDefault="005A7521" w:rsidP="001852D7">
      <w:pPr>
        <w:jc w:val="both"/>
        <w:rPr>
          <w:rFonts w:ascii="Garamond" w:hAnsi="Garamond"/>
        </w:rPr>
      </w:pPr>
      <w:r w:rsidRPr="005A7521">
        <w:rPr>
          <w:rFonts w:ascii="Garamond" w:hAnsi="Garamond"/>
        </w:rPr>
        <w:t xml:space="preserve">Apart from an increase in aggregate amount of funds raised, the individual </w:t>
      </w:r>
      <w:r w:rsidRPr="005A7521">
        <w:rPr>
          <w:rFonts w:ascii="Garamond" w:hAnsi="Garamond"/>
          <w:u w:val="single" w:color="000000"/>
        </w:rPr>
        <w:t>size</w:t>
      </w:r>
      <w:r w:rsidRPr="005A7521">
        <w:rPr>
          <w:rFonts w:ascii="Garamond" w:hAnsi="Garamond"/>
        </w:rPr>
        <w:t xml:space="preserve"> of offerings has also increased over time, thereby indicating increased capacity of the market to finance larger issues. Average size of IPO has increased more than three times from Rs 640 cr. in 2015-16 to Rs 1,900 cr. in 2017-18 and median offer size increased from Rs 490 cr. in 2015 -16 to Rs 780 crore in 2017-18.  </w:t>
      </w:r>
    </w:p>
    <w:p w14:paraId="31595EA4" w14:textId="77777777" w:rsidR="005A7521" w:rsidRPr="005A7521" w:rsidRDefault="005A7521" w:rsidP="001852D7">
      <w:pPr>
        <w:jc w:val="both"/>
        <w:rPr>
          <w:rFonts w:ascii="Garamond" w:hAnsi="Garamond"/>
        </w:rPr>
      </w:pPr>
      <w:r w:rsidRPr="005A7521">
        <w:rPr>
          <w:rFonts w:ascii="Garamond" w:hAnsi="Garamond"/>
        </w:rPr>
        <w:t xml:space="preserve">One comforting feature of the IPO market is that companies with a certain degree of maturity only are accessing the market, where as for their early stage funding, companies are relying on financing from private and institutional sources. The median age of companies coming out with IPOs during last two years was about 17 years. In contrast, the median age of companies coming out with IPO in US is about 10 years.  </w:t>
      </w:r>
    </w:p>
    <w:p w14:paraId="4C907BAB" w14:textId="77777777" w:rsidR="005A7521" w:rsidRPr="005A7521" w:rsidRDefault="005A7521" w:rsidP="001852D7">
      <w:pPr>
        <w:jc w:val="both"/>
        <w:rPr>
          <w:rFonts w:ascii="Garamond" w:hAnsi="Garamond"/>
        </w:rPr>
      </w:pPr>
      <w:r w:rsidRPr="005A7521">
        <w:rPr>
          <w:rFonts w:ascii="Garamond" w:hAnsi="Garamond"/>
        </w:rPr>
        <w:t xml:space="preserve">Over 70% of the IPOs during last 3-4 years consisted of Offer for Sale, signaling exit by early stage investors like PE/VCF. This is also an indication of maturing of Indian capital market as early stage investors are able to successfully exit from their existing investments so as to be able to channelize their investments for other productive economic activities.  </w:t>
      </w:r>
    </w:p>
    <w:p w14:paraId="5DE5218A" w14:textId="77777777" w:rsidR="005A7521" w:rsidRPr="005A7521" w:rsidRDefault="005A7521" w:rsidP="001852D7">
      <w:pPr>
        <w:jc w:val="both"/>
        <w:rPr>
          <w:rFonts w:ascii="Garamond" w:hAnsi="Garamond"/>
        </w:rPr>
      </w:pPr>
      <w:r w:rsidRPr="005A7521">
        <w:rPr>
          <w:rFonts w:ascii="Garamond" w:hAnsi="Garamond"/>
        </w:rPr>
        <w:t xml:space="preserve">A look at the sectoral composition of benchmark indices, particularly SENSEX, shows that the index is predominantly dominated by the financial sector. The weightage of financial sector in SENSEX increased from 21% in March 2008 to 41% in March 2018 followed by IT sector with a weightage of 12%. During the same decade, the weightage of industrial sector in SENSEX declined from 13.5% to 8%. A look at the top 100 companies by market capitalization shows that the share of financial sector has increased from 15% in March 2008 to 23% in March 2018 and that of industrial sector has declined from 14% to 12%.  </w:t>
      </w:r>
    </w:p>
    <w:p w14:paraId="3A44A3D8" w14:textId="77777777" w:rsidR="005A7521" w:rsidRPr="005A7521" w:rsidRDefault="005A7521" w:rsidP="001852D7">
      <w:pPr>
        <w:jc w:val="both"/>
        <w:rPr>
          <w:rFonts w:ascii="Garamond" w:hAnsi="Garamond"/>
        </w:rPr>
      </w:pPr>
      <w:r w:rsidRPr="005A7521">
        <w:rPr>
          <w:rFonts w:ascii="Garamond" w:hAnsi="Garamond"/>
        </w:rPr>
        <w:t xml:space="preserve">To a casual observer, this may indicate a diminishing role of industrial/ manufacturing sector. However, if we look at the sectoral composition of IPOs over time, we discern a different picture. For instance, the share of industrial sector in IPOs has increased from 15% in 2012-13 to 36% in 2017-18. In contrast, the share of consumer discretionary goods and services sector and financial </w:t>
      </w:r>
      <w:r w:rsidRPr="005A7521">
        <w:rPr>
          <w:rFonts w:ascii="Garamond" w:hAnsi="Garamond"/>
        </w:rPr>
        <w:lastRenderedPageBreak/>
        <w:t xml:space="preserve">sector in IPOs has declined, respectively, from 44% to 23% and 13% to 11% during the same time period. The IPO market, therefore, appears to be indicating a trend which probably will get reflected in the benchmark indices at a later stage.  </w:t>
      </w:r>
    </w:p>
    <w:p w14:paraId="764E60D8" w14:textId="77777777" w:rsidR="005A7521" w:rsidRPr="005A7521" w:rsidRDefault="005A7521" w:rsidP="001852D7">
      <w:pPr>
        <w:jc w:val="both"/>
        <w:rPr>
          <w:rFonts w:ascii="Garamond" w:hAnsi="Garamond"/>
        </w:rPr>
      </w:pPr>
      <w:r w:rsidRPr="005A7521">
        <w:rPr>
          <w:rFonts w:ascii="Garamond" w:hAnsi="Garamond"/>
        </w:rPr>
        <w:t xml:space="preserve">Added to this, the number of SME IPOs has gone up from 38 in 2015-16 to 80 in 2016-17. This number further increased to 151 in 2017-18. This is yet another indicator of the increasing role of financial disintermediation that capital market is facilitating.   </w:t>
      </w:r>
    </w:p>
    <w:p w14:paraId="37E63455" w14:textId="77777777" w:rsidR="005A7521" w:rsidRPr="005A7521" w:rsidRDefault="005A7521" w:rsidP="001852D7">
      <w:pPr>
        <w:jc w:val="both"/>
        <w:rPr>
          <w:rFonts w:ascii="Garamond" w:hAnsi="Garamond"/>
        </w:rPr>
      </w:pPr>
      <w:r w:rsidRPr="005A7521">
        <w:rPr>
          <w:rFonts w:ascii="Garamond" w:hAnsi="Garamond"/>
        </w:rPr>
        <w:t xml:space="preserve">Data on returns generated by IPOs reflects that price discovery in primary market is probably becoming more fair, reinforcing the fact that better quality companies with reasonably longer duration of track record are accessing the market. During 2016-17, 60% of the IPOs, over a period of 1 year from listing, generated a return exceeding the 19% return generated by NIFTY during the same time period. </w:t>
      </w:r>
      <w:r w:rsidRPr="005A7521">
        <w:rPr>
          <w:rFonts w:ascii="Garamond" w:eastAsia="Times New Roman" w:hAnsi="Garamond"/>
          <w:b/>
        </w:rPr>
        <w:t xml:space="preserve"> </w:t>
      </w:r>
    </w:p>
    <w:p w14:paraId="15727015" w14:textId="77777777" w:rsidR="005A7521" w:rsidRPr="005A7521" w:rsidRDefault="005A7521" w:rsidP="005A7521">
      <w:pPr>
        <w:rPr>
          <w:rFonts w:ascii="Garamond" w:hAnsi="Garamond"/>
        </w:rPr>
      </w:pPr>
      <w:r w:rsidRPr="005A7521">
        <w:rPr>
          <w:rFonts w:ascii="Garamond" w:eastAsia="Times New Roman" w:hAnsi="Garamond"/>
          <w:b/>
        </w:rPr>
        <w:t xml:space="preserve"> </w:t>
      </w:r>
    </w:p>
    <w:p w14:paraId="624288E1" w14:textId="77777777" w:rsidR="005A7521" w:rsidRPr="005A7521" w:rsidRDefault="005A7521" w:rsidP="004F324A">
      <w:pPr>
        <w:pStyle w:val="Heading1"/>
        <w:spacing w:line="240" w:lineRule="auto"/>
        <w:ind w:left="-426"/>
        <w:rPr>
          <w:szCs w:val="24"/>
        </w:rPr>
      </w:pPr>
      <w:r w:rsidRPr="004F324A">
        <w:rPr>
          <w:b/>
          <w:szCs w:val="24"/>
          <w:u w:val="single"/>
        </w:rPr>
        <w:t>C. Important measures by SEBI pertaining to Corporates</w:t>
      </w:r>
      <w:r w:rsidRPr="005A7521">
        <w:rPr>
          <w:szCs w:val="24"/>
          <w:u w:color="000000"/>
        </w:rPr>
        <w:t xml:space="preserve"> </w:t>
      </w:r>
    </w:p>
    <w:p w14:paraId="2D8A02DF" w14:textId="77777777" w:rsidR="005A7521" w:rsidRPr="005A7521" w:rsidRDefault="005A7521" w:rsidP="001852D7">
      <w:pPr>
        <w:jc w:val="both"/>
        <w:rPr>
          <w:rFonts w:ascii="Garamond" w:hAnsi="Garamond"/>
        </w:rPr>
      </w:pPr>
      <w:r w:rsidRPr="005A7521">
        <w:rPr>
          <w:rFonts w:ascii="Garamond" w:hAnsi="Garamond"/>
        </w:rPr>
        <w:t xml:space="preserve">During my address at this FICCI event last year, I had articulated that, if public markets have to sustain the current and enhanced capital raising efforts, it is important that markets continue to satisfy some broad conditions.  </w:t>
      </w:r>
    </w:p>
    <w:p w14:paraId="229CE467" w14:textId="77777777" w:rsidR="008E68CC" w:rsidRDefault="005A7521" w:rsidP="008E68CC">
      <w:pPr>
        <w:ind w:left="851" w:hanging="425"/>
        <w:rPr>
          <w:rFonts w:ascii="Garamond" w:hAnsi="Garamond"/>
        </w:rPr>
      </w:pPr>
      <w:r w:rsidRPr="005A7521">
        <w:rPr>
          <w:rFonts w:ascii="Garamond" w:hAnsi="Garamond"/>
        </w:rPr>
        <w:t>i.</w:t>
      </w:r>
      <w:r w:rsidRPr="005A7521">
        <w:rPr>
          <w:rFonts w:ascii="Garamond" w:eastAsia="Arial" w:hAnsi="Garamond" w:cs="Arial"/>
        </w:rPr>
        <w:t xml:space="preserve"> </w:t>
      </w:r>
      <w:r w:rsidRPr="005A7521">
        <w:rPr>
          <w:rFonts w:ascii="Garamond" w:eastAsia="Arial" w:hAnsi="Garamond" w:cs="Arial"/>
        </w:rPr>
        <w:tab/>
      </w:r>
      <w:r w:rsidRPr="005A7521">
        <w:rPr>
          <w:rFonts w:ascii="Garamond" w:hAnsi="Garamond"/>
        </w:rPr>
        <w:t>The standard of conduct in the market for all stakeholders</w:t>
      </w:r>
      <w:r w:rsidR="008E68CC">
        <w:rPr>
          <w:rFonts w:ascii="Garamond" w:hAnsi="Garamond"/>
        </w:rPr>
        <w:t xml:space="preserve"> </w:t>
      </w:r>
      <w:r w:rsidRPr="005A7521">
        <w:rPr>
          <w:rFonts w:ascii="Garamond" w:hAnsi="Garamond"/>
        </w:rPr>
        <w:t>(intermediaries, merchant bankers, issuers, auditors, etc.) has to further strengthen and be benchmar</w:t>
      </w:r>
      <w:r w:rsidR="008E68CC">
        <w:rPr>
          <w:rFonts w:ascii="Garamond" w:hAnsi="Garamond"/>
        </w:rPr>
        <w:t xml:space="preserve">ked to the best in the world. </w:t>
      </w:r>
    </w:p>
    <w:p w14:paraId="77F31084" w14:textId="77777777" w:rsidR="005A7521" w:rsidRPr="005A7521" w:rsidRDefault="005A7521" w:rsidP="008E68CC">
      <w:pPr>
        <w:ind w:left="851" w:hanging="425"/>
        <w:rPr>
          <w:rFonts w:ascii="Garamond" w:hAnsi="Garamond"/>
        </w:rPr>
      </w:pPr>
      <w:r w:rsidRPr="005A7521">
        <w:rPr>
          <w:rFonts w:ascii="Garamond" w:hAnsi="Garamond"/>
        </w:rPr>
        <w:t>ii.</w:t>
      </w:r>
      <w:r w:rsidRPr="005A7521">
        <w:rPr>
          <w:rFonts w:ascii="Garamond" w:eastAsia="Arial" w:hAnsi="Garamond" w:cs="Arial"/>
        </w:rPr>
        <w:t xml:space="preserve"> </w:t>
      </w:r>
      <w:r w:rsidR="008E68CC">
        <w:rPr>
          <w:rFonts w:ascii="Garamond" w:eastAsia="Arial" w:hAnsi="Garamond" w:cs="Arial"/>
        </w:rPr>
        <w:t xml:space="preserve">    </w:t>
      </w:r>
      <w:r w:rsidRPr="005A7521">
        <w:rPr>
          <w:rFonts w:ascii="Garamond" w:hAnsi="Garamond"/>
        </w:rPr>
        <w:t xml:space="preserve">Secondly integrity of the markets should be non-negotiable so that it gives a high degree of comfort and confidence to investors.  </w:t>
      </w:r>
    </w:p>
    <w:p w14:paraId="42CD94A2" w14:textId="77777777" w:rsidR="005A7521" w:rsidRPr="005A7521" w:rsidRDefault="005A7521" w:rsidP="008E68CC">
      <w:pPr>
        <w:ind w:left="851" w:hanging="425"/>
        <w:rPr>
          <w:rFonts w:ascii="Garamond" w:hAnsi="Garamond"/>
        </w:rPr>
      </w:pPr>
      <w:r w:rsidRPr="005A7521">
        <w:rPr>
          <w:rFonts w:ascii="Garamond" w:hAnsi="Garamond"/>
        </w:rPr>
        <w:t>iii.</w:t>
      </w:r>
      <w:r w:rsidRPr="005A7521">
        <w:rPr>
          <w:rFonts w:ascii="Garamond" w:eastAsia="Arial" w:hAnsi="Garamond" w:cs="Arial"/>
        </w:rPr>
        <w:t xml:space="preserve"> </w:t>
      </w:r>
      <w:r w:rsidR="008E68CC">
        <w:rPr>
          <w:rFonts w:ascii="Garamond" w:eastAsia="Arial" w:hAnsi="Garamond" w:cs="Arial"/>
        </w:rPr>
        <w:t xml:space="preserve">   </w:t>
      </w:r>
      <w:r w:rsidRPr="005A7521">
        <w:rPr>
          <w:rFonts w:ascii="Garamond" w:hAnsi="Garamond"/>
        </w:rPr>
        <w:t xml:space="preserve">Lastly, there should be adequate competition with frictionless ease of doing business for all stakeholders  </w:t>
      </w:r>
    </w:p>
    <w:p w14:paraId="63CBEE48" w14:textId="77777777" w:rsidR="005A7521" w:rsidRPr="005A7521" w:rsidRDefault="005A7521" w:rsidP="001852D7">
      <w:pPr>
        <w:jc w:val="both"/>
        <w:rPr>
          <w:rFonts w:ascii="Garamond" w:hAnsi="Garamond"/>
        </w:rPr>
      </w:pPr>
      <w:r w:rsidRPr="005A7521">
        <w:rPr>
          <w:rFonts w:ascii="Garamond" w:hAnsi="Garamond"/>
        </w:rPr>
        <w:t xml:space="preserve">In light of these views, let me now talk broadly about the direction of reforms undertaken by SEBI during the last one year.  </w:t>
      </w:r>
    </w:p>
    <w:p w14:paraId="21811B6C" w14:textId="77777777" w:rsidR="005A7521" w:rsidRPr="005A7521" w:rsidRDefault="005A7521" w:rsidP="001852D7">
      <w:pPr>
        <w:jc w:val="both"/>
        <w:rPr>
          <w:rFonts w:ascii="Garamond" w:hAnsi="Garamond"/>
        </w:rPr>
      </w:pPr>
      <w:r w:rsidRPr="005A7521">
        <w:rPr>
          <w:rFonts w:ascii="Garamond" w:hAnsi="Garamond"/>
        </w:rPr>
        <w:t xml:space="preserve">Corporate governance standards are foremost for enhanced standards of conduct by corporates. Keeping in view the recommendations of the Committee headed by Shri. Uday Kotak, along with the public comments thereon, SEBI has taken decisions on several measures to further improve corporate governance in India.  </w:t>
      </w:r>
    </w:p>
    <w:p w14:paraId="7105BAD9" w14:textId="77777777" w:rsidR="005A7521" w:rsidRPr="005A7521" w:rsidRDefault="005A7521" w:rsidP="001852D7">
      <w:pPr>
        <w:jc w:val="both"/>
        <w:rPr>
          <w:rFonts w:ascii="Garamond" w:hAnsi="Garamond"/>
        </w:rPr>
      </w:pPr>
      <w:r w:rsidRPr="005A7521">
        <w:rPr>
          <w:rFonts w:ascii="Garamond" w:hAnsi="Garamond"/>
        </w:rPr>
        <w:t xml:space="preserve">For instance, SEBI, inter alia, enhanced the focus on independent directors, prescribed separation of posts of CEO/ MD and Chairperson; enhanced role of the Audit Committee, Nomination and Remuneration Committee and Risk Management Committee; strengthened approval and disclosure of related party transactions (RPTs) and mandated mandatory consolidated quarterly results w.e.f. from FY 2019-20 and mandatory secretarial audit for listed entities and their material unlisted subsidiaries. </w:t>
      </w:r>
    </w:p>
    <w:p w14:paraId="03DE1504" w14:textId="77777777" w:rsidR="005A7521" w:rsidRPr="005A7521" w:rsidRDefault="005A7521" w:rsidP="001852D7">
      <w:pPr>
        <w:jc w:val="both"/>
        <w:rPr>
          <w:rFonts w:ascii="Garamond" w:hAnsi="Garamond"/>
        </w:rPr>
      </w:pPr>
      <w:r w:rsidRPr="005A7521">
        <w:rPr>
          <w:rFonts w:ascii="Garamond" w:hAnsi="Garamond"/>
        </w:rPr>
        <w:t xml:space="preserve">While, globally, India already ranks high on the aspect of protection of minority interests as per the Doing Business Report of the World Bank Group, the recent measures on corporate governance by SEBI would add significantly in enhancing investor confidence by way of further enhancing transparency and accountability in the governance of corporate sector in India.  </w:t>
      </w:r>
    </w:p>
    <w:p w14:paraId="79D8E96E" w14:textId="77777777" w:rsidR="005A7521" w:rsidRDefault="005A7521" w:rsidP="001852D7">
      <w:pPr>
        <w:jc w:val="both"/>
        <w:rPr>
          <w:rFonts w:ascii="Garamond" w:hAnsi="Garamond"/>
        </w:rPr>
      </w:pPr>
      <w:r w:rsidRPr="005A7521">
        <w:rPr>
          <w:rFonts w:ascii="Garamond" w:hAnsi="Garamond"/>
        </w:rPr>
        <w:t>Based on the inputs received from various stakeholders and through wider consultations, SEBI recently reviewed the ICDR, SAST and Buyback regulations. The recent changes to ICDR regulations, inter alia, include rationalization of disclosure requirement, rationalized definition of promoter group and aspects which would further enhance o</w:t>
      </w:r>
      <w:r w:rsidR="004F324A">
        <w:rPr>
          <w:rFonts w:ascii="Garamond" w:hAnsi="Garamond"/>
        </w:rPr>
        <w:t xml:space="preserve">verall ease of doing business. </w:t>
      </w:r>
    </w:p>
    <w:p w14:paraId="11801CE5" w14:textId="77777777" w:rsidR="004F324A" w:rsidRPr="005A7521" w:rsidRDefault="004F324A" w:rsidP="004F324A">
      <w:pPr>
        <w:jc w:val="both"/>
        <w:rPr>
          <w:rFonts w:ascii="Garamond" w:hAnsi="Garamond"/>
        </w:rPr>
      </w:pPr>
    </w:p>
    <w:p w14:paraId="7AE14173" w14:textId="77777777" w:rsidR="005A7521" w:rsidRPr="005A7521" w:rsidRDefault="005A7521" w:rsidP="004F324A">
      <w:pPr>
        <w:pStyle w:val="Heading1"/>
        <w:spacing w:line="240" w:lineRule="auto"/>
        <w:ind w:left="-426"/>
        <w:rPr>
          <w:szCs w:val="24"/>
        </w:rPr>
      </w:pPr>
      <w:r w:rsidRPr="004F324A">
        <w:rPr>
          <w:b/>
          <w:szCs w:val="24"/>
          <w:u w:val="single"/>
        </w:rPr>
        <w:t xml:space="preserve">D. Challenges  </w:t>
      </w:r>
    </w:p>
    <w:p w14:paraId="2E98C4D3" w14:textId="77777777" w:rsidR="005A7521" w:rsidRPr="005A7521" w:rsidRDefault="005A7521" w:rsidP="001852D7">
      <w:pPr>
        <w:jc w:val="both"/>
        <w:rPr>
          <w:rFonts w:ascii="Garamond" w:hAnsi="Garamond"/>
        </w:rPr>
      </w:pPr>
      <w:r w:rsidRPr="005A7521">
        <w:rPr>
          <w:rFonts w:ascii="Garamond" w:hAnsi="Garamond"/>
        </w:rPr>
        <w:t xml:space="preserve">KPMG report titled </w:t>
      </w:r>
      <w:r w:rsidRPr="005A7521">
        <w:rPr>
          <w:rFonts w:ascii="Garamond" w:eastAsia="Times New Roman" w:hAnsi="Garamond"/>
          <w:i/>
        </w:rPr>
        <w:t>“Ten key global regulatory challenges for 2018 –action to drive effective change in financial services”</w:t>
      </w:r>
      <w:r w:rsidRPr="005A7521">
        <w:rPr>
          <w:rFonts w:ascii="Garamond" w:hAnsi="Garamond"/>
        </w:rPr>
        <w:t xml:space="preserve"> outlines - Cyber-security and Data Privacy; Risk Management, Governance and Controls; Conduct and Culture; Compliance Risk Management; Financial Crimes Compliance; Strategic Risk and Disruptions; Fiduciary and Investor Protection; Data and Analytics; Capital and Liquidity; and Geopolitical Uncertainty as the 10 major regulatory challenges.  </w:t>
      </w:r>
    </w:p>
    <w:p w14:paraId="35C3A9CB" w14:textId="77777777" w:rsidR="005A7521" w:rsidRPr="005A7521" w:rsidRDefault="005A7521" w:rsidP="001852D7">
      <w:pPr>
        <w:jc w:val="both"/>
        <w:rPr>
          <w:rFonts w:ascii="Garamond" w:hAnsi="Garamond"/>
        </w:rPr>
      </w:pPr>
      <w:r w:rsidRPr="005A7521">
        <w:rPr>
          <w:rFonts w:ascii="Garamond" w:hAnsi="Garamond"/>
        </w:rPr>
        <w:lastRenderedPageBreak/>
        <w:t xml:space="preserve">While the report intends to guide financial services companies in allocating valuable resources and investment to manage risk, the list also has implications for regulatory policies. In this context, let me highlight 3-4 areas where SEBI is focused on at prtesent. </w:t>
      </w:r>
      <w:r w:rsidRPr="005A7521">
        <w:rPr>
          <w:rFonts w:ascii="Garamond" w:eastAsia="Times New Roman" w:hAnsi="Garamond"/>
          <w:b/>
        </w:rPr>
        <w:t xml:space="preserve"> </w:t>
      </w:r>
    </w:p>
    <w:p w14:paraId="2E55B41A" w14:textId="77777777" w:rsidR="005A7521" w:rsidRPr="005A7521" w:rsidRDefault="005A7521" w:rsidP="001852D7">
      <w:pPr>
        <w:jc w:val="both"/>
        <w:rPr>
          <w:rFonts w:ascii="Garamond" w:hAnsi="Garamond"/>
        </w:rPr>
      </w:pPr>
      <w:r w:rsidRPr="005A7521">
        <w:rPr>
          <w:rFonts w:ascii="Garamond" w:hAnsi="Garamond"/>
        </w:rPr>
        <w:t xml:space="preserve">Cyber security is clearly an area SEBI is actively involved in. A High Powered Steering Committee on Cyber Security (HPSC-CS) comprising experts is providing overall guidance to SEBI in developing and maintaining cyber security and cyber resilience requirements aligned with Global best practices and Industry standards.  </w:t>
      </w:r>
    </w:p>
    <w:p w14:paraId="28EB1DBE" w14:textId="77777777" w:rsidR="005A7521" w:rsidRPr="005A7521" w:rsidRDefault="005A7521" w:rsidP="001852D7">
      <w:pPr>
        <w:jc w:val="both"/>
        <w:rPr>
          <w:rFonts w:ascii="Garamond" w:hAnsi="Garamond"/>
        </w:rPr>
      </w:pPr>
      <w:r w:rsidRPr="005A7521">
        <w:rPr>
          <w:rFonts w:ascii="Garamond" w:hAnsi="Garamond"/>
        </w:rPr>
        <w:t>Towards enhancing market integrity, SEBI has strengthened the framework for algorithmic trading recently. To further strengthen the rules to deter financial crimes like frauds, market manipulations and insider trading, the Fair Market Conduct Committee constituted by SEBI and headed by</w:t>
      </w:r>
      <w:r w:rsidRPr="005A7521">
        <w:rPr>
          <w:rFonts w:ascii="Garamond" w:eastAsia="Calibri" w:hAnsi="Garamond" w:cs="Calibri"/>
          <w:vertAlign w:val="subscript"/>
        </w:rPr>
        <w:t xml:space="preserve"> </w:t>
      </w:r>
      <w:r w:rsidRPr="005A7521">
        <w:rPr>
          <w:rFonts w:ascii="Garamond" w:hAnsi="Garamond"/>
        </w:rPr>
        <w:t xml:space="preserve">Dr.T. K. Viswanathan, Formerly Union Law Secretary has since submitted its recommendations which were also put in public domain seeking comments. A view on these recommendations will be taken soon. </w:t>
      </w:r>
      <w:r w:rsidRPr="005A7521">
        <w:rPr>
          <w:rFonts w:ascii="Garamond" w:eastAsia="Times New Roman" w:hAnsi="Garamond"/>
          <w:b/>
        </w:rPr>
        <w:t xml:space="preserve"> </w:t>
      </w:r>
    </w:p>
    <w:p w14:paraId="5EE0C2C3" w14:textId="77777777" w:rsidR="005A7521" w:rsidRDefault="005A7521" w:rsidP="001852D7">
      <w:pPr>
        <w:jc w:val="both"/>
        <w:rPr>
          <w:rFonts w:ascii="Garamond" w:hAnsi="Garamond"/>
        </w:rPr>
      </w:pPr>
      <w:r w:rsidRPr="005A7521">
        <w:rPr>
          <w:rFonts w:ascii="Garamond" w:hAnsi="Garamond"/>
        </w:rPr>
        <w:t>With increasing amount of financial transactions, all of us are faced with volumes of data to deal with. The surveillance system of SEBI already has an embedded data warehouse and business intelligence system. Presently, SEBI is focused on further enhancing its in-house analytics capacity to make better use of data analytics for its supervision function. SEBI has recently invited expression of interest from companies for enhancement of analytical capabilities and setting up of private cloud to provide infrastructure, storage and computing capacity to different upcoming proj</w:t>
      </w:r>
      <w:r w:rsidR="004F324A">
        <w:rPr>
          <w:rFonts w:ascii="Garamond" w:hAnsi="Garamond"/>
        </w:rPr>
        <w:t xml:space="preserve">ects of SEBI. </w:t>
      </w:r>
    </w:p>
    <w:p w14:paraId="6F9C8A47" w14:textId="77777777" w:rsidR="004F324A" w:rsidRPr="005A7521" w:rsidRDefault="004F324A" w:rsidP="004F324A">
      <w:pPr>
        <w:jc w:val="both"/>
        <w:rPr>
          <w:rFonts w:ascii="Garamond" w:hAnsi="Garamond"/>
        </w:rPr>
      </w:pPr>
    </w:p>
    <w:p w14:paraId="6371C505" w14:textId="77777777" w:rsidR="005A7521" w:rsidRPr="005A7521" w:rsidRDefault="005A7521" w:rsidP="004F324A">
      <w:pPr>
        <w:pStyle w:val="Heading1"/>
        <w:spacing w:line="240" w:lineRule="auto"/>
        <w:ind w:left="-426"/>
        <w:rPr>
          <w:szCs w:val="24"/>
        </w:rPr>
      </w:pPr>
      <w:r w:rsidRPr="004F324A">
        <w:rPr>
          <w:b/>
          <w:szCs w:val="24"/>
          <w:u w:val="single"/>
        </w:rPr>
        <w:t xml:space="preserve">E. Theme of the Conference  </w:t>
      </w:r>
    </w:p>
    <w:p w14:paraId="1EA03B24" w14:textId="77777777" w:rsidR="005A7521" w:rsidRPr="005A7521" w:rsidRDefault="005A7521" w:rsidP="001852D7">
      <w:pPr>
        <w:jc w:val="both"/>
        <w:rPr>
          <w:rFonts w:ascii="Garamond" w:hAnsi="Garamond"/>
        </w:rPr>
      </w:pPr>
      <w:r w:rsidRPr="005A7521">
        <w:rPr>
          <w:rFonts w:ascii="Garamond" w:hAnsi="Garamond"/>
        </w:rPr>
        <w:t xml:space="preserve">Year 2022 is a landmark year for all of us as India complete 75 years of Independence.  </w:t>
      </w:r>
    </w:p>
    <w:p w14:paraId="0409A441" w14:textId="77777777" w:rsidR="005A7521" w:rsidRPr="005A7521" w:rsidRDefault="005A7521" w:rsidP="001852D7">
      <w:pPr>
        <w:jc w:val="both"/>
        <w:rPr>
          <w:rFonts w:ascii="Garamond" w:hAnsi="Garamond"/>
        </w:rPr>
      </w:pPr>
      <w:r w:rsidRPr="005A7521">
        <w:rPr>
          <w:rFonts w:ascii="Garamond" w:hAnsi="Garamond"/>
        </w:rPr>
        <w:t xml:space="preserve">The vision of New India along with its impact on the economy is bound to reshape our capital markets by 2022. In order to support higher economic growth, there is a need for concerted effort towards further developing the Indian securities market so as to increase market based financing and supply of risk capital. In the coming years, SEBI will continue with its endeavor of providing the right regulatory environment and facilitating development of market infrastructure to meet the financing need of economic activities through the securities market.  </w:t>
      </w:r>
    </w:p>
    <w:p w14:paraId="00EF12BB" w14:textId="77777777" w:rsidR="005A7521" w:rsidRPr="005A7521" w:rsidRDefault="005A7521" w:rsidP="001852D7">
      <w:pPr>
        <w:jc w:val="both"/>
        <w:rPr>
          <w:rFonts w:ascii="Garamond" w:hAnsi="Garamond"/>
        </w:rPr>
      </w:pPr>
      <w:r w:rsidRPr="005A7521">
        <w:rPr>
          <w:rFonts w:ascii="Garamond" w:hAnsi="Garamond"/>
        </w:rPr>
        <w:t xml:space="preserve">In furthering market based financing, corporate bond market has to play an increasingly important role. Further development of a liquid corporate bond market through trading of securitized receipts, increased participation of domestic institutional investors and though other relevant policy and operational measures will continue to engage the attention of SEBI going forward. </w:t>
      </w:r>
    </w:p>
    <w:p w14:paraId="6EAE3D7D" w14:textId="77777777" w:rsidR="005A7521" w:rsidRPr="005A7521" w:rsidRDefault="005A7521" w:rsidP="001852D7">
      <w:pPr>
        <w:jc w:val="both"/>
        <w:rPr>
          <w:rFonts w:ascii="Garamond" w:hAnsi="Garamond"/>
        </w:rPr>
      </w:pPr>
      <w:r w:rsidRPr="005A7521">
        <w:rPr>
          <w:rFonts w:ascii="Garamond" w:hAnsi="Garamond"/>
        </w:rPr>
        <w:t xml:space="preserve">Increasing the role of Indian securities market hinges upon a transformational change in the current allocation of household’s savings between physical and financial assets and there is a need to channelize more and more savings to productive financial assets. Policy refinements for enhancing geographical spread of securities market in India will continue. Apart from enhancing investor awareness and improving access to securities market, technology solutions will be explored to achieve the objective of scaling up of delivery channels in the market. </w:t>
      </w:r>
    </w:p>
    <w:p w14:paraId="2D79CF09" w14:textId="77777777" w:rsidR="005A7521" w:rsidRPr="005A7521" w:rsidRDefault="005A7521" w:rsidP="001852D7">
      <w:pPr>
        <w:jc w:val="both"/>
        <w:rPr>
          <w:rFonts w:ascii="Garamond" w:hAnsi="Garamond"/>
        </w:rPr>
      </w:pPr>
      <w:r w:rsidRPr="005A7521">
        <w:rPr>
          <w:rFonts w:ascii="Garamond" w:hAnsi="Garamond"/>
        </w:rPr>
        <w:t xml:space="preserve">Continued investor confidence is a crucial factor in attracting more investors to securities market. Right governance framework and a transparent and clean market go a long way in meeting these expectations of investors at large. SEBI will continue to focus on further enhancing the overall governance standards in the market, be it for issuers, intermediaries or market infrastructure providers. </w:t>
      </w:r>
    </w:p>
    <w:p w14:paraId="35085D91" w14:textId="77777777" w:rsidR="005A7521" w:rsidRPr="005A7521" w:rsidRDefault="005A7521" w:rsidP="001852D7">
      <w:pPr>
        <w:jc w:val="both"/>
        <w:rPr>
          <w:rFonts w:ascii="Garamond" w:hAnsi="Garamond"/>
        </w:rPr>
      </w:pPr>
      <w:r w:rsidRPr="005A7521">
        <w:rPr>
          <w:rFonts w:ascii="Garamond" w:hAnsi="Garamond"/>
        </w:rPr>
        <w:t xml:space="preserve">In the next wave of capital markets growth, apart from the traditional markets i.e. equity, bonds, and currencies, we expect a lot more focus on the commodity markets. In this context, integration of commodities and securities derivative markets and introduction of new products, including option and index products in the commodity derivatives space is an area which have been actively engaging our attention.  </w:t>
      </w:r>
    </w:p>
    <w:p w14:paraId="1CFA6097" w14:textId="77777777" w:rsidR="005A7521" w:rsidRPr="005A7521" w:rsidRDefault="005A7521" w:rsidP="001852D7">
      <w:pPr>
        <w:jc w:val="both"/>
        <w:rPr>
          <w:rFonts w:ascii="Garamond" w:hAnsi="Garamond"/>
        </w:rPr>
      </w:pPr>
      <w:r w:rsidRPr="005A7521">
        <w:rPr>
          <w:rFonts w:ascii="Garamond" w:hAnsi="Garamond"/>
        </w:rPr>
        <w:t xml:space="preserve">Technology use in the financial sector is already disrupting the traditional regulatory tools forcing regulators to keep pace with the changes. Going forward, increase in use of machine learning and artificial intelligence among other technologies, in the capital markets is a writing on the wall. The complexities in the capital markets are only going to increase with time. SEBI needs to quickly upgrade </w:t>
      </w:r>
      <w:r w:rsidRPr="005A7521">
        <w:rPr>
          <w:rFonts w:ascii="Garamond" w:hAnsi="Garamond"/>
        </w:rPr>
        <w:lastRenderedPageBreak/>
        <w:t xml:space="preserve">its regulatory capacity to properly comprehend the nuances of technological changes with a view to staying ahead of the curve.  </w:t>
      </w:r>
    </w:p>
    <w:p w14:paraId="4C583D52" w14:textId="77777777" w:rsidR="005A7521" w:rsidRPr="005A7521" w:rsidRDefault="005A7521" w:rsidP="001852D7">
      <w:pPr>
        <w:jc w:val="both"/>
        <w:rPr>
          <w:rFonts w:ascii="Garamond" w:hAnsi="Garamond"/>
        </w:rPr>
      </w:pPr>
      <w:r w:rsidRPr="005A7521">
        <w:rPr>
          <w:rFonts w:ascii="Garamond" w:hAnsi="Garamond"/>
        </w:rPr>
        <w:t xml:space="preserve">“Proper level of regulation” is an issue with which a regulator has to constantly grapple with. As for SEBI, the objectives of improving ease of doing business and maintaining market integrity have to be properly balanced. Any imbalance leads to either over regulation or under regulation. While it may not be always possible to accurately quantify the costs and benefits of making a regulation, it will be our endeavor to keep on improving the processes going forward.    </w:t>
      </w:r>
    </w:p>
    <w:p w14:paraId="70356307" w14:textId="77777777" w:rsidR="005A7521" w:rsidRPr="005A7521" w:rsidRDefault="005A7521" w:rsidP="001852D7">
      <w:pPr>
        <w:jc w:val="both"/>
        <w:rPr>
          <w:rFonts w:ascii="Garamond" w:hAnsi="Garamond"/>
        </w:rPr>
      </w:pPr>
      <w:r w:rsidRPr="005A7521">
        <w:rPr>
          <w:rFonts w:ascii="Garamond" w:hAnsi="Garamond"/>
        </w:rPr>
        <w:t xml:space="preserve">Our overall vision is to have bigger, cleaner and safer markets. As of now, </w:t>
      </w:r>
    </w:p>
    <w:p w14:paraId="4B25077E" w14:textId="77777777" w:rsidR="004F324A" w:rsidRDefault="005A7521" w:rsidP="005A7521">
      <w:pPr>
        <w:rPr>
          <w:rFonts w:ascii="Garamond" w:hAnsi="Garamond"/>
        </w:rPr>
      </w:pPr>
      <w:r w:rsidRPr="005A7521">
        <w:rPr>
          <w:rFonts w:ascii="Garamond" w:hAnsi="Garamond"/>
        </w:rPr>
        <w:t>India’s capital markets are 8</w:t>
      </w:r>
      <w:r w:rsidRPr="005A7521">
        <w:rPr>
          <w:rFonts w:ascii="Garamond" w:hAnsi="Garamond"/>
          <w:vertAlign w:val="superscript"/>
        </w:rPr>
        <w:t>th</w:t>
      </w:r>
      <w:r w:rsidRPr="005A7521">
        <w:rPr>
          <w:rFonts w:ascii="Garamond" w:hAnsi="Garamond"/>
        </w:rPr>
        <w:t xml:space="preserve"> largest in the world in terms of market capitalization. Our market cap to GDP ratio is 86%. SEBI is committed to facilitate further growth of markets. SEBI is equally committed to ensure clean and safe markets. We are duty bound to ensure that the market mechanism is not misused or manipulated by the unscrupulous elements. It is but natural to keep focus on safety issues including systemic risks. In reality, all these issues are inter-related. </w:t>
      </w:r>
    </w:p>
    <w:p w14:paraId="669D41AA" w14:textId="77777777" w:rsidR="005A7521" w:rsidRPr="005A7521" w:rsidRDefault="005A7521" w:rsidP="005A7521">
      <w:pPr>
        <w:rPr>
          <w:rFonts w:ascii="Garamond" w:hAnsi="Garamond"/>
        </w:rPr>
      </w:pPr>
      <w:r w:rsidRPr="005A7521">
        <w:rPr>
          <w:rFonts w:ascii="Garamond" w:hAnsi="Garamond"/>
        </w:rPr>
        <w:t xml:space="preserve">   </w:t>
      </w:r>
      <w:r w:rsidRPr="005A7521">
        <w:rPr>
          <w:rFonts w:ascii="Garamond" w:eastAsia="Times New Roman" w:hAnsi="Garamond"/>
          <w:i/>
        </w:rPr>
        <w:t xml:space="preserve"> </w:t>
      </w:r>
    </w:p>
    <w:p w14:paraId="2DB1C5B7" w14:textId="77777777" w:rsidR="00560A50" w:rsidRDefault="00560A50" w:rsidP="003245DD">
      <w:pPr>
        <w:rPr>
          <w:rFonts w:ascii="Garamond" w:hAnsi="Garamond"/>
          <w:b/>
          <w:sz w:val="28"/>
        </w:rPr>
      </w:pPr>
    </w:p>
    <w:p w14:paraId="17FAD42D" w14:textId="77777777" w:rsidR="00560A50" w:rsidRDefault="00560A50" w:rsidP="003245DD">
      <w:pPr>
        <w:rPr>
          <w:rFonts w:ascii="Garamond" w:hAnsi="Garamond"/>
          <w:b/>
          <w:sz w:val="28"/>
        </w:rPr>
      </w:pPr>
    </w:p>
    <w:p w14:paraId="0CAA7BE5" w14:textId="77777777" w:rsidR="00560A50" w:rsidRDefault="00560A50" w:rsidP="003245DD">
      <w:pPr>
        <w:rPr>
          <w:rFonts w:ascii="Garamond" w:hAnsi="Garamond"/>
          <w:b/>
          <w:sz w:val="28"/>
        </w:rPr>
      </w:pPr>
    </w:p>
    <w:p w14:paraId="035FC6DA" w14:textId="77777777" w:rsidR="00560A50" w:rsidRDefault="00560A50" w:rsidP="003245DD">
      <w:pPr>
        <w:rPr>
          <w:rFonts w:ascii="Garamond" w:hAnsi="Garamond"/>
          <w:b/>
          <w:sz w:val="28"/>
        </w:rPr>
      </w:pPr>
    </w:p>
    <w:p w14:paraId="0C5C57B0" w14:textId="77777777" w:rsidR="00560A50" w:rsidRDefault="00560A50" w:rsidP="003245DD">
      <w:pPr>
        <w:rPr>
          <w:rFonts w:ascii="Garamond" w:hAnsi="Garamond"/>
          <w:b/>
          <w:sz w:val="28"/>
        </w:rPr>
      </w:pPr>
    </w:p>
    <w:p w14:paraId="4D9CC125" w14:textId="77777777" w:rsidR="00560A50" w:rsidRDefault="00560A50" w:rsidP="003245DD">
      <w:pPr>
        <w:rPr>
          <w:rFonts w:ascii="Garamond" w:hAnsi="Garamond"/>
          <w:b/>
          <w:sz w:val="28"/>
        </w:rPr>
      </w:pPr>
    </w:p>
    <w:p w14:paraId="11AA89DA" w14:textId="77777777" w:rsidR="00560A50" w:rsidRDefault="00560A50" w:rsidP="003245DD">
      <w:pPr>
        <w:rPr>
          <w:rFonts w:ascii="Garamond" w:hAnsi="Garamond"/>
          <w:b/>
          <w:sz w:val="28"/>
        </w:rPr>
      </w:pPr>
    </w:p>
    <w:p w14:paraId="567728C4" w14:textId="77777777" w:rsidR="00560A50" w:rsidRDefault="00560A50" w:rsidP="003245DD">
      <w:pPr>
        <w:rPr>
          <w:rFonts w:ascii="Garamond" w:hAnsi="Garamond"/>
          <w:b/>
          <w:sz w:val="28"/>
        </w:rPr>
      </w:pPr>
    </w:p>
    <w:p w14:paraId="3463C65D" w14:textId="77777777" w:rsidR="00560A50" w:rsidRDefault="00560A50" w:rsidP="003245DD">
      <w:pPr>
        <w:rPr>
          <w:rFonts w:ascii="Garamond" w:hAnsi="Garamond"/>
          <w:b/>
          <w:sz w:val="28"/>
        </w:rPr>
      </w:pPr>
    </w:p>
    <w:p w14:paraId="72BDAB7C" w14:textId="77777777" w:rsidR="00560A50" w:rsidRDefault="00560A50" w:rsidP="003245DD">
      <w:pPr>
        <w:rPr>
          <w:rFonts w:ascii="Garamond" w:hAnsi="Garamond"/>
          <w:b/>
          <w:sz w:val="28"/>
        </w:rPr>
      </w:pPr>
    </w:p>
    <w:p w14:paraId="71689BBF" w14:textId="77777777" w:rsidR="00560A50" w:rsidRDefault="00560A50" w:rsidP="003245DD">
      <w:pPr>
        <w:rPr>
          <w:rFonts w:ascii="Garamond" w:hAnsi="Garamond"/>
          <w:b/>
          <w:sz w:val="28"/>
        </w:rPr>
      </w:pPr>
    </w:p>
    <w:p w14:paraId="552BD736" w14:textId="77777777" w:rsidR="00560A50" w:rsidRDefault="00560A50" w:rsidP="003245DD">
      <w:pPr>
        <w:rPr>
          <w:rFonts w:ascii="Garamond" w:hAnsi="Garamond"/>
          <w:b/>
          <w:sz w:val="28"/>
        </w:rPr>
      </w:pPr>
    </w:p>
    <w:p w14:paraId="0DEC10F5" w14:textId="77777777" w:rsidR="00560A50" w:rsidRDefault="00560A50" w:rsidP="003245DD">
      <w:pPr>
        <w:rPr>
          <w:rFonts w:ascii="Garamond" w:hAnsi="Garamond"/>
          <w:b/>
          <w:sz w:val="28"/>
        </w:rPr>
      </w:pPr>
    </w:p>
    <w:p w14:paraId="34532E6B" w14:textId="77777777" w:rsidR="00560A50" w:rsidRDefault="00560A50" w:rsidP="003245DD">
      <w:pPr>
        <w:rPr>
          <w:rFonts w:ascii="Garamond" w:hAnsi="Garamond"/>
          <w:b/>
          <w:sz w:val="28"/>
        </w:rPr>
      </w:pPr>
    </w:p>
    <w:p w14:paraId="7628872D" w14:textId="77777777" w:rsidR="00560A50" w:rsidRDefault="00560A50" w:rsidP="003245DD">
      <w:pPr>
        <w:rPr>
          <w:rFonts w:ascii="Garamond" w:hAnsi="Garamond"/>
          <w:b/>
          <w:sz w:val="28"/>
        </w:rPr>
      </w:pPr>
    </w:p>
    <w:p w14:paraId="0BD6AE0E" w14:textId="77777777" w:rsidR="00560A50" w:rsidRDefault="00560A50" w:rsidP="003245DD">
      <w:pPr>
        <w:rPr>
          <w:rFonts w:ascii="Garamond" w:hAnsi="Garamond"/>
          <w:b/>
          <w:sz w:val="28"/>
        </w:rPr>
      </w:pPr>
    </w:p>
    <w:p w14:paraId="45E0075B" w14:textId="77777777" w:rsidR="00560A50" w:rsidRDefault="00560A50" w:rsidP="003245DD">
      <w:pPr>
        <w:rPr>
          <w:rFonts w:ascii="Garamond" w:hAnsi="Garamond"/>
          <w:b/>
          <w:sz w:val="28"/>
        </w:rPr>
      </w:pPr>
    </w:p>
    <w:p w14:paraId="3E8717B5" w14:textId="77777777" w:rsidR="00560A50" w:rsidRDefault="00560A50" w:rsidP="003245DD">
      <w:pPr>
        <w:rPr>
          <w:rFonts w:ascii="Garamond" w:hAnsi="Garamond"/>
          <w:b/>
          <w:sz w:val="28"/>
        </w:rPr>
      </w:pPr>
    </w:p>
    <w:p w14:paraId="5FA558F0" w14:textId="77777777" w:rsidR="00560A50" w:rsidRDefault="00560A50" w:rsidP="003245DD">
      <w:pPr>
        <w:rPr>
          <w:rFonts w:ascii="Garamond" w:hAnsi="Garamond"/>
          <w:b/>
          <w:sz w:val="28"/>
        </w:rPr>
      </w:pPr>
    </w:p>
    <w:p w14:paraId="6551D563" w14:textId="77777777" w:rsidR="00560A50" w:rsidRDefault="00560A50" w:rsidP="003245DD">
      <w:pPr>
        <w:rPr>
          <w:rFonts w:ascii="Garamond" w:hAnsi="Garamond"/>
          <w:b/>
          <w:sz w:val="28"/>
        </w:rPr>
      </w:pPr>
    </w:p>
    <w:p w14:paraId="0F742DE1" w14:textId="77777777" w:rsidR="00560A50" w:rsidRDefault="00560A50" w:rsidP="003245DD">
      <w:pPr>
        <w:rPr>
          <w:rFonts w:ascii="Garamond" w:hAnsi="Garamond"/>
          <w:b/>
          <w:sz w:val="28"/>
        </w:rPr>
      </w:pPr>
    </w:p>
    <w:p w14:paraId="7710CE54" w14:textId="77777777" w:rsidR="00560A50" w:rsidRDefault="00560A50" w:rsidP="003245DD">
      <w:pPr>
        <w:rPr>
          <w:rFonts w:ascii="Garamond" w:hAnsi="Garamond"/>
          <w:b/>
          <w:sz w:val="28"/>
        </w:rPr>
      </w:pPr>
    </w:p>
    <w:p w14:paraId="5AC85231" w14:textId="77777777" w:rsidR="00560A50" w:rsidRDefault="00560A50" w:rsidP="003245DD">
      <w:pPr>
        <w:rPr>
          <w:rFonts w:ascii="Garamond" w:hAnsi="Garamond"/>
          <w:b/>
          <w:sz w:val="28"/>
        </w:rPr>
      </w:pPr>
    </w:p>
    <w:p w14:paraId="52060E5F" w14:textId="77777777" w:rsidR="00560A50" w:rsidRDefault="00560A50" w:rsidP="003245DD">
      <w:pPr>
        <w:rPr>
          <w:rFonts w:ascii="Garamond" w:hAnsi="Garamond"/>
          <w:b/>
          <w:sz w:val="28"/>
        </w:rPr>
      </w:pPr>
    </w:p>
    <w:p w14:paraId="4D6233EB" w14:textId="77777777" w:rsidR="00560A50" w:rsidRDefault="00560A50" w:rsidP="003245DD">
      <w:pPr>
        <w:rPr>
          <w:rFonts w:ascii="Garamond" w:hAnsi="Garamond"/>
          <w:b/>
          <w:sz w:val="28"/>
        </w:rPr>
      </w:pPr>
    </w:p>
    <w:p w14:paraId="4B6E9D4E" w14:textId="77777777" w:rsidR="00560A50" w:rsidRDefault="00560A50" w:rsidP="003245DD">
      <w:pPr>
        <w:rPr>
          <w:rFonts w:ascii="Garamond" w:hAnsi="Garamond"/>
          <w:b/>
          <w:sz w:val="28"/>
        </w:rPr>
      </w:pPr>
    </w:p>
    <w:p w14:paraId="6D95987E" w14:textId="77777777" w:rsidR="00560A50" w:rsidRDefault="00560A50" w:rsidP="003245DD">
      <w:pPr>
        <w:rPr>
          <w:rFonts w:ascii="Garamond" w:hAnsi="Garamond"/>
          <w:b/>
          <w:sz w:val="28"/>
        </w:rPr>
      </w:pPr>
    </w:p>
    <w:p w14:paraId="1F080DD7" w14:textId="77777777" w:rsidR="00560A50" w:rsidRDefault="00560A50" w:rsidP="003245DD">
      <w:pPr>
        <w:rPr>
          <w:rFonts w:ascii="Garamond" w:hAnsi="Garamond"/>
          <w:b/>
          <w:sz w:val="28"/>
        </w:rPr>
      </w:pPr>
    </w:p>
    <w:p w14:paraId="1307B285" w14:textId="77777777" w:rsidR="00560A50" w:rsidRDefault="00560A50" w:rsidP="003245DD">
      <w:pPr>
        <w:rPr>
          <w:rFonts w:ascii="Garamond" w:hAnsi="Garamond"/>
          <w:b/>
          <w:sz w:val="28"/>
        </w:rPr>
      </w:pPr>
    </w:p>
    <w:p w14:paraId="295861BF" w14:textId="77777777" w:rsidR="00560A50" w:rsidRDefault="00560A50" w:rsidP="003245DD">
      <w:pPr>
        <w:rPr>
          <w:rFonts w:ascii="Garamond" w:hAnsi="Garamond"/>
          <w:b/>
          <w:sz w:val="28"/>
        </w:rPr>
      </w:pPr>
    </w:p>
    <w:p w14:paraId="3EAAB687" w14:textId="77777777" w:rsidR="00560A50" w:rsidRDefault="00560A50" w:rsidP="003245DD">
      <w:pPr>
        <w:rPr>
          <w:rFonts w:ascii="Garamond" w:hAnsi="Garamond"/>
          <w:b/>
          <w:sz w:val="28"/>
        </w:rPr>
      </w:pPr>
    </w:p>
    <w:p w14:paraId="3629203A" w14:textId="77777777" w:rsidR="00560A50" w:rsidRDefault="00560A50" w:rsidP="003245DD">
      <w:pPr>
        <w:rPr>
          <w:rFonts w:ascii="Garamond" w:hAnsi="Garamond"/>
          <w:b/>
          <w:sz w:val="28"/>
        </w:rPr>
      </w:pPr>
    </w:p>
    <w:p w14:paraId="566E9A5C" w14:textId="5B502BEB" w:rsidR="009F3E40" w:rsidRPr="002D46D6" w:rsidRDefault="00560A50" w:rsidP="003245DD">
      <w:pPr>
        <w:rPr>
          <w:rFonts w:ascii="Garamond" w:hAnsi="Garamond"/>
        </w:rPr>
      </w:pPr>
      <w:r>
        <w:rPr>
          <w:rFonts w:ascii="Garamond" w:hAnsi="Garamond"/>
          <w:b/>
          <w:sz w:val="28"/>
        </w:rPr>
        <w:t>Address</w:t>
      </w:r>
      <w:r w:rsidR="001E4FFA" w:rsidRPr="00345367">
        <w:rPr>
          <w:rFonts w:ascii="Garamond" w:hAnsi="Garamond"/>
          <w:b/>
          <w:sz w:val="28"/>
        </w:rPr>
        <w:t xml:space="preserve"> by</w:t>
      </w:r>
      <w:r w:rsidR="00B92845" w:rsidRPr="00345367">
        <w:rPr>
          <w:rFonts w:ascii="Garamond" w:hAnsi="Garamond"/>
          <w:b/>
          <w:sz w:val="28"/>
        </w:rPr>
        <w:t xml:space="preserve"> SEBI Chairman Shri</w:t>
      </w:r>
      <w:r w:rsidR="001E4FFA" w:rsidRPr="00345367">
        <w:rPr>
          <w:rFonts w:ascii="Garamond" w:hAnsi="Garamond"/>
          <w:b/>
          <w:sz w:val="28"/>
        </w:rPr>
        <w:t xml:space="preserve"> Ajay Tyagi</w:t>
      </w:r>
      <w:r w:rsidR="00CF5D0A" w:rsidRPr="00345367">
        <w:rPr>
          <w:rFonts w:ascii="Garamond" w:hAnsi="Garamond"/>
          <w:b/>
          <w:sz w:val="28"/>
        </w:rPr>
        <w:t xml:space="preserve"> </w:t>
      </w:r>
      <w:r w:rsidR="003245DD" w:rsidRPr="003245DD">
        <w:rPr>
          <w:rFonts w:ascii="Garamond" w:hAnsi="Garamond"/>
          <w:b/>
          <w:sz w:val="28"/>
        </w:rPr>
        <w:t xml:space="preserve">on </w:t>
      </w:r>
      <w:r>
        <w:rPr>
          <w:rFonts w:ascii="Garamond" w:hAnsi="Garamond"/>
          <w:b/>
          <w:sz w:val="28"/>
        </w:rPr>
        <w:t>“</w:t>
      </w:r>
      <w:r w:rsidR="003245DD" w:rsidRPr="003245DD">
        <w:rPr>
          <w:rFonts w:ascii="Garamond" w:hAnsi="Garamond"/>
          <w:b/>
          <w:sz w:val="28"/>
        </w:rPr>
        <w:t>Distressed Assets Market in India</w:t>
      </w:r>
      <w:r>
        <w:rPr>
          <w:rFonts w:ascii="Garamond" w:hAnsi="Garamond"/>
          <w:b/>
          <w:sz w:val="28"/>
        </w:rPr>
        <w:t>”</w:t>
      </w:r>
      <w:r w:rsidR="003245DD" w:rsidRPr="003245DD">
        <w:rPr>
          <w:rFonts w:ascii="Garamond" w:hAnsi="Garamond"/>
          <w:b/>
          <w:sz w:val="28"/>
        </w:rPr>
        <w:t xml:space="preserve"> </w:t>
      </w:r>
      <w:r w:rsidR="00AC19B8">
        <w:rPr>
          <w:rFonts w:ascii="Garamond" w:hAnsi="Garamond"/>
          <w:b/>
          <w:sz w:val="28"/>
        </w:rPr>
        <w:t xml:space="preserve">Organized </w:t>
      </w:r>
      <w:r w:rsidR="003245DD">
        <w:rPr>
          <w:rFonts w:ascii="Garamond" w:hAnsi="Garamond"/>
          <w:b/>
          <w:sz w:val="28"/>
        </w:rPr>
        <w:t>b</w:t>
      </w:r>
      <w:r w:rsidR="003245DD" w:rsidRPr="003245DD">
        <w:rPr>
          <w:rFonts w:ascii="Garamond" w:hAnsi="Garamond"/>
          <w:b/>
          <w:sz w:val="28"/>
        </w:rPr>
        <w:t xml:space="preserve">y Indian Professionals Forum and the High Commission of India </w:t>
      </w:r>
      <w:r>
        <w:rPr>
          <w:rFonts w:ascii="Garamond" w:hAnsi="Garamond"/>
          <w:b/>
          <w:sz w:val="28"/>
        </w:rPr>
        <w:t>at</w:t>
      </w:r>
      <w:r w:rsidR="003245DD" w:rsidRPr="003245DD">
        <w:rPr>
          <w:rFonts w:ascii="Garamond" w:hAnsi="Garamond"/>
          <w:b/>
          <w:sz w:val="28"/>
        </w:rPr>
        <w:t xml:space="preserve"> Lo</w:t>
      </w:r>
      <w:r w:rsidR="00C51B98">
        <w:rPr>
          <w:rFonts w:ascii="Garamond" w:hAnsi="Garamond"/>
          <w:b/>
          <w:sz w:val="28"/>
        </w:rPr>
        <w:t>ndon Business School, London</w:t>
      </w:r>
      <w:r w:rsidR="00AC19B8">
        <w:rPr>
          <w:rFonts w:ascii="Garamond" w:hAnsi="Garamond"/>
          <w:b/>
          <w:sz w:val="28"/>
        </w:rPr>
        <w:t xml:space="preserve"> on </w:t>
      </w:r>
      <w:r w:rsidR="003245DD" w:rsidRPr="003245DD">
        <w:rPr>
          <w:rFonts w:ascii="Garamond" w:hAnsi="Garamond"/>
          <w:b/>
          <w:sz w:val="28"/>
        </w:rPr>
        <w:t>24th September 2018</w:t>
      </w:r>
      <w:r w:rsidR="009F3E40" w:rsidRPr="00345367">
        <w:rPr>
          <w:rFonts w:ascii="Garamond" w:hAnsi="Garamond"/>
          <w:b/>
          <w:sz w:val="28"/>
        </w:rPr>
        <w:t xml:space="preserve"> </w:t>
      </w:r>
    </w:p>
    <w:p w14:paraId="6C249748" w14:textId="77777777" w:rsidR="009F3E40" w:rsidRDefault="009F3E40" w:rsidP="009F3E40">
      <w:pPr>
        <w:jc w:val="center"/>
        <w:rPr>
          <w:rFonts w:ascii="Garamond" w:hAnsi="Garamond"/>
        </w:rPr>
      </w:pPr>
    </w:p>
    <w:p w14:paraId="52CC9985" w14:textId="77777777" w:rsidR="00345367" w:rsidRPr="00D91B74" w:rsidRDefault="00345367" w:rsidP="00D91B74">
      <w:pPr>
        <w:jc w:val="center"/>
        <w:rPr>
          <w:rFonts w:ascii="Garamond" w:hAnsi="Garamond"/>
        </w:rPr>
      </w:pPr>
    </w:p>
    <w:p w14:paraId="0E2A609B" w14:textId="77777777" w:rsidR="00D91B74" w:rsidRPr="00D91B74" w:rsidRDefault="00D91B74" w:rsidP="00D91B74">
      <w:pPr>
        <w:pStyle w:val="Heading1"/>
        <w:spacing w:line="240" w:lineRule="auto"/>
        <w:rPr>
          <w:szCs w:val="24"/>
        </w:rPr>
      </w:pPr>
      <w:r w:rsidRPr="00D91B74">
        <w:rPr>
          <w:b/>
          <w:szCs w:val="24"/>
          <w:u w:val="single"/>
        </w:rPr>
        <w:t xml:space="preserve">Introductory Remarks  </w:t>
      </w:r>
    </w:p>
    <w:p w14:paraId="0AC8D342" w14:textId="77777777" w:rsidR="00D91B74" w:rsidRPr="00D91B74" w:rsidRDefault="00D91B74" w:rsidP="00D91B74">
      <w:pPr>
        <w:rPr>
          <w:rFonts w:ascii="Garamond" w:hAnsi="Garamond"/>
        </w:rPr>
      </w:pPr>
      <w:r w:rsidRPr="00D91B74">
        <w:rPr>
          <w:rFonts w:ascii="Garamond" w:eastAsia="Times New Roman" w:hAnsi="Garamond"/>
          <w:b/>
          <w:i/>
        </w:rPr>
        <w:t xml:space="preserve"> </w:t>
      </w:r>
    </w:p>
    <w:p w14:paraId="555D4040" w14:textId="77777777" w:rsidR="00D91B74" w:rsidRPr="00D91B74" w:rsidRDefault="00D91B74" w:rsidP="001852D7">
      <w:pPr>
        <w:jc w:val="both"/>
        <w:rPr>
          <w:rFonts w:ascii="Garamond" w:hAnsi="Garamond"/>
        </w:rPr>
      </w:pPr>
      <w:r w:rsidRPr="00D91B74">
        <w:rPr>
          <w:rFonts w:ascii="Garamond" w:hAnsi="Garamond"/>
        </w:rPr>
        <w:t xml:space="preserve">Ladies and Gentlemen, it gives me great pleasure to be present at this event today. I compliment the Indian Professionals Forum and the Indian High Commission for organizing this seminar on a topical subject.  </w:t>
      </w:r>
    </w:p>
    <w:p w14:paraId="7576B6B5" w14:textId="77777777" w:rsidR="00D91B74" w:rsidRPr="00D91B74" w:rsidRDefault="00D91B74" w:rsidP="00D91B74">
      <w:pPr>
        <w:rPr>
          <w:rFonts w:ascii="Garamond" w:hAnsi="Garamond"/>
        </w:rPr>
      </w:pPr>
      <w:r w:rsidRPr="00D91B74">
        <w:rPr>
          <w:rFonts w:ascii="Garamond" w:hAnsi="Garamond"/>
        </w:rPr>
        <w:t xml:space="preserve"> </w:t>
      </w:r>
    </w:p>
    <w:p w14:paraId="664C2753" w14:textId="77777777" w:rsidR="00D91B74" w:rsidRPr="00D91B74" w:rsidRDefault="00D91B74" w:rsidP="001852D7">
      <w:pPr>
        <w:jc w:val="both"/>
        <w:rPr>
          <w:rFonts w:ascii="Garamond" w:hAnsi="Garamond"/>
        </w:rPr>
      </w:pPr>
      <w:r w:rsidRPr="00D91B74">
        <w:rPr>
          <w:rFonts w:ascii="Garamond" w:hAnsi="Garamond"/>
        </w:rPr>
        <w:t xml:space="preserve">Let me present to you very briefly the state of the Indian economy; the major challenges that are seemingly constraining growth and the role of capital markets in supporting growth and in alleviating challenges, especially those relating to resolution of distressed assets.   </w:t>
      </w:r>
    </w:p>
    <w:p w14:paraId="128D98CF" w14:textId="77777777" w:rsidR="00D91B74" w:rsidRPr="00D91B74" w:rsidRDefault="00D91B74" w:rsidP="00D91B74">
      <w:pPr>
        <w:rPr>
          <w:rFonts w:ascii="Garamond" w:hAnsi="Garamond"/>
        </w:rPr>
      </w:pPr>
      <w:r w:rsidRPr="00D91B74">
        <w:rPr>
          <w:rFonts w:ascii="Garamond" w:hAnsi="Garamond"/>
        </w:rPr>
        <w:t xml:space="preserve"> </w:t>
      </w:r>
    </w:p>
    <w:p w14:paraId="5D2C0820" w14:textId="77777777" w:rsidR="00D91B74" w:rsidRPr="00D91B74" w:rsidRDefault="00D91B74" w:rsidP="00D91B74">
      <w:pPr>
        <w:pStyle w:val="Heading1"/>
        <w:spacing w:line="240" w:lineRule="auto"/>
        <w:rPr>
          <w:szCs w:val="24"/>
        </w:rPr>
      </w:pPr>
      <w:r w:rsidRPr="00D91B74">
        <w:rPr>
          <w:b/>
          <w:szCs w:val="24"/>
          <w:u w:val="single"/>
        </w:rPr>
        <w:t xml:space="preserve">Indian Economy  </w:t>
      </w:r>
    </w:p>
    <w:p w14:paraId="7D40A609" w14:textId="77777777" w:rsidR="00D91B74" w:rsidRPr="00D91B74" w:rsidRDefault="00D91B74" w:rsidP="00D91B74">
      <w:pPr>
        <w:rPr>
          <w:rFonts w:ascii="Garamond" w:hAnsi="Garamond"/>
        </w:rPr>
      </w:pPr>
      <w:r w:rsidRPr="00D91B74">
        <w:rPr>
          <w:rFonts w:ascii="Garamond" w:hAnsi="Garamond"/>
        </w:rPr>
        <w:t xml:space="preserve"> </w:t>
      </w:r>
    </w:p>
    <w:p w14:paraId="342EB57C" w14:textId="77777777" w:rsidR="00D91B74" w:rsidRPr="00D91B74" w:rsidRDefault="00D91B74" w:rsidP="001852D7">
      <w:pPr>
        <w:jc w:val="both"/>
        <w:rPr>
          <w:rFonts w:ascii="Garamond" w:hAnsi="Garamond"/>
        </w:rPr>
      </w:pPr>
      <w:r w:rsidRPr="00D91B74">
        <w:rPr>
          <w:rFonts w:ascii="Garamond" w:hAnsi="Garamond"/>
        </w:rPr>
        <w:t xml:space="preserve">IMF projects an overall favorable macroeconomic outlook for India and expects economic growth to rise to 7.3% in FY2018/19 and 7.5% in FY2019/20, on strengthening investment and robust private consumption. </w:t>
      </w:r>
    </w:p>
    <w:p w14:paraId="7EF52697" w14:textId="77777777" w:rsidR="00D91B74" w:rsidRPr="00D91B74" w:rsidRDefault="00D91B74" w:rsidP="00D91B74">
      <w:pPr>
        <w:rPr>
          <w:rFonts w:ascii="Garamond" w:hAnsi="Garamond"/>
        </w:rPr>
      </w:pPr>
      <w:r w:rsidRPr="00D91B74">
        <w:rPr>
          <w:rFonts w:ascii="Garamond" w:hAnsi="Garamond"/>
        </w:rPr>
        <w:t xml:space="preserve"> </w:t>
      </w:r>
    </w:p>
    <w:p w14:paraId="1DD6792D" w14:textId="77777777" w:rsidR="00D91B74" w:rsidRPr="00D91B74" w:rsidRDefault="00D91B74" w:rsidP="001852D7">
      <w:pPr>
        <w:jc w:val="both"/>
        <w:rPr>
          <w:rFonts w:ascii="Garamond" w:hAnsi="Garamond"/>
        </w:rPr>
      </w:pPr>
      <w:r w:rsidRPr="00D91B74">
        <w:rPr>
          <w:rFonts w:ascii="Garamond" w:hAnsi="Garamond"/>
        </w:rPr>
        <w:t xml:space="preserve">During the April-June quarter of the current year, GDP grew by 8.2%. This was the highest growth in two years and strongest since the first quarter of 2016. This was mainly achieved as a result of robust 13.5% growth in manufacturing and 10% growth in investments. The Purchasing Managers' Index (PMI) at 52 also indicates a positive outlook.  </w:t>
      </w:r>
    </w:p>
    <w:p w14:paraId="47F372D0" w14:textId="77777777" w:rsidR="00D91B74" w:rsidRPr="00D91B74" w:rsidRDefault="00D91B74" w:rsidP="00D91B74">
      <w:pPr>
        <w:rPr>
          <w:rFonts w:ascii="Garamond" w:hAnsi="Garamond"/>
        </w:rPr>
      </w:pPr>
      <w:r w:rsidRPr="00D91B74">
        <w:rPr>
          <w:rFonts w:ascii="Garamond" w:eastAsia="Times New Roman" w:hAnsi="Garamond"/>
          <w:b/>
        </w:rPr>
        <w:t xml:space="preserve"> </w:t>
      </w:r>
    </w:p>
    <w:p w14:paraId="618869A1" w14:textId="77777777" w:rsidR="00D91B74" w:rsidRPr="00D91B74" w:rsidRDefault="00D91B74" w:rsidP="00D91B74">
      <w:pPr>
        <w:rPr>
          <w:rFonts w:ascii="Garamond" w:hAnsi="Garamond"/>
        </w:rPr>
      </w:pPr>
      <w:r w:rsidRPr="00D91B74">
        <w:rPr>
          <w:rFonts w:ascii="Garamond" w:eastAsia="Times New Roman" w:hAnsi="Garamond"/>
          <w:b/>
        </w:rPr>
        <w:t xml:space="preserve"> </w:t>
      </w:r>
    </w:p>
    <w:p w14:paraId="49493E0C" w14:textId="77777777" w:rsidR="00D91B74" w:rsidRPr="00D91B74" w:rsidRDefault="00D91B74" w:rsidP="00D91B74">
      <w:pPr>
        <w:pStyle w:val="Heading1"/>
        <w:spacing w:line="240" w:lineRule="auto"/>
        <w:rPr>
          <w:szCs w:val="24"/>
        </w:rPr>
      </w:pPr>
      <w:r w:rsidRPr="00D91B74">
        <w:rPr>
          <w:b/>
          <w:szCs w:val="24"/>
          <w:u w:val="single"/>
        </w:rPr>
        <w:t xml:space="preserve">Challenges  </w:t>
      </w:r>
    </w:p>
    <w:p w14:paraId="19DE362B" w14:textId="77777777" w:rsidR="00D91B74" w:rsidRPr="00D91B74" w:rsidRDefault="00D91B74" w:rsidP="00D91B74">
      <w:pPr>
        <w:rPr>
          <w:rFonts w:ascii="Garamond" w:hAnsi="Garamond"/>
        </w:rPr>
      </w:pPr>
      <w:r w:rsidRPr="00D91B74">
        <w:rPr>
          <w:rFonts w:ascii="Garamond" w:hAnsi="Garamond"/>
        </w:rPr>
        <w:t xml:space="preserve"> </w:t>
      </w:r>
    </w:p>
    <w:p w14:paraId="7CD0C0FF" w14:textId="77777777" w:rsidR="00D91B74" w:rsidRPr="00D91B74" w:rsidRDefault="00D91B74" w:rsidP="001852D7">
      <w:pPr>
        <w:jc w:val="both"/>
        <w:rPr>
          <w:rFonts w:ascii="Garamond" w:hAnsi="Garamond"/>
        </w:rPr>
      </w:pPr>
      <w:r w:rsidRPr="00D91B74">
        <w:rPr>
          <w:rFonts w:ascii="Garamond" w:hAnsi="Garamond"/>
        </w:rPr>
        <w:t xml:space="preserve">The recent headwinds to the economic growth come mainly from exogenous factors. India is not the only country facing them. The emerging economies have been impacted across the globe. </w:t>
      </w:r>
    </w:p>
    <w:p w14:paraId="6F88EB5F" w14:textId="77777777" w:rsidR="00D91B74" w:rsidRPr="00D91B74" w:rsidRDefault="00D91B74" w:rsidP="00D91B74">
      <w:pPr>
        <w:rPr>
          <w:rFonts w:ascii="Garamond" w:hAnsi="Garamond"/>
        </w:rPr>
      </w:pPr>
      <w:r w:rsidRPr="00D91B74">
        <w:rPr>
          <w:rFonts w:ascii="Garamond" w:hAnsi="Garamond"/>
        </w:rPr>
        <w:t xml:space="preserve"> </w:t>
      </w:r>
    </w:p>
    <w:p w14:paraId="72BA9BB6" w14:textId="77777777" w:rsidR="00D91B74" w:rsidRPr="00D91B74" w:rsidRDefault="00D91B74" w:rsidP="001852D7">
      <w:pPr>
        <w:jc w:val="both"/>
        <w:rPr>
          <w:rFonts w:ascii="Garamond" w:hAnsi="Garamond"/>
        </w:rPr>
      </w:pPr>
      <w:r w:rsidRPr="00D91B74">
        <w:rPr>
          <w:rFonts w:ascii="Garamond" w:hAnsi="Garamond"/>
        </w:rPr>
        <w:t xml:space="preserve">Increase in international oil prices, tighter global financial conditions, spillover risks from a global trade conflict, and rising regional geopolitical tensions pose economic risks.  </w:t>
      </w:r>
    </w:p>
    <w:p w14:paraId="7BF48D39" w14:textId="77777777" w:rsidR="00D91B74" w:rsidRPr="00D91B74" w:rsidRDefault="00D91B74" w:rsidP="00D91B74">
      <w:pPr>
        <w:rPr>
          <w:rFonts w:ascii="Garamond" w:hAnsi="Garamond"/>
        </w:rPr>
      </w:pPr>
      <w:r w:rsidRPr="00D91B74">
        <w:rPr>
          <w:rFonts w:ascii="Garamond" w:hAnsi="Garamond"/>
        </w:rPr>
        <w:t xml:space="preserve"> </w:t>
      </w:r>
    </w:p>
    <w:p w14:paraId="6FDACA80" w14:textId="77777777" w:rsidR="00D91B74" w:rsidRPr="00D91B74" w:rsidRDefault="00D91B74" w:rsidP="001852D7">
      <w:pPr>
        <w:jc w:val="both"/>
        <w:rPr>
          <w:rFonts w:ascii="Garamond" w:hAnsi="Garamond"/>
        </w:rPr>
      </w:pPr>
      <w:r w:rsidRPr="00D91B74">
        <w:rPr>
          <w:rFonts w:ascii="Garamond" w:hAnsi="Garamond"/>
        </w:rPr>
        <w:t xml:space="preserve">During the current financial year, there have been FPI outflows of over USD 9 billion from India and Indian rupee has depreciated about 13% vis-à-vis UD Dollar since the beginning of this calendar year. </w:t>
      </w:r>
      <w:r w:rsidRPr="00D91B74">
        <w:rPr>
          <w:rFonts w:ascii="Garamond" w:eastAsia="Times New Roman" w:hAnsi="Garamond"/>
          <w:b/>
        </w:rPr>
        <w:t xml:space="preserve">  </w:t>
      </w:r>
    </w:p>
    <w:p w14:paraId="37978803" w14:textId="77777777" w:rsidR="00D91B74" w:rsidRPr="00D91B74" w:rsidRDefault="00D91B74" w:rsidP="00D91B74">
      <w:pPr>
        <w:rPr>
          <w:rFonts w:ascii="Garamond" w:hAnsi="Garamond"/>
        </w:rPr>
      </w:pPr>
      <w:r w:rsidRPr="00D91B74">
        <w:rPr>
          <w:rFonts w:ascii="Garamond" w:hAnsi="Garamond"/>
        </w:rPr>
        <w:t xml:space="preserve"> </w:t>
      </w:r>
    </w:p>
    <w:p w14:paraId="4B49AA24" w14:textId="77777777" w:rsidR="00D91B74" w:rsidRPr="00D91B74" w:rsidRDefault="00D91B74" w:rsidP="001852D7">
      <w:pPr>
        <w:jc w:val="both"/>
        <w:rPr>
          <w:rFonts w:ascii="Garamond" w:hAnsi="Garamond"/>
        </w:rPr>
      </w:pPr>
      <w:r w:rsidRPr="00D91B74">
        <w:rPr>
          <w:rFonts w:ascii="Garamond" w:hAnsi="Garamond"/>
        </w:rPr>
        <w:t>While the current account deficit is under pressure, the recent decisions to relax the FPI investment norms and ECB norms and other measures in the pipe-line are likely to have some sobering effect on CAD. As for the fiscal deficit, the Indian Government has on more than one occasion, publicly announced its resolve to stick to the budgeted targets.</w:t>
      </w:r>
      <w:r w:rsidRPr="00D91B74">
        <w:rPr>
          <w:rFonts w:ascii="Garamond" w:eastAsia="Times New Roman" w:hAnsi="Garamond"/>
          <w:b/>
        </w:rPr>
        <w:t xml:space="preserve"> </w:t>
      </w:r>
    </w:p>
    <w:p w14:paraId="6410F2C1" w14:textId="77777777" w:rsidR="00D91B74" w:rsidRPr="00D91B74" w:rsidRDefault="00D91B74" w:rsidP="00D91B74">
      <w:pPr>
        <w:rPr>
          <w:rFonts w:ascii="Garamond" w:hAnsi="Garamond"/>
        </w:rPr>
      </w:pPr>
      <w:r w:rsidRPr="00D91B74">
        <w:rPr>
          <w:rFonts w:ascii="Garamond" w:hAnsi="Garamond"/>
        </w:rPr>
        <w:t xml:space="preserve"> </w:t>
      </w:r>
    </w:p>
    <w:p w14:paraId="793DC17B" w14:textId="77777777" w:rsidR="00D91B74" w:rsidRPr="00D91B74" w:rsidRDefault="00D91B74" w:rsidP="001852D7">
      <w:pPr>
        <w:jc w:val="both"/>
        <w:rPr>
          <w:rFonts w:ascii="Garamond" w:hAnsi="Garamond"/>
        </w:rPr>
      </w:pPr>
      <w:r w:rsidRPr="00D91B74">
        <w:rPr>
          <w:rFonts w:ascii="Garamond" w:hAnsi="Garamond"/>
        </w:rPr>
        <w:t xml:space="preserve">Coming to the domestic factors, the fundamental structural constraints to growth can mainly be attributed to the twin balance sheet problem of the corporate and banking sector in India.  </w:t>
      </w:r>
    </w:p>
    <w:p w14:paraId="5134970D" w14:textId="77777777" w:rsidR="00D91B74" w:rsidRPr="00D91B74" w:rsidRDefault="00D91B74" w:rsidP="00D91B74">
      <w:pPr>
        <w:rPr>
          <w:rFonts w:ascii="Garamond" w:hAnsi="Garamond"/>
        </w:rPr>
      </w:pPr>
      <w:r w:rsidRPr="00D91B74">
        <w:rPr>
          <w:rFonts w:ascii="Garamond" w:hAnsi="Garamond"/>
        </w:rPr>
        <w:t xml:space="preserve"> </w:t>
      </w:r>
    </w:p>
    <w:p w14:paraId="6993A1DD" w14:textId="77777777" w:rsidR="00D91B74" w:rsidRDefault="00D91B74" w:rsidP="001852D7">
      <w:pPr>
        <w:jc w:val="both"/>
        <w:rPr>
          <w:rFonts w:ascii="Garamond" w:eastAsia="Times New Roman" w:hAnsi="Garamond"/>
          <w:b/>
        </w:rPr>
      </w:pPr>
      <w:r w:rsidRPr="00D91B74">
        <w:rPr>
          <w:rFonts w:ascii="Garamond" w:hAnsi="Garamond"/>
        </w:rPr>
        <w:t xml:space="preserve">The NPA i.e. bad loans as a percentage of total loans, in banking sector increased from 3.4% in March 2013 to 11.6% by March 2018 and could reach 12.2% by March 2019 as per RBI. As a result, credit growth more than halved from 14.8% in 2012-13 to 6.9% in 2017-18. </w:t>
      </w:r>
      <w:r w:rsidRPr="00D91B74">
        <w:rPr>
          <w:rFonts w:ascii="Garamond" w:eastAsia="Times New Roman" w:hAnsi="Garamond"/>
          <w:b/>
        </w:rPr>
        <w:t xml:space="preserve"> </w:t>
      </w:r>
    </w:p>
    <w:p w14:paraId="62C619F9" w14:textId="77777777" w:rsidR="00560A50" w:rsidRDefault="00560A50" w:rsidP="001852D7">
      <w:pPr>
        <w:jc w:val="both"/>
        <w:rPr>
          <w:rFonts w:ascii="Garamond" w:eastAsia="Times New Roman" w:hAnsi="Garamond"/>
          <w:b/>
        </w:rPr>
      </w:pPr>
    </w:p>
    <w:p w14:paraId="64DF5B8B" w14:textId="77777777" w:rsidR="00560A50" w:rsidRPr="00D91B74" w:rsidRDefault="00560A50" w:rsidP="001852D7">
      <w:pPr>
        <w:jc w:val="both"/>
        <w:rPr>
          <w:rFonts w:ascii="Garamond" w:hAnsi="Garamond"/>
        </w:rPr>
      </w:pPr>
    </w:p>
    <w:p w14:paraId="5FB59AD0" w14:textId="77777777" w:rsidR="00D91B74" w:rsidRPr="00D91B74" w:rsidRDefault="00D91B74" w:rsidP="00D91B74">
      <w:pPr>
        <w:pStyle w:val="Heading1"/>
        <w:spacing w:line="240" w:lineRule="auto"/>
        <w:rPr>
          <w:szCs w:val="24"/>
        </w:rPr>
      </w:pPr>
      <w:r w:rsidRPr="008E68CC">
        <w:rPr>
          <w:b/>
          <w:szCs w:val="24"/>
          <w:u w:val="single"/>
        </w:rPr>
        <w:t xml:space="preserve">Insolvency and Bankruptcy Code </w:t>
      </w:r>
      <w:r w:rsidRPr="00D91B74">
        <w:rPr>
          <w:szCs w:val="24"/>
          <w:u w:color="000000"/>
        </w:rPr>
        <w:t xml:space="preserve"> </w:t>
      </w:r>
    </w:p>
    <w:p w14:paraId="5500FD3F" w14:textId="77777777" w:rsidR="00D91B74" w:rsidRPr="00D91B74" w:rsidRDefault="00D91B74" w:rsidP="00D91B74">
      <w:pPr>
        <w:rPr>
          <w:rFonts w:ascii="Garamond" w:hAnsi="Garamond"/>
        </w:rPr>
      </w:pPr>
      <w:r w:rsidRPr="00D91B74">
        <w:rPr>
          <w:rFonts w:ascii="Garamond" w:hAnsi="Garamond"/>
        </w:rPr>
        <w:t xml:space="preserve"> </w:t>
      </w:r>
    </w:p>
    <w:p w14:paraId="22003201" w14:textId="77777777" w:rsidR="00D91B74" w:rsidRPr="00D91B74" w:rsidRDefault="00D91B74" w:rsidP="001852D7">
      <w:pPr>
        <w:jc w:val="both"/>
        <w:rPr>
          <w:rFonts w:ascii="Garamond" w:hAnsi="Garamond"/>
        </w:rPr>
      </w:pPr>
      <w:r w:rsidRPr="00D91B74">
        <w:rPr>
          <w:rFonts w:ascii="Garamond" w:hAnsi="Garamond"/>
        </w:rPr>
        <w:t xml:space="preserve">While a whole host of policy measures have been taken by the Government and Regulators over time to address the above structural challenges, the enactment of IBC in 2016 is definitely one of the most significant measures taken for resolution of distressed loans.  </w:t>
      </w:r>
    </w:p>
    <w:p w14:paraId="7C8B1B37" w14:textId="77777777" w:rsidR="00D91B74" w:rsidRPr="00D91B74" w:rsidRDefault="00D91B74" w:rsidP="00D91B74">
      <w:pPr>
        <w:rPr>
          <w:rFonts w:ascii="Garamond" w:hAnsi="Garamond"/>
        </w:rPr>
      </w:pPr>
      <w:r w:rsidRPr="00D91B74">
        <w:rPr>
          <w:rFonts w:ascii="Garamond" w:hAnsi="Garamond"/>
        </w:rPr>
        <w:t xml:space="preserve"> </w:t>
      </w:r>
    </w:p>
    <w:p w14:paraId="7F9FF86D" w14:textId="77777777" w:rsidR="00D91B74" w:rsidRPr="00D91B74" w:rsidRDefault="00D91B74" w:rsidP="001852D7">
      <w:pPr>
        <w:jc w:val="both"/>
        <w:rPr>
          <w:rFonts w:ascii="Garamond" w:hAnsi="Garamond"/>
        </w:rPr>
      </w:pPr>
      <w:r w:rsidRPr="00D91B74">
        <w:rPr>
          <w:rFonts w:ascii="Garamond" w:hAnsi="Garamond"/>
        </w:rPr>
        <w:t xml:space="preserve">IBC, in a sense, has started to play an important role in the process of </w:t>
      </w:r>
    </w:p>
    <w:p w14:paraId="370A59B8" w14:textId="77777777" w:rsidR="00D91B74" w:rsidRPr="00D91B74" w:rsidRDefault="00D91B74" w:rsidP="00D91B74">
      <w:pPr>
        <w:rPr>
          <w:rFonts w:ascii="Garamond" w:hAnsi="Garamond"/>
        </w:rPr>
      </w:pPr>
      <w:r w:rsidRPr="00D91B74">
        <w:rPr>
          <w:rFonts w:ascii="Garamond" w:hAnsi="Garamond"/>
        </w:rPr>
        <w:t xml:space="preserve">‘creative destruction’ by facilitating the release of dormant resources from bankrupt entities to be utilized for better and more productive activities.  </w:t>
      </w:r>
    </w:p>
    <w:p w14:paraId="2320C5E1" w14:textId="77777777" w:rsidR="00D91B74" w:rsidRPr="00D91B74" w:rsidRDefault="00D91B74" w:rsidP="00D91B74">
      <w:pPr>
        <w:rPr>
          <w:rFonts w:ascii="Garamond" w:hAnsi="Garamond"/>
        </w:rPr>
      </w:pPr>
      <w:r w:rsidRPr="00D91B74">
        <w:rPr>
          <w:rFonts w:ascii="Garamond" w:hAnsi="Garamond"/>
        </w:rPr>
        <w:t xml:space="preserve"> </w:t>
      </w:r>
    </w:p>
    <w:p w14:paraId="3B542101" w14:textId="77777777" w:rsidR="00D91B74" w:rsidRPr="00D91B74" w:rsidRDefault="00D91B74" w:rsidP="001852D7">
      <w:pPr>
        <w:jc w:val="both"/>
        <w:rPr>
          <w:rFonts w:ascii="Garamond" w:hAnsi="Garamond"/>
        </w:rPr>
      </w:pPr>
      <w:r w:rsidRPr="00D91B74">
        <w:rPr>
          <w:rFonts w:ascii="Garamond" w:hAnsi="Garamond"/>
        </w:rPr>
        <w:t xml:space="preserve">Mr. Srinivas has already spoken at length on evolution of IBC and way forward and Dr. Sahoo will be later speaking on the development of bankruptcy ecosystem in India and challenges.   </w:t>
      </w:r>
    </w:p>
    <w:p w14:paraId="2582FC28" w14:textId="77777777" w:rsidR="00D91B74" w:rsidRPr="00D91B74" w:rsidRDefault="00D91B74" w:rsidP="00D91B74">
      <w:pPr>
        <w:rPr>
          <w:rFonts w:ascii="Garamond" w:hAnsi="Garamond"/>
        </w:rPr>
      </w:pPr>
      <w:r w:rsidRPr="00D91B74">
        <w:rPr>
          <w:rFonts w:ascii="Garamond" w:hAnsi="Garamond"/>
        </w:rPr>
        <w:t xml:space="preserve"> </w:t>
      </w:r>
    </w:p>
    <w:p w14:paraId="2D104760" w14:textId="77777777" w:rsidR="00D91B74" w:rsidRPr="00D91B74" w:rsidRDefault="00D91B74" w:rsidP="001852D7">
      <w:pPr>
        <w:jc w:val="both"/>
        <w:rPr>
          <w:rFonts w:ascii="Garamond" w:hAnsi="Garamond"/>
        </w:rPr>
      </w:pPr>
      <w:r w:rsidRPr="00D91B74">
        <w:rPr>
          <w:rFonts w:ascii="Garamond" w:hAnsi="Garamond"/>
        </w:rPr>
        <w:t xml:space="preserve">I would like to mention in very brief the important changes made by SEBI in its regulatory framework to facilitate the working of IBC on the ground.  </w:t>
      </w:r>
    </w:p>
    <w:p w14:paraId="648EF43B" w14:textId="77777777" w:rsidR="00D91B74" w:rsidRPr="00D91B74" w:rsidRDefault="00D91B74" w:rsidP="00D91B74">
      <w:pPr>
        <w:rPr>
          <w:rFonts w:ascii="Garamond" w:hAnsi="Garamond"/>
        </w:rPr>
      </w:pPr>
      <w:r w:rsidRPr="00D91B74">
        <w:rPr>
          <w:rFonts w:ascii="Garamond" w:eastAsia="Times New Roman" w:hAnsi="Garamond"/>
          <w:b/>
        </w:rPr>
        <w:t xml:space="preserve"> </w:t>
      </w:r>
    </w:p>
    <w:p w14:paraId="5B3C6AC7" w14:textId="77777777" w:rsidR="00D91B74" w:rsidRPr="00D91B74" w:rsidRDefault="00D91B74" w:rsidP="001852D7">
      <w:pPr>
        <w:jc w:val="both"/>
        <w:rPr>
          <w:rFonts w:ascii="Garamond" w:hAnsi="Garamond"/>
        </w:rPr>
      </w:pPr>
      <w:r w:rsidRPr="00D91B74">
        <w:rPr>
          <w:rFonts w:ascii="Garamond" w:hAnsi="Garamond"/>
        </w:rPr>
        <w:t xml:space="preserve">With regard to resolution plans approved under IBC, SEBI has provided for appropriate relaxations in certain mandatory requirements under its regulations governing issuance of capital, acquisition of shares and delisting of shares on stock exchanges. Some of these specific exemptions pertain to issuance of preference shares, criteria for classifying promoters, open offer for acquisition beyond a threshold limit, requirement of shareholders’ approval in case of material RPTs, disposing of shares and assets of material subsidiaries, and some of the important corporate governance norms under the Listing Regulations.  </w:t>
      </w:r>
    </w:p>
    <w:p w14:paraId="37D92AFC" w14:textId="77777777" w:rsidR="00D91B74" w:rsidRPr="00D91B74" w:rsidRDefault="00D91B74" w:rsidP="00D91B74">
      <w:pPr>
        <w:rPr>
          <w:rFonts w:ascii="Garamond" w:hAnsi="Garamond"/>
        </w:rPr>
      </w:pPr>
      <w:r w:rsidRPr="00D91B74">
        <w:rPr>
          <w:rFonts w:ascii="Garamond" w:hAnsi="Garamond"/>
        </w:rPr>
        <w:t xml:space="preserve"> </w:t>
      </w:r>
    </w:p>
    <w:p w14:paraId="2152E575" w14:textId="77777777" w:rsidR="00D91B74" w:rsidRPr="00D91B74" w:rsidRDefault="00D91B74" w:rsidP="001852D7">
      <w:pPr>
        <w:jc w:val="both"/>
        <w:rPr>
          <w:rFonts w:ascii="Garamond" w:hAnsi="Garamond"/>
        </w:rPr>
      </w:pPr>
      <w:r w:rsidRPr="00D91B74">
        <w:rPr>
          <w:rFonts w:ascii="Garamond" w:hAnsi="Garamond"/>
        </w:rPr>
        <w:t xml:space="preserve">In order to enhance market integrity and safeguard interest of investors, additional surveillance measures for the listed companies undergoing insolvency and resolution process have been introduced by stock exchanges. </w:t>
      </w:r>
      <w:r w:rsidRPr="00D91B74">
        <w:rPr>
          <w:rFonts w:ascii="Garamond" w:eastAsia="Times New Roman" w:hAnsi="Garamond"/>
          <w:b/>
        </w:rPr>
        <w:t xml:space="preserve"> </w:t>
      </w:r>
    </w:p>
    <w:p w14:paraId="0439802A" w14:textId="77777777" w:rsidR="00D91B74" w:rsidRPr="00D91B74" w:rsidRDefault="00D91B74" w:rsidP="00D91B74">
      <w:pPr>
        <w:rPr>
          <w:rFonts w:ascii="Garamond" w:hAnsi="Garamond"/>
        </w:rPr>
      </w:pPr>
      <w:r w:rsidRPr="00D91B74">
        <w:rPr>
          <w:rFonts w:ascii="Garamond" w:eastAsia="Times New Roman" w:hAnsi="Garamond"/>
          <w:b/>
        </w:rPr>
        <w:t xml:space="preserve"> </w:t>
      </w:r>
    </w:p>
    <w:p w14:paraId="2CF689C0" w14:textId="77777777" w:rsidR="00D91B74" w:rsidRPr="00D91B74" w:rsidRDefault="00D91B74" w:rsidP="00D91B74">
      <w:pPr>
        <w:pStyle w:val="Heading1"/>
        <w:spacing w:line="240" w:lineRule="auto"/>
        <w:rPr>
          <w:szCs w:val="24"/>
        </w:rPr>
      </w:pPr>
      <w:r w:rsidRPr="00D91B74">
        <w:rPr>
          <w:b/>
          <w:szCs w:val="24"/>
          <w:u w:val="single"/>
        </w:rPr>
        <w:t xml:space="preserve">Capital Markets </w:t>
      </w:r>
    </w:p>
    <w:p w14:paraId="090F50F6" w14:textId="77777777" w:rsidR="00D91B74" w:rsidRPr="00D91B74" w:rsidRDefault="00D91B74" w:rsidP="00D91B74">
      <w:pPr>
        <w:rPr>
          <w:rFonts w:ascii="Garamond" w:hAnsi="Garamond"/>
        </w:rPr>
      </w:pPr>
      <w:r w:rsidRPr="00D91B74">
        <w:rPr>
          <w:rFonts w:ascii="Garamond" w:hAnsi="Garamond"/>
        </w:rPr>
        <w:t xml:space="preserve"> </w:t>
      </w:r>
    </w:p>
    <w:p w14:paraId="2BA1A86A" w14:textId="77777777" w:rsidR="00D91B74" w:rsidRPr="00D91B74" w:rsidRDefault="00D91B74" w:rsidP="001852D7">
      <w:pPr>
        <w:jc w:val="both"/>
        <w:rPr>
          <w:rFonts w:ascii="Garamond" w:hAnsi="Garamond"/>
        </w:rPr>
      </w:pPr>
      <w:r w:rsidRPr="00D91B74">
        <w:rPr>
          <w:rFonts w:ascii="Garamond" w:hAnsi="Garamond"/>
        </w:rPr>
        <w:t xml:space="preserve">Let me now dwell upon the role of capital markets in ably supplementing the growth of Indian economy by providing much needed funds to the corporate sector in a challenging credit environment as also the capital market regulatory framework to facilitate distressed assets market in India. </w:t>
      </w:r>
    </w:p>
    <w:p w14:paraId="73C6A313" w14:textId="77777777" w:rsidR="00D91B74" w:rsidRPr="00D91B74" w:rsidRDefault="00D91B74" w:rsidP="00D91B74">
      <w:pPr>
        <w:rPr>
          <w:rFonts w:ascii="Garamond" w:hAnsi="Garamond"/>
        </w:rPr>
      </w:pPr>
      <w:r w:rsidRPr="00D91B74">
        <w:rPr>
          <w:rFonts w:ascii="Garamond" w:hAnsi="Garamond"/>
        </w:rPr>
        <w:t xml:space="preserve"> </w:t>
      </w:r>
    </w:p>
    <w:p w14:paraId="266B156D" w14:textId="77777777" w:rsidR="00D91B74" w:rsidRPr="00D91B74" w:rsidRDefault="00D91B74" w:rsidP="001852D7">
      <w:pPr>
        <w:jc w:val="both"/>
        <w:rPr>
          <w:rFonts w:ascii="Garamond" w:hAnsi="Garamond"/>
        </w:rPr>
      </w:pPr>
      <w:r w:rsidRPr="00D91B74">
        <w:rPr>
          <w:rFonts w:ascii="Garamond" w:hAnsi="Garamond"/>
        </w:rPr>
        <w:t xml:space="preserve">During FY18, a record amount of USD 142 billion was raised from Indian capital market through equity and debt against USD 124 billion during FY17. This was the highest in the last one decade. In the first quarter of this financial year USD 35 billion has already been raised.  </w:t>
      </w:r>
    </w:p>
    <w:p w14:paraId="7521C472" w14:textId="77777777" w:rsidR="00D91B74" w:rsidRPr="00D91B74" w:rsidRDefault="00D91B74" w:rsidP="00D91B74">
      <w:pPr>
        <w:rPr>
          <w:rFonts w:ascii="Garamond" w:hAnsi="Garamond"/>
        </w:rPr>
      </w:pPr>
      <w:r w:rsidRPr="00D91B74">
        <w:rPr>
          <w:rFonts w:ascii="Garamond" w:hAnsi="Garamond"/>
        </w:rPr>
        <w:t xml:space="preserve"> </w:t>
      </w:r>
    </w:p>
    <w:p w14:paraId="2B7A3F0E" w14:textId="77777777" w:rsidR="00D91B74" w:rsidRPr="00D91B74" w:rsidRDefault="00D91B74" w:rsidP="001852D7">
      <w:pPr>
        <w:jc w:val="both"/>
        <w:rPr>
          <w:rFonts w:ascii="Garamond" w:hAnsi="Garamond"/>
        </w:rPr>
      </w:pPr>
      <w:r w:rsidRPr="00D91B74">
        <w:rPr>
          <w:rFonts w:ascii="Garamond" w:hAnsi="Garamond"/>
        </w:rPr>
        <w:t>As of now, India’s capital market is 8</w:t>
      </w:r>
      <w:r w:rsidRPr="00D91B74">
        <w:rPr>
          <w:rFonts w:ascii="Garamond" w:hAnsi="Garamond"/>
          <w:vertAlign w:val="superscript"/>
        </w:rPr>
        <w:t>th</w:t>
      </w:r>
      <w:r w:rsidRPr="00D91B74">
        <w:rPr>
          <w:rFonts w:ascii="Garamond" w:hAnsi="Garamond"/>
        </w:rPr>
        <w:t xml:space="preserve"> largest in the world in terms of market capitalization. Our market cap to GDP ratio is 86%. </w:t>
      </w:r>
    </w:p>
    <w:p w14:paraId="0BD1B675" w14:textId="77777777" w:rsidR="00D91B74" w:rsidRPr="00D91B74" w:rsidRDefault="00D91B74" w:rsidP="00D91B74">
      <w:pPr>
        <w:rPr>
          <w:rFonts w:ascii="Garamond" w:hAnsi="Garamond"/>
        </w:rPr>
      </w:pPr>
      <w:r w:rsidRPr="00D91B74">
        <w:rPr>
          <w:rFonts w:ascii="Garamond" w:hAnsi="Garamond"/>
        </w:rPr>
        <w:t xml:space="preserve"> </w:t>
      </w:r>
    </w:p>
    <w:p w14:paraId="07516D17" w14:textId="77777777" w:rsidR="00D91B74" w:rsidRPr="00D91B74" w:rsidRDefault="00D91B74" w:rsidP="00D91B74">
      <w:pPr>
        <w:pStyle w:val="Heading1"/>
        <w:spacing w:line="240" w:lineRule="auto"/>
        <w:rPr>
          <w:szCs w:val="24"/>
        </w:rPr>
      </w:pPr>
      <w:r w:rsidRPr="00D91B74">
        <w:rPr>
          <w:b/>
          <w:szCs w:val="24"/>
          <w:u w:val="single"/>
        </w:rPr>
        <w:t xml:space="preserve">Corporate Bond Market  </w:t>
      </w:r>
    </w:p>
    <w:p w14:paraId="59D2C2E0" w14:textId="77777777" w:rsidR="00D91B74" w:rsidRPr="00D91B74" w:rsidRDefault="00D91B74" w:rsidP="00D91B74">
      <w:pPr>
        <w:rPr>
          <w:rFonts w:ascii="Garamond" w:hAnsi="Garamond"/>
        </w:rPr>
      </w:pPr>
      <w:r w:rsidRPr="00D91B74">
        <w:rPr>
          <w:rFonts w:ascii="Garamond" w:hAnsi="Garamond"/>
        </w:rPr>
        <w:t xml:space="preserve"> </w:t>
      </w:r>
    </w:p>
    <w:p w14:paraId="058AFC12" w14:textId="77777777" w:rsidR="00D91B74" w:rsidRPr="00D91B74" w:rsidRDefault="00D91B74" w:rsidP="001852D7">
      <w:pPr>
        <w:jc w:val="both"/>
        <w:rPr>
          <w:rFonts w:ascii="Garamond" w:hAnsi="Garamond"/>
        </w:rPr>
      </w:pPr>
      <w:r w:rsidRPr="00D91B74">
        <w:rPr>
          <w:rFonts w:ascii="Garamond" w:hAnsi="Garamond"/>
        </w:rPr>
        <w:t xml:space="preserve">I believe that corporate bond market is expected to play a pivotal role, both in absorbing some of the securities coming out of the process of securitization as also in providing a possible fund raising avenue to prospective investors in distressed assets.   </w:t>
      </w:r>
    </w:p>
    <w:p w14:paraId="3FF4F935" w14:textId="77777777" w:rsidR="00D91B74" w:rsidRPr="00D91B74" w:rsidRDefault="00D91B74" w:rsidP="00D91B74">
      <w:pPr>
        <w:rPr>
          <w:rFonts w:ascii="Garamond" w:hAnsi="Garamond"/>
        </w:rPr>
      </w:pPr>
      <w:r w:rsidRPr="00D91B74">
        <w:rPr>
          <w:rFonts w:ascii="Garamond" w:hAnsi="Garamond"/>
        </w:rPr>
        <w:t xml:space="preserve"> </w:t>
      </w:r>
    </w:p>
    <w:p w14:paraId="340948B6" w14:textId="77777777" w:rsidR="00D91B74" w:rsidRPr="00D91B74" w:rsidRDefault="00D91B74" w:rsidP="001852D7">
      <w:pPr>
        <w:jc w:val="both"/>
        <w:rPr>
          <w:rFonts w:ascii="Garamond" w:hAnsi="Garamond"/>
        </w:rPr>
      </w:pPr>
      <w:r w:rsidRPr="00D91B74">
        <w:rPr>
          <w:rFonts w:ascii="Garamond" w:hAnsi="Garamond"/>
        </w:rPr>
        <w:t xml:space="preserve">The new insolvency framework itself is likely to significantly boost corporate bond market activities in India. As per BIS data, implementation of bankruptcy reforms has significant impact on issuance and trading of corporate bonds in countries where it has been implemented. For example, in Brazil the outstanding corporate bond as a percentage of GDP increased from </w:t>
      </w:r>
    </w:p>
    <w:p w14:paraId="63373B84" w14:textId="77777777" w:rsidR="00D91B74" w:rsidRPr="00D91B74" w:rsidRDefault="00D91B74" w:rsidP="00D91B74">
      <w:pPr>
        <w:rPr>
          <w:rFonts w:ascii="Garamond" w:hAnsi="Garamond"/>
        </w:rPr>
      </w:pPr>
      <w:r w:rsidRPr="00D91B74">
        <w:rPr>
          <w:rFonts w:ascii="Garamond" w:hAnsi="Garamond"/>
        </w:rPr>
        <w:t xml:space="preserve">12.7% to 26.3%, in Russia it increased from 8.1% to 13.1%, in China from 18.8% to 33.4% and in UK it increased from 68.4% to 106.8% over 5 years period from the year of reform. For India, the corporate bond as a percentage of GDP was 17.9% in 2016 i.e. the year of notification of the IBC. It would be interesting to watch the impact of IBC on development of bond market in India in coming years. </w:t>
      </w:r>
    </w:p>
    <w:p w14:paraId="58F32925" w14:textId="77777777" w:rsidR="00D91B74" w:rsidRPr="00D91B74" w:rsidRDefault="00D91B74" w:rsidP="00D91B74">
      <w:pPr>
        <w:rPr>
          <w:rFonts w:ascii="Garamond" w:hAnsi="Garamond"/>
        </w:rPr>
      </w:pPr>
      <w:r w:rsidRPr="00D91B74">
        <w:rPr>
          <w:rFonts w:ascii="Garamond" w:hAnsi="Garamond"/>
        </w:rPr>
        <w:t xml:space="preserve"> </w:t>
      </w:r>
    </w:p>
    <w:p w14:paraId="037E4364" w14:textId="77777777" w:rsidR="00D91B74" w:rsidRPr="00D91B74" w:rsidRDefault="00D91B74" w:rsidP="001852D7">
      <w:pPr>
        <w:jc w:val="both"/>
        <w:rPr>
          <w:rFonts w:ascii="Garamond" w:hAnsi="Garamond"/>
        </w:rPr>
      </w:pPr>
      <w:r w:rsidRPr="00D91B74">
        <w:rPr>
          <w:rFonts w:ascii="Garamond" w:hAnsi="Garamond"/>
        </w:rPr>
        <w:t>During FY17, fund raised from corporate bond market touched an all-time high of USD</w:t>
      </w:r>
      <w:r w:rsidRPr="00D91B74">
        <w:rPr>
          <w:rFonts w:ascii="Garamond" w:hAnsi="Garamond"/>
          <w:color w:val="FF0000"/>
        </w:rPr>
        <w:t xml:space="preserve"> </w:t>
      </w:r>
      <w:r w:rsidRPr="00D91B74">
        <w:rPr>
          <w:rFonts w:ascii="Garamond" w:hAnsi="Garamond"/>
        </w:rPr>
        <w:t xml:space="preserve">108 billion, surpassing the amount of bank credit disbursed during the same year. During FY18, USD 92 billion was raised through issuance of bonds.  </w:t>
      </w:r>
    </w:p>
    <w:p w14:paraId="1DEC09BA" w14:textId="77777777" w:rsidR="00D91B74" w:rsidRPr="00D91B74" w:rsidRDefault="00D91B74" w:rsidP="00D91B74">
      <w:pPr>
        <w:rPr>
          <w:rFonts w:ascii="Garamond" w:hAnsi="Garamond"/>
        </w:rPr>
      </w:pPr>
      <w:r w:rsidRPr="00D91B74">
        <w:rPr>
          <w:rFonts w:ascii="Garamond" w:hAnsi="Garamond"/>
        </w:rPr>
        <w:t xml:space="preserve"> </w:t>
      </w:r>
    </w:p>
    <w:p w14:paraId="033DF978" w14:textId="77777777" w:rsidR="00D91B74" w:rsidRPr="00D91B74" w:rsidRDefault="00D91B74" w:rsidP="001852D7">
      <w:pPr>
        <w:jc w:val="both"/>
        <w:rPr>
          <w:rFonts w:ascii="Garamond" w:hAnsi="Garamond"/>
        </w:rPr>
      </w:pPr>
      <w:r w:rsidRPr="00D91B74">
        <w:rPr>
          <w:rFonts w:ascii="Garamond" w:hAnsi="Garamond"/>
        </w:rPr>
        <w:t xml:space="preserve">Some of the significant measures taken recently by SEBI to further deepen the corporate bond market include:  </w:t>
      </w:r>
    </w:p>
    <w:p w14:paraId="7B981C59" w14:textId="77777777" w:rsidR="00D91B74" w:rsidRPr="00D91B74" w:rsidRDefault="00D91B74" w:rsidP="00D91B74">
      <w:pPr>
        <w:rPr>
          <w:rFonts w:ascii="Garamond" w:hAnsi="Garamond"/>
        </w:rPr>
      </w:pPr>
      <w:r w:rsidRPr="00D91B74">
        <w:rPr>
          <w:rFonts w:ascii="Garamond" w:hAnsi="Garamond"/>
        </w:rPr>
        <w:t xml:space="preserve"> </w:t>
      </w:r>
    </w:p>
    <w:p w14:paraId="15848589" w14:textId="77777777" w:rsidR="00D91B74" w:rsidRPr="00D91B74" w:rsidRDefault="00D91B74" w:rsidP="008C5EBB">
      <w:pPr>
        <w:numPr>
          <w:ilvl w:val="1"/>
          <w:numId w:val="7"/>
        </w:numPr>
        <w:ind w:left="1134" w:hanging="665"/>
        <w:jc w:val="both"/>
        <w:rPr>
          <w:rFonts w:ascii="Garamond" w:hAnsi="Garamond"/>
        </w:rPr>
      </w:pPr>
      <w:r w:rsidRPr="00D91B74">
        <w:rPr>
          <w:rFonts w:ascii="Garamond" w:hAnsi="Garamond"/>
        </w:rPr>
        <w:t xml:space="preserve">Staring corporate repo platform on stock exchanges.  </w:t>
      </w:r>
    </w:p>
    <w:p w14:paraId="1803A546" w14:textId="77777777" w:rsidR="00D91B74" w:rsidRPr="00D91B74" w:rsidRDefault="00D91B74" w:rsidP="00D91B74">
      <w:pPr>
        <w:ind w:left="1134"/>
        <w:rPr>
          <w:rFonts w:ascii="Garamond" w:hAnsi="Garamond"/>
        </w:rPr>
      </w:pPr>
      <w:r w:rsidRPr="00D91B74">
        <w:rPr>
          <w:rFonts w:ascii="Garamond" w:hAnsi="Garamond"/>
        </w:rPr>
        <w:t xml:space="preserve"> </w:t>
      </w:r>
    </w:p>
    <w:p w14:paraId="5EE8335D" w14:textId="77777777" w:rsidR="00D91B74" w:rsidRPr="00D91B74" w:rsidRDefault="00D91B74" w:rsidP="008C5EBB">
      <w:pPr>
        <w:numPr>
          <w:ilvl w:val="1"/>
          <w:numId w:val="7"/>
        </w:numPr>
        <w:ind w:left="1134" w:hanging="665"/>
        <w:jc w:val="both"/>
        <w:rPr>
          <w:rFonts w:ascii="Garamond" w:hAnsi="Garamond"/>
        </w:rPr>
      </w:pPr>
      <w:r w:rsidRPr="00D91B74">
        <w:rPr>
          <w:rFonts w:ascii="Garamond" w:hAnsi="Garamond"/>
        </w:rPr>
        <w:t xml:space="preserve">Nudging large corporates with “AA” rating and above to access 25% of their incremental borrowings from the bond market.  </w:t>
      </w:r>
    </w:p>
    <w:p w14:paraId="0D0754D3" w14:textId="77777777" w:rsidR="00D91B74" w:rsidRPr="00D91B74" w:rsidRDefault="00D91B74" w:rsidP="00D91B74">
      <w:pPr>
        <w:ind w:left="1134"/>
        <w:rPr>
          <w:rFonts w:ascii="Garamond" w:hAnsi="Garamond"/>
        </w:rPr>
      </w:pPr>
      <w:r w:rsidRPr="00D91B74">
        <w:rPr>
          <w:rFonts w:ascii="Garamond" w:hAnsi="Garamond"/>
        </w:rPr>
        <w:t xml:space="preserve"> </w:t>
      </w:r>
    </w:p>
    <w:p w14:paraId="6D4DD48D" w14:textId="77777777" w:rsidR="00D91B74" w:rsidRPr="00D91B74" w:rsidRDefault="00D91B74" w:rsidP="008C5EBB">
      <w:pPr>
        <w:numPr>
          <w:ilvl w:val="1"/>
          <w:numId w:val="7"/>
        </w:numPr>
        <w:ind w:left="1134" w:hanging="665"/>
        <w:jc w:val="both"/>
        <w:rPr>
          <w:rFonts w:ascii="Garamond" w:hAnsi="Garamond"/>
        </w:rPr>
      </w:pPr>
      <w:r w:rsidRPr="00D91B74">
        <w:rPr>
          <w:rFonts w:ascii="Garamond" w:hAnsi="Garamond"/>
        </w:rPr>
        <w:t xml:space="preserve">Easing the process for public issuance of corporate bonds, in terms of reduction in mandatory costs and reduction of timelines from issuance to listing. </w:t>
      </w:r>
    </w:p>
    <w:p w14:paraId="5DE02460" w14:textId="77777777" w:rsidR="00D91B74" w:rsidRPr="00D91B74" w:rsidRDefault="00D91B74" w:rsidP="00D91B74">
      <w:pPr>
        <w:rPr>
          <w:rFonts w:ascii="Garamond" w:hAnsi="Garamond"/>
        </w:rPr>
      </w:pPr>
      <w:r w:rsidRPr="00D91B74">
        <w:rPr>
          <w:rFonts w:ascii="Garamond" w:eastAsia="Times New Roman" w:hAnsi="Garamond"/>
          <w:b/>
        </w:rPr>
        <w:t xml:space="preserve"> </w:t>
      </w:r>
    </w:p>
    <w:p w14:paraId="7AE05A27" w14:textId="77777777" w:rsidR="00D91B74" w:rsidRPr="00D91B74" w:rsidRDefault="00D91B74" w:rsidP="00D91B74">
      <w:pPr>
        <w:rPr>
          <w:rFonts w:ascii="Garamond" w:hAnsi="Garamond"/>
        </w:rPr>
      </w:pPr>
      <w:r w:rsidRPr="00D91B74">
        <w:rPr>
          <w:rFonts w:ascii="Garamond" w:eastAsia="Times New Roman" w:hAnsi="Garamond"/>
          <w:b/>
        </w:rPr>
        <w:t xml:space="preserve"> </w:t>
      </w:r>
    </w:p>
    <w:p w14:paraId="0BEF7DDC" w14:textId="77777777" w:rsidR="00D91B74" w:rsidRPr="00D91B74" w:rsidRDefault="00D91B74" w:rsidP="00D91B74">
      <w:pPr>
        <w:pStyle w:val="Heading1"/>
        <w:spacing w:line="240" w:lineRule="auto"/>
        <w:rPr>
          <w:szCs w:val="24"/>
        </w:rPr>
      </w:pPr>
      <w:r w:rsidRPr="00D91B74">
        <w:rPr>
          <w:b/>
          <w:szCs w:val="24"/>
          <w:u w:val="single"/>
        </w:rPr>
        <w:t xml:space="preserve">Channels for Investments in Distressed Assets  </w:t>
      </w:r>
    </w:p>
    <w:p w14:paraId="7DBC25C7" w14:textId="77777777" w:rsidR="00D91B74" w:rsidRPr="00D91B74" w:rsidRDefault="00D91B74" w:rsidP="00D91B74">
      <w:pPr>
        <w:rPr>
          <w:rFonts w:ascii="Garamond" w:hAnsi="Garamond"/>
        </w:rPr>
      </w:pPr>
      <w:r w:rsidRPr="00D91B74">
        <w:rPr>
          <w:rFonts w:ascii="Garamond" w:hAnsi="Garamond"/>
        </w:rPr>
        <w:t xml:space="preserve"> </w:t>
      </w:r>
    </w:p>
    <w:p w14:paraId="360240B9" w14:textId="77777777" w:rsidR="00D91B74" w:rsidRPr="00D91B74" w:rsidRDefault="00D91B74" w:rsidP="001852D7">
      <w:pPr>
        <w:jc w:val="both"/>
        <w:rPr>
          <w:rFonts w:ascii="Garamond" w:hAnsi="Garamond"/>
        </w:rPr>
      </w:pPr>
      <w:r w:rsidRPr="00D91B74">
        <w:rPr>
          <w:rFonts w:ascii="Garamond" w:hAnsi="Garamond"/>
        </w:rPr>
        <w:t>As I said earlier, the outstanding amount of NPAs is conservatively estimated at approximately USD 150 billion.</w:t>
      </w:r>
      <w:r w:rsidRPr="00D91B74">
        <w:rPr>
          <w:rFonts w:ascii="Garamond" w:eastAsia="Times New Roman" w:hAnsi="Garamond"/>
          <w:b/>
        </w:rPr>
        <w:t xml:space="preserve"> </w:t>
      </w:r>
      <w:r w:rsidRPr="00D91B74">
        <w:rPr>
          <w:rFonts w:ascii="Garamond" w:hAnsi="Garamond"/>
        </w:rPr>
        <w:t xml:space="preserve"> </w:t>
      </w:r>
    </w:p>
    <w:p w14:paraId="0F79D5BF" w14:textId="77777777" w:rsidR="00D91B74" w:rsidRPr="00D91B74" w:rsidRDefault="00D91B74" w:rsidP="00D91B74">
      <w:pPr>
        <w:rPr>
          <w:rFonts w:ascii="Garamond" w:hAnsi="Garamond"/>
        </w:rPr>
      </w:pPr>
      <w:r w:rsidRPr="00D91B74">
        <w:rPr>
          <w:rFonts w:ascii="Garamond" w:hAnsi="Garamond"/>
        </w:rPr>
        <w:t xml:space="preserve"> </w:t>
      </w:r>
    </w:p>
    <w:p w14:paraId="5009C060" w14:textId="77777777" w:rsidR="00D91B74" w:rsidRPr="00D91B74" w:rsidRDefault="00D91B74" w:rsidP="001852D7">
      <w:pPr>
        <w:jc w:val="both"/>
        <w:rPr>
          <w:rFonts w:ascii="Garamond" w:hAnsi="Garamond"/>
        </w:rPr>
      </w:pPr>
      <w:r w:rsidRPr="00D91B74">
        <w:rPr>
          <w:rFonts w:ascii="Garamond" w:hAnsi="Garamond"/>
        </w:rPr>
        <w:t xml:space="preserve">There are multiple channels through which foreign investments can be made in distressed assets in India. The opportunities have multiplied manifold after the implementation of IBC. </w:t>
      </w:r>
    </w:p>
    <w:p w14:paraId="2126015D" w14:textId="77777777" w:rsidR="00D91B74" w:rsidRPr="00D91B74" w:rsidRDefault="00D91B74" w:rsidP="00D91B74">
      <w:pPr>
        <w:rPr>
          <w:rFonts w:ascii="Garamond" w:hAnsi="Garamond"/>
        </w:rPr>
      </w:pPr>
      <w:r w:rsidRPr="00D91B74">
        <w:rPr>
          <w:rFonts w:ascii="Garamond" w:hAnsi="Garamond"/>
        </w:rPr>
        <w:t xml:space="preserve"> </w:t>
      </w:r>
    </w:p>
    <w:p w14:paraId="4A0F0222" w14:textId="77777777" w:rsidR="00D91B74" w:rsidRPr="00D91B74" w:rsidRDefault="00D91B74" w:rsidP="001852D7">
      <w:pPr>
        <w:jc w:val="both"/>
        <w:rPr>
          <w:rFonts w:ascii="Garamond" w:hAnsi="Garamond"/>
        </w:rPr>
      </w:pPr>
      <w:r w:rsidRPr="00D91B74">
        <w:rPr>
          <w:rFonts w:ascii="Garamond" w:hAnsi="Garamond"/>
        </w:rPr>
        <w:t xml:space="preserve">Foreign investors can invest through Foreign Direct Investment route to set up an Asset Reconstruction Company (ARC) or as portfolio investors in security receipts issued by ARCs. ARC is a specialized financial institution that buys the NPAs or bad assets from banks and financial institutions so that the latter can clean up their balance sheets. In other words, ARCs are in the business of buying bad loans from banks.  </w:t>
      </w:r>
    </w:p>
    <w:p w14:paraId="3CD1B8C7" w14:textId="77777777" w:rsidR="00D91B74" w:rsidRPr="00D91B74" w:rsidRDefault="00D91B74" w:rsidP="00D91B74">
      <w:pPr>
        <w:rPr>
          <w:rFonts w:ascii="Garamond" w:hAnsi="Garamond"/>
        </w:rPr>
      </w:pPr>
      <w:r w:rsidRPr="00D91B74">
        <w:rPr>
          <w:rFonts w:ascii="Garamond" w:hAnsi="Garamond"/>
        </w:rPr>
        <w:t xml:space="preserve"> </w:t>
      </w:r>
    </w:p>
    <w:p w14:paraId="54AA8FBF" w14:textId="77777777" w:rsidR="00D91B74" w:rsidRPr="00D91B74" w:rsidRDefault="00D91B74" w:rsidP="001852D7">
      <w:pPr>
        <w:jc w:val="both"/>
        <w:rPr>
          <w:rFonts w:ascii="Garamond" w:hAnsi="Garamond"/>
        </w:rPr>
      </w:pPr>
      <w:r w:rsidRPr="00D91B74">
        <w:rPr>
          <w:rFonts w:ascii="Garamond" w:hAnsi="Garamond"/>
        </w:rPr>
        <w:t>100% FDI is allowed in setting up of ARCs.</w:t>
      </w:r>
      <w:r w:rsidRPr="00D91B74">
        <w:rPr>
          <w:rFonts w:ascii="Garamond" w:eastAsia="Georgia" w:hAnsi="Garamond" w:cs="Georgia"/>
        </w:rPr>
        <w:t xml:space="preserve"> </w:t>
      </w:r>
      <w:r w:rsidRPr="00D91B74">
        <w:rPr>
          <w:rFonts w:ascii="Garamond" w:hAnsi="Garamond"/>
        </w:rPr>
        <w:t xml:space="preserve">Also, FPIs are allowed to invest up to 100% of each tranche in security receipts issued by ARCs. </w:t>
      </w:r>
      <w:r w:rsidRPr="00D91B74">
        <w:rPr>
          <w:rFonts w:ascii="Garamond" w:eastAsia="Georgia" w:hAnsi="Garamond" w:cs="Georgia"/>
        </w:rPr>
        <w:t>RBI has allowed ARCs to hold more than 26% post conversion of debt into equity in companies undergoing restructuring.</w:t>
      </w:r>
      <w:r w:rsidRPr="00D91B74">
        <w:rPr>
          <w:rFonts w:ascii="Garamond" w:hAnsi="Garamond"/>
        </w:rPr>
        <w:t xml:space="preserve"> </w:t>
      </w:r>
    </w:p>
    <w:p w14:paraId="2E5969FB" w14:textId="77777777" w:rsidR="00D91B74" w:rsidRPr="00D91B74" w:rsidRDefault="00D91B74" w:rsidP="00D91B74">
      <w:pPr>
        <w:rPr>
          <w:rFonts w:ascii="Garamond" w:hAnsi="Garamond"/>
        </w:rPr>
      </w:pPr>
      <w:r w:rsidRPr="00D91B74">
        <w:rPr>
          <w:rFonts w:ascii="Garamond" w:hAnsi="Garamond"/>
        </w:rPr>
        <w:t xml:space="preserve"> </w:t>
      </w:r>
    </w:p>
    <w:p w14:paraId="3743829F" w14:textId="77777777" w:rsidR="00D91B74" w:rsidRPr="00D91B74" w:rsidRDefault="00D91B74" w:rsidP="001852D7">
      <w:pPr>
        <w:jc w:val="both"/>
        <w:rPr>
          <w:rFonts w:ascii="Garamond" w:hAnsi="Garamond"/>
        </w:rPr>
      </w:pPr>
      <w:r w:rsidRPr="00D91B74">
        <w:rPr>
          <w:rFonts w:ascii="Garamond" w:hAnsi="Garamond"/>
        </w:rPr>
        <w:t xml:space="preserve">As on date, there are 28 ARCs registered with RBI. Of late, the foreign investors have been showing interest in investing in ARCs. Of the 5 ARCs set up since 2017, 2 had foreign shareholding of 90% and 100%, respectively. Such investments would get a further boost as implementation of IBC matures with time.   </w:t>
      </w:r>
    </w:p>
    <w:p w14:paraId="33F6EFB2" w14:textId="77777777" w:rsidR="00D91B74" w:rsidRPr="00D91B74" w:rsidRDefault="00D91B74" w:rsidP="00D91B74">
      <w:pPr>
        <w:rPr>
          <w:rFonts w:ascii="Garamond" w:hAnsi="Garamond"/>
        </w:rPr>
      </w:pPr>
      <w:r w:rsidRPr="00D91B74">
        <w:rPr>
          <w:rFonts w:ascii="Garamond" w:hAnsi="Garamond"/>
        </w:rPr>
        <w:t xml:space="preserve"> </w:t>
      </w:r>
    </w:p>
    <w:p w14:paraId="235642A7" w14:textId="77777777" w:rsidR="00D91B74" w:rsidRPr="00D91B74" w:rsidRDefault="00D91B74" w:rsidP="001852D7">
      <w:pPr>
        <w:jc w:val="both"/>
        <w:rPr>
          <w:rFonts w:ascii="Garamond" w:hAnsi="Garamond"/>
        </w:rPr>
      </w:pPr>
      <w:r w:rsidRPr="00D91B74">
        <w:rPr>
          <w:rFonts w:ascii="Garamond" w:hAnsi="Garamond"/>
        </w:rPr>
        <w:t xml:space="preserve">Currently, more than USD 14 billion of security receipts issued by Asset Reconstruction Companies are outstanding. Of this, 74% are held by banks, 22% by ARCs, 1% by Financial Institutions and around 3% by foreign portfolio investors.  </w:t>
      </w:r>
    </w:p>
    <w:p w14:paraId="3F47C2FB" w14:textId="77777777" w:rsidR="00D91B74" w:rsidRPr="00D91B74" w:rsidRDefault="00D91B74" w:rsidP="00D91B74">
      <w:pPr>
        <w:rPr>
          <w:rFonts w:ascii="Garamond" w:hAnsi="Garamond"/>
        </w:rPr>
      </w:pPr>
      <w:r w:rsidRPr="00D91B74">
        <w:rPr>
          <w:rFonts w:ascii="Garamond" w:hAnsi="Garamond"/>
        </w:rPr>
        <w:t xml:space="preserve"> </w:t>
      </w:r>
    </w:p>
    <w:p w14:paraId="3F0FE782" w14:textId="77777777" w:rsidR="00D91B74" w:rsidRPr="00D91B74" w:rsidRDefault="00D91B74" w:rsidP="001852D7">
      <w:pPr>
        <w:jc w:val="both"/>
        <w:rPr>
          <w:rFonts w:ascii="Garamond" w:hAnsi="Garamond"/>
        </w:rPr>
      </w:pPr>
      <w:r w:rsidRPr="00D91B74">
        <w:rPr>
          <w:rFonts w:ascii="Garamond" w:hAnsi="Garamond"/>
        </w:rPr>
        <w:t>As regards taxation, ‘pass through’ status has been extended to securitization trust where income is taxable directly in the hands of investors.</w:t>
      </w:r>
      <w:r w:rsidRPr="00D91B74">
        <w:rPr>
          <w:rFonts w:ascii="Garamond" w:eastAsia="Calibri" w:hAnsi="Garamond" w:cs="Calibri"/>
          <w:vertAlign w:val="subscript"/>
        </w:rPr>
        <w:t xml:space="preserve"> </w:t>
      </w:r>
      <w:r w:rsidRPr="00D91B74">
        <w:rPr>
          <w:rFonts w:ascii="Garamond" w:hAnsi="Garamond"/>
        </w:rPr>
        <w:t xml:space="preserve">Tax Deduction at Source (TDS) would be as per the applicable rate in force for non-residents. </w:t>
      </w:r>
    </w:p>
    <w:p w14:paraId="60313546" w14:textId="77777777" w:rsidR="00D91B74" w:rsidRPr="00D91B74" w:rsidRDefault="00D91B74" w:rsidP="00D91B74">
      <w:pPr>
        <w:rPr>
          <w:rFonts w:ascii="Garamond" w:hAnsi="Garamond"/>
        </w:rPr>
      </w:pPr>
      <w:r w:rsidRPr="00D91B74">
        <w:rPr>
          <w:rFonts w:ascii="Garamond" w:hAnsi="Garamond"/>
        </w:rPr>
        <w:t xml:space="preserve"> </w:t>
      </w:r>
    </w:p>
    <w:p w14:paraId="5AD5B078" w14:textId="77777777" w:rsidR="00D91B74" w:rsidRPr="00D91B74" w:rsidRDefault="00D91B74" w:rsidP="001852D7">
      <w:pPr>
        <w:jc w:val="both"/>
        <w:rPr>
          <w:rFonts w:ascii="Garamond" w:hAnsi="Garamond"/>
        </w:rPr>
      </w:pPr>
      <w:r w:rsidRPr="00D91B74">
        <w:rPr>
          <w:rFonts w:ascii="Garamond" w:hAnsi="Garamond"/>
        </w:rPr>
        <w:t xml:space="preserve">Evidently, the market for security receipts is ripe for foreign portfolio investors to make their presence felt. SRs have been allowed to be listed and traded on stock exchanges, thereby providing liquidity in the secondary market.  </w:t>
      </w:r>
    </w:p>
    <w:p w14:paraId="52DFD6F7" w14:textId="77777777" w:rsidR="00D91B74" w:rsidRPr="00D91B74" w:rsidRDefault="00D91B74" w:rsidP="00D91B74">
      <w:pPr>
        <w:rPr>
          <w:rFonts w:ascii="Garamond" w:hAnsi="Garamond"/>
        </w:rPr>
      </w:pPr>
      <w:r w:rsidRPr="00D91B74">
        <w:rPr>
          <w:rFonts w:ascii="Garamond" w:hAnsi="Garamond"/>
        </w:rPr>
        <w:t xml:space="preserve"> </w:t>
      </w:r>
    </w:p>
    <w:p w14:paraId="7046A6BB" w14:textId="77777777" w:rsidR="00D91B74" w:rsidRPr="00D91B74" w:rsidRDefault="00D91B74" w:rsidP="001852D7">
      <w:pPr>
        <w:jc w:val="both"/>
        <w:rPr>
          <w:rFonts w:ascii="Garamond" w:hAnsi="Garamond"/>
        </w:rPr>
      </w:pPr>
      <w:r w:rsidRPr="00D91B74">
        <w:rPr>
          <w:rFonts w:ascii="Garamond" w:hAnsi="Garamond"/>
        </w:rPr>
        <w:t xml:space="preserve">Alternatively, foreign investors can also invest though FDI route in Alternative Investment Funds (AIFs) or as portfolio investors in units of AIFs targeting for investing in distressed assets. Such AIFs generally go under the name of “Stressed Asset Funds” or “Special Situation Funds”  </w:t>
      </w:r>
    </w:p>
    <w:p w14:paraId="61774E71" w14:textId="77777777" w:rsidR="00D91B74" w:rsidRPr="00D91B74" w:rsidRDefault="00D91B74" w:rsidP="00D91B74">
      <w:pPr>
        <w:rPr>
          <w:rFonts w:ascii="Garamond" w:hAnsi="Garamond"/>
        </w:rPr>
      </w:pPr>
      <w:r w:rsidRPr="00D91B74">
        <w:rPr>
          <w:rFonts w:ascii="Garamond" w:eastAsia="Times New Roman" w:hAnsi="Garamond"/>
          <w:b/>
        </w:rPr>
        <w:t xml:space="preserve"> </w:t>
      </w:r>
    </w:p>
    <w:p w14:paraId="39091E4B" w14:textId="77777777" w:rsidR="00D91B74" w:rsidRPr="00D91B74" w:rsidRDefault="00D91B74" w:rsidP="001852D7">
      <w:pPr>
        <w:jc w:val="both"/>
        <w:rPr>
          <w:rFonts w:ascii="Garamond" w:hAnsi="Garamond"/>
        </w:rPr>
      </w:pPr>
      <w:r w:rsidRPr="00D91B74">
        <w:rPr>
          <w:rFonts w:ascii="Garamond" w:hAnsi="Garamond"/>
        </w:rPr>
        <w:t xml:space="preserve">AIFs are funds established or incorporated in India which are privately pooled investment vehicle collecting funds from sophisticated investors, whether Indian or foreign, for investing it in accordance with a defined investment policy for the benefit of their investors. 100% FDI is allowed in setting up of AIFs. Also, FPIs are allowed to invest up to 100% in units issued by AIFs.  </w:t>
      </w:r>
    </w:p>
    <w:p w14:paraId="2DDBE389" w14:textId="77777777" w:rsidR="00D91B74" w:rsidRPr="00D91B74" w:rsidRDefault="00D91B74" w:rsidP="00D91B74">
      <w:pPr>
        <w:rPr>
          <w:rFonts w:ascii="Garamond" w:hAnsi="Garamond"/>
        </w:rPr>
      </w:pPr>
      <w:r w:rsidRPr="00D91B74">
        <w:rPr>
          <w:rFonts w:ascii="Garamond" w:hAnsi="Garamond"/>
        </w:rPr>
        <w:t xml:space="preserve"> </w:t>
      </w:r>
    </w:p>
    <w:p w14:paraId="67B4D2C3" w14:textId="77777777" w:rsidR="00D91B74" w:rsidRPr="00D91B74" w:rsidRDefault="00D91B74" w:rsidP="001852D7">
      <w:pPr>
        <w:jc w:val="both"/>
        <w:rPr>
          <w:rFonts w:ascii="Garamond" w:hAnsi="Garamond"/>
        </w:rPr>
      </w:pPr>
      <w:r w:rsidRPr="00D91B74">
        <w:rPr>
          <w:rFonts w:ascii="Garamond" w:hAnsi="Garamond"/>
        </w:rPr>
        <w:t xml:space="preserve">With regard to taxation, AIFs also enjoy ‘pass-through’ status where income is taxable directly in the hands of investors. </w:t>
      </w:r>
    </w:p>
    <w:p w14:paraId="1F06746F" w14:textId="77777777" w:rsidR="00D91B74" w:rsidRPr="00D91B74" w:rsidRDefault="00D91B74" w:rsidP="00D91B74">
      <w:pPr>
        <w:rPr>
          <w:rFonts w:ascii="Garamond" w:hAnsi="Garamond"/>
        </w:rPr>
      </w:pPr>
      <w:r w:rsidRPr="00D91B74">
        <w:rPr>
          <w:rFonts w:ascii="Garamond" w:hAnsi="Garamond"/>
        </w:rPr>
        <w:t xml:space="preserve"> </w:t>
      </w:r>
    </w:p>
    <w:p w14:paraId="55AD87E3" w14:textId="77777777" w:rsidR="00D91B74" w:rsidRPr="00D91B74" w:rsidRDefault="00D91B74" w:rsidP="001852D7">
      <w:pPr>
        <w:jc w:val="both"/>
        <w:rPr>
          <w:rFonts w:ascii="Garamond" w:hAnsi="Garamond"/>
        </w:rPr>
      </w:pPr>
      <w:r w:rsidRPr="00D91B74">
        <w:rPr>
          <w:rFonts w:ascii="Garamond" w:hAnsi="Garamond"/>
        </w:rPr>
        <w:t xml:space="preserve">As of now, three domestic funds, together with a corpus of around USD 380 million, have got registered with SEBI as Category II AIFs with an objective of investing in stressed assets. Recently, two more applications from domestic funds, together with a corpus of USD 160 million, have been received by SEBI.  </w:t>
      </w:r>
    </w:p>
    <w:p w14:paraId="7D42E6D4" w14:textId="77777777" w:rsidR="00D91B74" w:rsidRPr="00D91B74" w:rsidRDefault="00D91B74" w:rsidP="00D91B74">
      <w:pPr>
        <w:rPr>
          <w:rFonts w:ascii="Garamond" w:hAnsi="Garamond"/>
        </w:rPr>
      </w:pPr>
      <w:r w:rsidRPr="00D91B74">
        <w:rPr>
          <w:rFonts w:ascii="Garamond" w:hAnsi="Garamond"/>
        </w:rPr>
        <w:t xml:space="preserve"> </w:t>
      </w:r>
    </w:p>
    <w:p w14:paraId="0A9E4B47" w14:textId="77777777" w:rsidR="00D91B74" w:rsidRPr="00D91B74" w:rsidRDefault="00D91B74" w:rsidP="001852D7">
      <w:pPr>
        <w:jc w:val="both"/>
        <w:rPr>
          <w:rFonts w:ascii="Garamond" w:hAnsi="Garamond"/>
        </w:rPr>
      </w:pPr>
      <w:r w:rsidRPr="00D91B74">
        <w:rPr>
          <w:rFonts w:ascii="Garamond" w:hAnsi="Garamond"/>
        </w:rPr>
        <w:t xml:space="preserve">It is an opportune time for foreign investors with requisite expertise to make investments in distressed companies using the AIF vehicle. By virtue of holding large investments, they can take management positions in such companies and influence the decision making to direct the revival of the asset/ company by way of financial restructuring, improving the processes involved / corporate governance and day to day management. </w:t>
      </w:r>
    </w:p>
    <w:p w14:paraId="75BAAACC" w14:textId="77777777" w:rsidR="00D91B74" w:rsidRPr="00D91B74" w:rsidRDefault="00D91B74" w:rsidP="00D91B74">
      <w:pPr>
        <w:rPr>
          <w:rFonts w:ascii="Garamond" w:hAnsi="Garamond"/>
        </w:rPr>
      </w:pPr>
      <w:r w:rsidRPr="00D91B74">
        <w:rPr>
          <w:rFonts w:ascii="Garamond" w:eastAsia="Times New Roman" w:hAnsi="Garamond"/>
          <w:b/>
        </w:rPr>
        <w:t xml:space="preserve"> </w:t>
      </w:r>
    </w:p>
    <w:p w14:paraId="1537434E" w14:textId="77777777" w:rsidR="00D91B74" w:rsidRPr="00D91B74" w:rsidRDefault="00D91B74" w:rsidP="00D91B74">
      <w:pPr>
        <w:pStyle w:val="Heading1"/>
        <w:spacing w:line="240" w:lineRule="auto"/>
        <w:rPr>
          <w:b/>
          <w:szCs w:val="24"/>
          <w:u w:val="single"/>
        </w:rPr>
      </w:pPr>
      <w:r w:rsidRPr="00D91B74">
        <w:rPr>
          <w:b/>
          <w:szCs w:val="24"/>
          <w:u w:val="single"/>
        </w:rPr>
        <w:t xml:space="preserve">Conclusion  </w:t>
      </w:r>
    </w:p>
    <w:p w14:paraId="041DD018" w14:textId="77777777" w:rsidR="00D91B74" w:rsidRPr="00D91B74" w:rsidRDefault="00D91B74" w:rsidP="00D91B74">
      <w:pPr>
        <w:rPr>
          <w:rFonts w:ascii="Garamond" w:hAnsi="Garamond"/>
        </w:rPr>
      </w:pPr>
      <w:r w:rsidRPr="00D91B74">
        <w:rPr>
          <w:rFonts w:ascii="Garamond" w:hAnsi="Garamond"/>
        </w:rPr>
        <w:t xml:space="preserve"> </w:t>
      </w:r>
    </w:p>
    <w:p w14:paraId="06C4EA82" w14:textId="77777777" w:rsidR="00D91B74" w:rsidRPr="00D91B74" w:rsidRDefault="00D91B74" w:rsidP="001852D7">
      <w:pPr>
        <w:jc w:val="both"/>
        <w:rPr>
          <w:rFonts w:ascii="Garamond" w:hAnsi="Garamond"/>
        </w:rPr>
      </w:pPr>
      <w:r w:rsidRPr="00D91B74">
        <w:rPr>
          <w:rFonts w:ascii="Garamond" w:eastAsia="Georgia" w:hAnsi="Garamond" w:cs="Georgia"/>
        </w:rPr>
        <w:t>To conclude, let me share with you some of the major findings of a</w:t>
      </w:r>
      <w:r w:rsidRPr="00D91B74">
        <w:rPr>
          <w:rFonts w:ascii="Garamond" w:hAnsi="Garamond"/>
        </w:rPr>
        <w:t xml:space="preserve"> recent survey titled </w:t>
      </w:r>
      <w:r w:rsidRPr="00D91B74">
        <w:rPr>
          <w:rFonts w:ascii="Garamond" w:eastAsia="Times New Roman" w:hAnsi="Garamond"/>
          <w:i/>
        </w:rPr>
        <w:t>“Decoding the Code: Survey on Twenty One Months of IBC in India”</w:t>
      </w:r>
      <w:r w:rsidRPr="00D91B74">
        <w:rPr>
          <w:rFonts w:ascii="Garamond" w:hAnsi="Garamond"/>
        </w:rPr>
        <w:t xml:space="preserve"> by</w:t>
      </w:r>
      <w:r w:rsidRPr="00D91B74">
        <w:rPr>
          <w:rFonts w:ascii="Garamond" w:eastAsia="Calibri" w:hAnsi="Garamond" w:cs="Calibri"/>
          <w:vertAlign w:val="subscript"/>
        </w:rPr>
        <w:t xml:space="preserve"> </w:t>
      </w:r>
      <w:r w:rsidRPr="00D91B74">
        <w:rPr>
          <w:rFonts w:ascii="Garamond" w:hAnsi="Garamond"/>
        </w:rPr>
        <w:t>PwC</w:t>
      </w:r>
      <w:r w:rsidRPr="00D91B74">
        <w:rPr>
          <w:rFonts w:ascii="Garamond" w:eastAsia="Times New Roman" w:hAnsi="Garamond"/>
          <w:i/>
        </w:rPr>
        <w:t xml:space="preserve"> </w:t>
      </w:r>
      <w:r w:rsidRPr="00D91B74">
        <w:rPr>
          <w:rFonts w:ascii="Garamond" w:hAnsi="Garamond"/>
        </w:rPr>
        <w:t xml:space="preserve">about distressed asset market in India. The survey was conducted among private equity funds, asset reconstruction companies and strategic investors, both in India and abroad.  </w:t>
      </w:r>
    </w:p>
    <w:p w14:paraId="4B654322" w14:textId="77777777" w:rsidR="00D91B74" w:rsidRPr="00D91B74" w:rsidRDefault="00D91B74" w:rsidP="00D91B74">
      <w:pPr>
        <w:rPr>
          <w:rFonts w:ascii="Garamond" w:hAnsi="Garamond"/>
        </w:rPr>
      </w:pPr>
      <w:r w:rsidRPr="00D91B74">
        <w:rPr>
          <w:rFonts w:ascii="Garamond" w:hAnsi="Garamond"/>
        </w:rPr>
        <w:t xml:space="preserve"> </w:t>
      </w:r>
    </w:p>
    <w:p w14:paraId="06CD5B41" w14:textId="77777777" w:rsidR="00D91B74" w:rsidRPr="00D91B74" w:rsidRDefault="00D91B74" w:rsidP="008C5EBB">
      <w:pPr>
        <w:numPr>
          <w:ilvl w:val="1"/>
          <w:numId w:val="8"/>
        </w:numPr>
        <w:ind w:left="1134" w:hanging="662"/>
        <w:jc w:val="both"/>
        <w:rPr>
          <w:rFonts w:ascii="Garamond" w:hAnsi="Garamond"/>
        </w:rPr>
      </w:pPr>
      <w:r w:rsidRPr="00D91B74">
        <w:rPr>
          <w:rFonts w:ascii="Garamond" w:hAnsi="Garamond"/>
        </w:rPr>
        <w:t xml:space="preserve">60% of the survey respondents are likely to allocate more than $100 million to distressed deals which is significantly above the average M&amp;A deal size over the last decade. </w:t>
      </w:r>
    </w:p>
    <w:p w14:paraId="0F326F4F" w14:textId="77777777" w:rsidR="00D91B74" w:rsidRPr="00D91B74" w:rsidRDefault="00D91B74" w:rsidP="00D91B74">
      <w:pPr>
        <w:ind w:left="1134"/>
        <w:rPr>
          <w:rFonts w:ascii="Garamond" w:hAnsi="Garamond"/>
        </w:rPr>
      </w:pPr>
      <w:r w:rsidRPr="00D91B74">
        <w:rPr>
          <w:rFonts w:ascii="Garamond" w:hAnsi="Garamond"/>
        </w:rPr>
        <w:t xml:space="preserve"> </w:t>
      </w:r>
    </w:p>
    <w:p w14:paraId="1CE4E100" w14:textId="77777777" w:rsidR="00D91B74" w:rsidRPr="00D91B74" w:rsidRDefault="00D91B74" w:rsidP="008C5EBB">
      <w:pPr>
        <w:numPr>
          <w:ilvl w:val="1"/>
          <w:numId w:val="8"/>
        </w:numPr>
        <w:ind w:left="1134" w:hanging="662"/>
        <w:jc w:val="both"/>
        <w:rPr>
          <w:rFonts w:ascii="Garamond" w:hAnsi="Garamond"/>
        </w:rPr>
      </w:pPr>
      <w:r w:rsidRPr="00D91B74">
        <w:rPr>
          <w:rFonts w:ascii="Garamond" w:hAnsi="Garamond"/>
        </w:rPr>
        <w:t xml:space="preserve">83% viewed the introduction of IBC as the most favorable recent amendment in the regulatory laws aiding investments in the Indian distressed asset space. </w:t>
      </w:r>
    </w:p>
    <w:p w14:paraId="1398726D" w14:textId="77777777" w:rsidR="00D91B74" w:rsidRPr="00D91B74" w:rsidRDefault="00D91B74" w:rsidP="00D91B74">
      <w:pPr>
        <w:ind w:left="1134"/>
        <w:rPr>
          <w:rFonts w:ascii="Garamond" w:hAnsi="Garamond"/>
        </w:rPr>
      </w:pPr>
      <w:r w:rsidRPr="00D91B74">
        <w:rPr>
          <w:rFonts w:ascii="Garamond" w:hAnsi="Garamond"/>
        </w:rPr>
        <w:t xml:space="preserve"> </w:t>
      </w:r>
    </w:p>
    <w:p w14:paraId="5A6A86A1" w14:textId="77777777" w:rsidR="00D91B74" w:rsidRPr="00D91B74" w:rsidRDefault="00D91B74" w:rsidP="008C5EBB">
      <w:pPr>
        <w:numPr>
          <w:ilvl w:val="1"/>
          <w:numId w:val="8"/>
        </w:numPr>
        <w:ind w:left="1134" w:hanging="662"/>
        <w:jc w:val="both"/>
        <w:rPr>
          <w:rFonts w:ascii="Garamond" w:hAnsi="Garamond"/>
        </w:rPr>
      </w:pPr>
      <w:r w:rsidRPr="00D91B74">
        <w:rPr>
          <w:rFonts w:ascii="Garamond" w:hAnsi="Garamond"/>
        </w:rPr>
        <w:t xml:space="preserve">80% were in favor of distressed deals in manufacturing sector spanning industries such as metals, chemicals, pharma, cement and discrete manufacturing.  </w:t>
      </w:r>
    </w:p>
    <w:p w14:paraId="43BBAFD2" w14:textId="77777777" w:rsidR="00D91B74" w:rsidRPr="00D91B74" w:rsidRDefault="00D91B74" w:rsidP="00D91B74">
      <w:pPr>
        <w:ind w:left="1134"/>
        <w:rPr>
          <w:rFonts w:ascii="Garamond" w:hAnsi="Garamond"/>
        </w:rPr>
      </w:pPr>
      <w:r w:rsidRPr="00D91B74">
        <w:rPr>
          <w:rFonts w:ascii="Garamond" w:hAnsi="Garamond"/>
        </w:rPr>
        <w:t xml:space="preserve"> </w:t>
      </w:r>
    </w:p>
    <w:p w14:paraId="1254E342" w14:textId="77777777" w:rsidR="00D91B74" w:rsidRPr="00D91B74" w:rsidRDefault="00D91B74" w:rsidP="008C5EBB">
      <w:pPr>
        <w:numPr>
          <w:ilvl w:val="1"/>
          <w:numId w:val="8"/>
        </w:numPr>
        <w:ind w:left="1134" w:hanging="662"/>
        <w:jc w:val="both"/>
        <w:rPr>
          <w:rFonts w:ascii="Garamond" w:hAnsi="Garamond"/>
        </w:rPr>
      </w:pPr>
      <w:r w:rsidRPr="00D91B74">
        <w:rPr>
          <w:rFonts w:ascii="Garamond" w:hAnsi="Garamond"/>
        </w:rPr>
        <w:t xml:space="preserve">More than 50% were evaluating deals in the infrastructure, power and real estate sectors. </w:t>
      </w:r>
    </w:p>
    <w:p w14:paraId="5D9F17E4" w14:textId="77777777" w:rsidR="00D91B74" w:rsidRPr="00D91B74" w:rsidRDefault="00D91B74" w:rsidP="00D91B74">
      <w:pPr>
        <w:rPr>
          <w:rFonts w:ascii="Garamond" w:hAnsi="Garamond"/>
        </w:rPr>
      </w:pPr>
      <w:r w:rsidRPr="00D91B74">
        <w:rPr>
          <w:rFonts w:ascii="Garamond" w:hAnsi="Garamond"/>
        </w:rPr>
        <w:t xml:space="preserve"> </w:t>
      </w:r>
    </w:p>
    <w:p w14:paraId="3B647985" w14:textId="77777777" w:rsidR="00D91B74" w:rsidRDefault="00D91B74" w:rsidP="001852D7">
      <w:pPr>
        <w:jc w:val="both"/>
      </w:pPr>
      <w:r w:rsidRPr="00D91B74">
        <w:rPr>
          <w:rFonts w:ascii="Garamond" w:hAnsi="Garamond"/>
        </w:rPr>
        <w:t>I look forward to a fruitful engagement with you all in the space of distressed asset investments in India. I also look forward to any suggestions that you may have to further improve the investment eco-system in India.</w:t>
      </w:r>
      <w:r w:rsidRPr="00D91B74">
        <w:rPr>
          <w:rFonts w:ascii="Garamond" w:eastAsia="Calibri" w:hAnsi="Garamond" w:cs="Calibri"/>
          <w:b/>
        </w:rPr>
        <w:t xml:space="preserve"> </w:t>
      </w:r>
    </w:p>
    <w:p w14:paraId="1896A82E" w14:textId="77777777" w:rsidR="009F3E40" w:rsidRPr="002D46D6" w:rsidRDefault="009F3E40" w:rsidP="00345367">
      <w:pPr>
        <w:spacing w:after="120"/>
        <w:rPr>
          <w:rFonts w:ascii="Garamond" w:hAnsi="Garamond"/>
        </w:rPr>
      </w:pPr>
      <w:r w:rsidRPr="002D46D6">
        <w:rPr>
          <w:rFonts w:ascii="Garamond" w:hAnsi="Garamond"/>
        </w:rPr>
        <w:t xml:space="preserve"> </w:t>
      </w:r>
    </w:p>
    <w:p w14:paraId="39A9C7E5" w14:textId="77777777" w:rsidR="00D80581" w:rsidRDefault="00D80581">
      <w:pPr>
        <w:rPr>
          <w:rFonts w:ascii="Garamond" w:hAnsi="Garamond"/>
        </w:rPr>
      </w:pPr>
      <w:r>
        <w:rPr>
          <w:rFonts w:ascii="Garamond" w:hAnsi="Garamond"/>
        </w:rPr>
        <w:br w:type="page"/>
      </w:r>
    </w:p>
    <w:p w14:paraId="4166749B" w14:textId="77777777" w:rsidR="004D4725" w:rsidRPr="002D46D6" w:rsidRDefault="004D4725" w:rsidP="00D80581">
      <w:pPr>
        <w:spacing w:after="120"/>
        <w:rPr>
          <w:rFonts w:ascii="Garamond" w:hAnsi="Garamond" w:cs="Helvetica"/>
          <w:b/>
          <w:color w:val="000099"/>
          <w:sz w:val="32"/>
          <w:szCs w:val="40"/>
        </w:rPr>
      </w:pPr>
    </w:p>
    <w:p w14:paraId="1294450A" w14:textId="77777777" w:rsidR="00B25DA6" w:rsidRPr="002D46D6" w:rsidRDefault="00B25DA6" w:rsidP="00B25DA6">
      <w:pPr>
        <w:jc w:val="center"/>
        <w:outlineLvl w:val="0"/>
        <w:rPr>
          <w:rFonts w:ascii="Garamond" w:hAnsi="Garamond" w:cs="Helvetica"/>
          <w:b/>
          <w:color w:val="000099"/>
          <w:sz w:val="32"/>
          <w:szCs w:val="40"/>
        </w:rPr>
      </w:pPr>
      <w:r w:rsidRPr="002D46D6">
        <w:rPr>
          <w:rFonts w:ascii="Garamond" w:hAnsi="Garamond" w:cs="Helvetica"/>
          <w:b/>
          <w:color w:val="000099"/>
          <w:sz w:val="32"/>
          <w:szCs w:val="40"/>
        </w:rPr>
        <w:t>CAPITAL MARKET REVIEW</w:t>
      </w:r>
    </w:p>
    <w:p w14:paraId="5D29453B" w14:textId="77777777" w:rsidR="004E2725" w:rsidRPr="002D46D6" w:rsidRDefault="004E2725" w:rsidP="0083773A">
      <w:pPr>
        <w:rPr>
          <w:rFonts w:ascii="Garamond" w:hAnsi="Garamond"/>
        </w:rPr>
      </w:pPr>
    </w:p>
    <w:p w14:paraId="1351D5E8" w14:textId="77777777" w:rsidR="002924F3" w:rsidRDefault="002924F3" w:rsidP="006859F1">
      <w:pPr>
        <w:widowControl w:val="0"/>
        <w:numPr>
          <w:ilvl w:val="0"/>
          <w:numId w:val="2"/>
        </w:numPr>
        <w:contextualSpacing/>
        <w:jc w:val="both"/>
        <w:rPr>
          <w:rFonts w:ascii="Palatino Linotype" w:hAnsi="Palatino Linotype"/>
          <w:b/>
          <w:sz w:val="22"/>
          <w:szCs w:val="22"/>
        </w:rPr>
      </w:pPr>
      <w:r w:rsidRPr="00D13863">
        <w:rPr>
          <w:rFonts w:ascii="Palatino Linotype" w:hAnsi="Palatino Linotype"/>
          <w:b/>
          <w:sz w:val="22"/>
          <w:szCs w:val="22"/>
        </w:rPr>
        <w:t xml:space="preserve">Introduction </w:t>
      </w:r>
    </w:p>
    <w:p w14:paraId="4587E738" w14:textId="77777777" w:rsidR="002924F3" w:rsidRPr="00BC4FB5" w:rsidRDefault="002924F3" w:rsidP="002924F3">
      <w:pPr>
        <w:widowControl w:val="0"/>
        <w:ind w:left="720"/>
        <w:contextualSpacing/>
        <w:jc w:val="both"/>
        <w:rPr>
          <w:rFonts w:ascii="Palatino Linotype" w:hAnsi="Palatino Linotype"/>
          <w:b/>
          <w:i/>
          <w:sz w:val="22"/>
          <w:szCs w:val="22"/>
        </w:rPr>
      </w:pPr>
    </w:p>
    <w:p w14:paraId="39C7E26C" w14:textId="77777777" w:rsidR="00885921" w:rsidRDefault="00885921" w:rsidP="00885921">
      <w:pPr>
        <w:jc w:val="both"/>
        <w:rPr>
          <w:rFonts w:ascii="Palatino Linotype" w:hAnsi="Palatino Linotype"/>
          <w:sz w:val="22"/>
          <w:szCs w:val="22"/>
        </w:rPr>
      </w:pPr>
      <w:r>
        <w:rPr>
          <w:rFonts w:ascii="Palatino Linotype" w:hAnsi="Palatino Linotype"/>
          <w:sz w:val="22"/>
          <w:szCs w:val="22"/>
        </w:rPr>
        <w:t>The overall gross domestic product (</w:t>
      </w:r>
      <w:r w:rsidRPr="00BC4FB5">
        <w:rPr>
          <w:rFonts w:ascii="Palatino Linotype" w:hAnsi="Palatino Linotype"/>
          <w:sz w:val="22"/>
          <w:szCs w:val="22"/>
        </w:rPr>
        <w:t>GDP</w:t>
      </w:r>
      <w:r>
        <w:rPr>
          <w:rFonts w:ascii="Palatino Linotype" w:hAnsi="Palatino Linotype"/>
          <w:sz w:val="22"/>
          <w:szCs w:val="22"/>
        </w:rPr>
        <w:t>)</w:t>
      </w:r>
      <w:r w:rsidRPr="00BC4FB5">
        <w:rPr>
          <w:rFonts w:ascii="Palatino Linotype" w:hAnsi="Palatino Linotype"/>
          <w:sz w:val="22"/>
          <w:szCs w:val="22"/>
        </w:rPr>
        <w:t xml:space="preserve"> growth projection for 2018-19 is retained at 7.4 per cent.</w:t>
      </w:r>
      <w:r>
        <w:rPr>
          <w:rFonts w:ascii="Palatino Linotype" w:hAnsi="Palatino Linotype"/>
          <w:sz w:val="22"/>
          <w:szCs w:val="22"/>
        </w:rPr>
        <w:t xml:space="preserve"> The r</w:t>
      </w:r>
      <w:r w:rsidRPr="00AE2820">
        <w:rPr>
          <w:rFonts w:ascii="Palatino Linotype" w:hAnsi="Palatino Linotype"/>
          <w:sz w:val="22"/>
          <w:szCs w:val="22"/>
        </w:rPr>
        <w:t>eal GDP growth surged to a nine quarter hig</w:t>
      </w:r>
      <w:r>
        <w:rPr>
          <w:rFonts w:ascii="Palatino Linotype" w:hAnsi="Palatino Linotype"/>
          <w:sz w:val="22"/>
          <w:szCs w:val="22"/>
        </w:rPr>
        <w:t xml:space="preserve">h of 8.2 per cent in Q1:2018-19. </w:t>
      </w:r>
      <w:r w:rsidRPr="00BC4FB5">
        <w:rPr>
          <w:rFonts w:ascii="Palatino Linotype" w:hAnsi="Palatino Linotype"/>
          <w:sz w:val="22"/>
          <w:szCs w:val="22"/>
        </w:rPr>
        <w:t>Agricultural growth also picked up, supported by robust growth in production of rice, pulses and coarse cereals alongside a sustained expansion in livestock products, forestry and fisheries. In contrast, s</w:t>
      </w:r>
      <w:r>
        <w:rPr>
          <w:rFonts w:ascii="Palatino Linotype" w:hAnsi="Palatino Linotype"/>
          <w:sz w:val="22"/>
          <w:szCs w:val="22"/>
        </w:rPr>
        <w:t xml:space="preserve">ervices sector growth moderated, while the construction activity </w:t>
      </w:r>
      <w:r w:rsidRPr="00BC4FB5">
        <w:rPr>
          <w:rFonts w:ascii="Palatino Linotype" w:hAnsi="Palatino Linotype"/>
          <w:sz w:val="22"/>
          <w:szCs w:val="22"/>
        </w:rPr>
        <w:t>maintained strong pace for the second consecutive quarter.</w:t>
      </w:r>
    </w:p>
    <w:p w14:paraId="44462745" w14:textId="77777777" w:rsidR="00885921" w:rsidRDefault="00885921" w:rsidP="00885921">
      <w:pPr>
        <w:jc w:val="both"/>
        <w:rPr>
          <w:rFonts w:ascii="Palatino Linotype" w:hAnsi="Palatino Linotype"/>
          <w:sz w:val="22"/>
          <w:szCs w:val="22"/>
        </w:rPr>
      </w:pPr>
    </w:p>
    <w:p w14:paraId="525D5A55" w14:textId="77777777" w:rsidR="00885921" w:rsidRDefault="00885921" w:rsidP="00885921">
      <w:pPr>
        <w:jc w:val="both"/>
        <w:rPr>
          <w:rFonts w:ascii="Palatino Linotype" w:hAnsi="Palatino Linotype"/>
          <w:sz w:val="22"/>
          <w:szCs w:val="22"/>
        </w:rPr>
      </w:pPr>
      <w:r w:rsidRPr="00AE2820">
        <w:rPr>
          <w:rFonts w:ascii="Palatino Linotype" w:hAnsi="Palatino Linotype"/>
          <w:sz w:val="22"/>
          <w:szCs w:val="22"/>
        </w:rPr>
        <w:t>Retail inflation, measured by the y-o-y change in the CPI, fell from 4.9 per cent in June</w:t>
      </w:r>
      <w:r>
        <w:rPr>
          <w:rFonts w:ascii="Palatino Linotype" w:hAnsi="Palatino Linotype"/>
          <w:sz w:val="22"/>
          <w:szCs w:val="22"/>
        </w:rPr>
        <w:t xml:space="preserve"> 2018</w:t>
      </w:r>
      <w:r w:rsidRPr="00AE2820">
        <w:rPr>
          <w:rFonts w:ascii="Palatino Linotype" w:hAnsi="Palatino Linotype"/>
          <w:sz w:val="22"/>
          <w:szCs w:val="22"/>
        </w:rPr>
        <w:t xml:space="preserve"> to 3.7 per cent in August</w:t>
      </w:r>
      <w:r>
        <w:rPr>
          <w:rFonts w:ascii="Palatino Linotype" w:hAnsi="Palatino Linotype"/>
          <w:sz w:val="22"/>
          <w:szCs w:val="22"/>
        </w:rPr>
        <w:t xml:space="preserve"> 2018</w:t>
      </w:r>
      <w:r w:rsidRPr="00AE2820">
        <w:rPr>
          <w:rFonts w:ascii="Palatino Linotype" w:hAnsi="Palatino Linotype"/>
          <w:sz w:val="22"/>
          <w:szCs w:val="22"/>
        </w:rPr>
        <w:t>, dragged down by a decline in food inflation</w:t>
      </w:r>
      <w:r>
        <w:rPr>
          <w:rFonts w:ascii="Palatino Linotype" w:hAnsi="Palatino Linotype"/>
          <w:sz w:val="22"/>
          <w:szCs w:val="22"/>
        </w:rPr>
        <w:t>. D</w:t>
      </w:r>
      <w:r w:rsidRPr="00BC4FB5">
        <w:rPr>
          <w:rFonts w:ascii="Palatino Linotype" w:hAnsi="Palatino Linotype"/>
          <w:sz w:val="22"/>
          <w:szCs w:val="22"/>
        </w:rPr>
        <w:t>uring August-September 2018</w:t>
      </w:r>
      <w:r>
        <w:rPr>
          <w:rFonts w:ascii="Palatino Linotype" w:hAnsi="Palatino Linotype"/>
          <w:sz w:val="22"/>
          <w:szCs w:val="22"/>
        </w:rPr>
        <w:t xml:space="preserve">, systemic liquidity alternated between surplus and deficit. </w:t>
      </w:r>
      <w:r w:rsidRPr="00816081">
        <w:rPr>
          <w:rFonts w:ascii="Palatino Linotype" w:hAnsi="Palatino Linotype"/>
          <w:sz w:val="22"/>
          <w:szCs w:val="22"/>
        </w:rPr>
        <w:t xml:space="preserve">On the financing side, net foreign direct investment (FDI) flows improved in </w:t>
      </w:r>
      <w:r>
        <w:rPr>
          <w:rFonts w:ascii="Palatino Linotype" w:hAnsi="Palatino Linotype"/>
          <w:sz w:val="22"/>
          <w:szCs w:val="22"/>
        </w:rPr>
        <w:t xml:space="preserve">the last quarter. </w:t>
      </w:r>
      <w:r w:rsidRPr="00816081">
        <w:rPr>
          <w:rFonts w:ascii="Palatino Linotype" w:hAnsi="Palatino Linotype"/>
          <w:sz w:val="22"/>
          <w:szCs w:val="22"/>
        </w:rPr>
        <w:t xml:space="preserve">By contrast, </w:t>
      </w:r>
      <w:r>
        <w:rPr>
          <w:rFonts w:ascii="Palatino Linotype" w:hAnsi="Palatino Linotype"/>
          <w:sz w:val="22"/>
          <w:szCs w:val="22"/>
        </w:rPr>
        <w:t>FPIs were</w:t>
      </w:r>
      <w:r w:rsidRPr="00816081">
        <w:rPr>
          <w:rFonts w:ascii="Palatino Linotype" w:hAnsi="Palatino Linotype"/>
          <w:sz w:val="22"/>
          <w:szCs w:val="22"/>
        </w:rPr>
        <w:t xml:space="preserve"> net</w:t>
      </w:r>
      <w:r>
        <w:rPr>
          <w:rFonts w:ascii="Palatino Linotype" w:hAnsi="Palatino Linotype"/>
          <w:sz w:val="22"/>
          <w:szCs w:val="22"/>
        </w:rPr>
        <w:t xml:space="preserve"> sellers in both the equity and debt segment</w:t>
      </w:r>
      <w:r w:rsidRPr="00816081">
        <w:rPr>
          <w:rFonts w:ascii="Palatino Linotype" w:hAnsi="Palatino Linotype"/>
          <w:sz w:val="22"/>
          <w:szCs w:val="22"/>
        </w:rPr>
        <w:t xml:space="preserve"> </w:t>
      </w:r>
      <w:r>
        <w:rPr>
          <w:rFonts w:ascii="Palatino Linotype" w:hAnsi="Palatino Linotype"/>
          <w:sz w:val="22"/>
          <w:szCs w:val="22"/>
        </w:rPr>
        <w:t xml:space="preserve">in September 2018 owing </w:t>
      </w:r>
      <w:r w:rsidRPr="00816081">
        <w:rPr>
          <w:rFonts w:ascii="Palatino Linotype" w:hAnsi="Palatino Linotype"/>
          <w:sz w:val="22"/>
          <w:szCs w:val="22"/>
        </w:rPr>
        <w:t>to higher US int</w:t>
      </w:r>
      <w:r>
        <w:rPr>
          <w:rFonts w:ascii="Palatino Linotype" w:hAnsi="Palatino Linotype"/>
          <w:sz w:val="22"/>
          <w:szCs w:val="22"/>
        </w:rPr>
        <w:t xml:space="preserve">erest rates, risk-off </w:t>
      </w:r>
      <w:r w:rsidRPr="00816081">
        <w:rPr>
          <w:rFonts w:ascii="Palatino Linotype" w:hAnsi="Palatino Linotype"/>
          <w:sz w:val="22"/>
          <w:szCs w:val="22"/>
        </w:rPr>
        <w:t>sentiment in EMEs and escalation of trade wars. India’s</w:t>
      </w:r>
      <w:r>
        <w:rPr>
          <w:rFonts w:ascii="Palatino Linotype" w:hAnsi="Palatino Linotype"/>
          <w:sz w:val="22"/>
          <w:szCs w:val="22"/>
        </w:rPr>
        <w:t xml:space="preserve"> foreign exchange reserves were </w:t>
      </w:r>
      <w:r w:rsidRPr="00816081">
        <w:rPr>
          <w:rFonts w:ascii="Palatino Linotype" w:hAnsi="Palatino Linotype"/>
          <w:sz w:val="22"/>
          <w:szCs w:val="22"/>
        </w:rPr>
        <w:t xml:space="preserve">at US$ 400.5 billion </w:t>
      </w:r>
      <w:r>
        <w:rPr>
          <w:rFonts w:ascii="Palatino Linotype" w:hAnsi="Palatino Linotype"/>
          <w:sz w:val="22"/>
          <w:szCs w:val="22"/>
        </w:rPr>
        <w:t xml:space="preserve">as </w:t>
      </w:r>
      <w:r w:rsidRPr="00816081">
        <w:rPr>
          <w:rFonts w:ascii="Palatino Linotype" w:hAnsi="Palatino Linotype"/>
          <w:sz w:val="22"/>
          <w:szCs w:val="22"/>
        </w:rPr>
        <w:t>on September 28, 2018.</w:t>
      </w:r>
      <w:r w:rsidRPr="00816081">
        <w:rPr>
          <w:rFonts w:ascii="Palatino Linotype" w:hAnsi="Palatino Linotype"/>
          <w:sz w:val="22"/>
          <w:szCs w:val="22"/>
        </w:rPr>
        <w:cr/>
      </w:r>
    </w:p>
    <w:p w14:paraId="625F47AB" w14:textId="77777777" w:rsidR="00885921" w:rsidRDefault="00885921" w:rsidP="00885921">
      <w:pPr>
        <w:jc w:val="both"/>
        <w:rPr>
          <w:rFonts w:ascii="Palatino Linotype" w:hAnsi="Palatino Linotype"/>
          <w:sz w:val="22"/>
          <w:szCs w:val="22"/>
        </w:rPr>
      </w:pPr>
      <w:r w:rsidRPr="00490858">
        <w:rPr>
          <w:rFonts w:ascii="Palatino Linotype" w:hAnsi="Palatino Linotype"/>
          <w:sz w:val="22"/>
          <w:szCs w:val="22"/>
        </w:rPr>
        <w:t xml:space="preserve">India’s overall exports (Merchandise </w:t>
      </w:r>
      <w:r>
        <w:rPr>
          <w:rFonts w:ascii="Palatino Linotype" w:hAnsi="Palatino Linotype"/>
          <w:sz w:val="22"/>
          <w:szCs w:val="22"/>
        </w:rPr>
        <w:t xml:space="preserve">and Services combined) in August 2018 were </w:t>
      </w:r>
      <w:r w:rsidRPr="00490858">
        <w:rPr>
          <w:rFonts w:ascii="Palatino Linotype" w:hAnsi="Palatino Linotype"/>
          <w:sz w:val="22"/>
          <w:szCs w:val="22"/>
        </w:rPr>
        <w:t xml:space="preserve">estimated to be USD </w:t>
      </w:r>
      <w:r>
        <w:rPr>
          <w:rFonts w:ascii="Palatino Linotype" w:hAnsi="Palatino Linotype"/>
          <w:sz w:val="22"/>
          <w:szCs w:val="22"/>
        </w:rPr>
        <w:t>27.8 b</w:t>
      </w:r>
      <w:r w:rsidRPr="00490858">
        <w:rPr>
          <w:rFonts w:ascii="Palatino Linotype" w:hAnsi="Palatino Linotype"/>
          <w:sz w:val="22"/>
          <w:szCs w:val="22"/>
        </w:rPr>
        <w:t xml:space="preserve">illion, exhibiting a positive growth of </w:t>
      </w:r>
      <w:r>
        <w:rPr>
          <w:rFonts w:ascii="Palatino Linotype" w:hAnsi="Palatino Linotype"/>
          <w:sz w:val="22"/>
          <w:szCs w:val="22"/>
        </w:rPr>
        <w:t>8 per cent over July 2018. Overall imports were estimated to be USD 45.2 billion, up by 3 per cent. The Indian Rupee fell to</w:t>
      </w:r>
      <w:r w:rsidRPr="00212565">
        <w:rPr>
          <w:rFonts w:ascii="Palatino Linotype" w:hAnsi="Palatino Linotype"/>
          <w:sz w:val="22"/>
          <w:szCs w:val="22"/>
        </w:rPr>
        <w:t xml:space="preserve"> record</w:t>
      </w:r>
      <w:r>
        <w:rPr>
          <w:rFonts w:ascii="Palatino Linotype" w:hAnsi="Palatino Linotype"/>
          <w:sz w:val="22"/>
          <w:szCs w:val="22"/>
        </w:rPr>
        <w:t xml:space="preserve"> lows against the US D</w:t>
      </w:r>
      <w:r w:rsidRPr="00212565">
        <w:rPr>
          <w:rFonts w:ascii="Palatino Linotype" w:hAnsi="Palatino Linotype"/>
          <w:sz w:val="22"/>
          <w:szCs w:val="22"/>
        </w:rPr>
        <w:t>ollar</w:t>
      </w:r>
      <w:r>
        <w:rPr>
          <w:rFonts w:ascii="Palatino Linotype" w:hAnsi="Palatino Linotype"/>
          <w:sz w:val="22"/>
          <w:szCs w:val="22"/>
        </w:rPr>
        <w:t xml:space="preserve"> in September 2018</w:t>
      </w:r>
      <w:r w:rsidRPr="00212565">
        <w:rPr>
          <w:rFonts w:ascii="Palatino Linotype" w:hAnsi="Palatino Linotype"/>
          <w:sz w:val="22"/>
          <w:szCs w:val="22"/>
        </w:rPr>
        <w:t xml:space="preserve"> amid renewed global trade war worries.</w:t>
      </w:r>
    </w:p>
    <w:p w14:paraId="7C4D4E53" w14:textId="77777777" w:rsidR="00885921" w:rsidRDefault="00885921" w:rsidP="00885921">
      <w:pPr>
        <w:jc w:val="both"/>
        <w:rPr>
          <w:rFonts w:ascii="Palatino Linotype" w:hAnsi="Palatino Linotype"/>
          <w:sz w:val="22"/>
          <w:szCs w:val="22"/>
        </w:rPr>
      </w:pPr>
    </w:p>
    <w:p w14:paraId="3CC2B2E0" w14:textId="77777777" w:rsidR="00885921" w:rsidRDefault="00885921" w:rsidP="00885921">
      <w:pPr>
        <w:jc w:val="both"/>
        <w:rPr>
          <w:rFonts w:ascii="Palatino Linotype" w:hAnsi="Palatino Linotype"/>
          <w:sz w:val="22"/>
          <w:szCs w:val="22"/>
        </w:rPr>
      </w:pPr>
      <w:r>
        <w:rPr>
          <w:rFonts w:ascii="Palatino Linotype" w:hAnsi="Palatino Linotype"/>
          <w:sz w:val="22"/>
          <w:szCs w:val="22"/>
        </w:rPr>
        <w:t xml:space="preserve">Indian stock markets exhibited mixed trend in September 2018. </w:t>
      </w:r>
      <w:r w:rsidRPr="009C4DDA">
        <w:rPr>
          <w:rFonts w:ascii="Palatino Linotype" w:hAnsi="Palatino Linotype"/>
          <w:sz w:val="22"/>
          <w:szCs w:val="22"/>
        </w:rPr>
        <w:t xml:space="preserve">India’s </w:t>
      </w:r>
      <w:r>
        <w:rPr>
          <w:rFonts w:ascii="Palatino Linotype" w:hAnsi="Palatino Linotype"/>
          <w:sz w:val="22"/>
          <w:szCs w:val="22"/>
        </w:rPr>
        <w:t>equity bench</w:t>
      </w:r>
      <w:r w:rsidRPr="009C4DDA">
        <w:rPr>
          <w:rFonts w:ascii="Palatino Linotype" w:hAnsi="Palatino Linotype"/>
          <w:sz w:val="22"/>
          <w:szCs w:val="22"/>
        </w:rPr>
        <w:t>mark</w:t>
      </w:r>
      <w:r>
        <w:rPr>
          <w:rFonts w:ascii="Palatino Linotype" w:hAnsi="Palatino Linotype"/>
          <w:sz w:val="22"/>
          <w:szCs w:val="22"/>
        </w:rPr>
        <w:t>s</w:t>
      </w:r>
      <w:r w:rsidRPr="009C4DDA">
        <w:rPr>
          <w:rFonts w:ascii="Palatino Linotype" w:hAnsi="Palatino Linotype"/>
          <w:sz w:val="22"/>
          <w:szCs w:val="22"/>
        </w:rPr>
        <w:t xml:space="preserve"> </w:t>
      </w:r>
      <w:r>
        <w:rPr>
          <w:rFonts w:ascii="Palatino Linotype" w:hAnsi="Palatino Linotype"/>
          <w:sz w:val="22"/>
          <w:szCs w:val="22"/>
        </w:rPr>
        <w:t>Sensex and Nifty,</w:t>
      </w:r>
      <w:r w:rsidRPr="009C4DDA">
        <w:rPr>
          <w:rFonts w:ascii="Palatino Linotype" w:hAnsi="Palatino Linotype"/>
          <w:sz w:val="22"/>
          <w:szCs w:val="22"/>
        </w:rPr>
        <w:t xml:space="preserve"> </w:t>
      </w:r>
      <w:r>
        <w:rPr>
          <w:rFonts w:ascii="Palatino Linotype" w:hAnsi="Palatino Linotype"/>
          <w:sz w:val="22"/>
          <w:szCs w:val="22"/>
        </w:rPr>
        <w:t>remained positive in the first half of the month, however, ended the month with a decline of around 6 per cent. Notwithstanding the volatility in the secondary securities market, September 2018 proved to be vibrant for the Indian IPO market. SME platform, too, witnessed a rise in activity with 14 issues during the month.</w:t>
      </w:r>
    </w:p>
    <w:p w14:paraId="1455046F" w14:textId="77777777" w:rsidR="00885921" w:rsidRDefault="00885921" w:rsidP="00885921">
      <w:pPr>
        <w:jc w:val="both"/>
        <w:rPr>
          <w:rFonts w:ascii="Palatino Linotype" w:hAnsi="Palatino Linotype"/>
          <w:sz w:val="22"/>
          <w:szCs w:val="22"/>
        </w:rPr>
      </w:pPr>
    </w:p>
    <w:p w14:paraId="1C97CDA0" w14:textId="77777777" w:rsidR="00885921" w:rsidRPr="00534667" w:rsidRDefault="00885921" w:rsidP="00885921">
      <w:pPr>
        <w:jc w:val="both"/>
        <w:rPr>
          <w:rFonts w:ascii="Palatino Linotype" w:hAnsi="Palatino Linotype"/>
          <w:sz w:val="22"/>
          <w:szCs w:val="22"/>
        </w:rPr>
      </w:pPr>
      <w:r>
        <w:rPr>
          <w:rFonts w:ascii="Palatino Linotype" w:hAnsi="Palatino Linotype"/>
          <w:sz w:val="22"/>
          <w:szCs w:val="22"/>
        </w:rPr>
        <w:t xml:space="preserve">Against this backdrop, </w:t>
      </w:r>
      <w:r w:rsidRPr="00534667">
        <w:rPr>
          <w:rFonts w:ascii="Palatino Linotype" w:hAnsi="Palatino Linotype"/>
          <w:sz w:val="22"/>
          <w:szCs w:val="22"/>
        </w:rPr>
        <w:t>SEBI is committed to work towards bringing greater transparency, better risk management for issuers and investors and more efficient capital raising. Going forward, SEBI will continue its on-going process of reforms in the primary market to improve issuer and investor confidence</w:t>
      </w:r>
      <w:r>
        <w:rPr>
          <w:rFonts w:ascii="Palatino Linotype" w:hAnsi="Palatino Linotype"/>
          <w:sz w:val="22"/>
          <w:szCs w:val="22"/>
        </w:rPr>
        <w:t>.</w:t>
      </w:r>
    </w:p>
    <w:p w14:paraId="06B8288D" w14:textId="77777777" w:rsidR="00885921" w:rsidRPr="00D13863" w:rsidRDefault="00885921" w:rsidP="00885921">
      <w:pPr>
        <w:widowControl w:val="0"/>
        <w:ind w:left="360"/>
        <w:contextualSpacing/>
        <w:jc w:val="both"/>
        <w:rPr>
          <w:rFonts w:ascii="Palatino Linotype" w:hAnsi="Palatino Linotype"/>
          <w:b/>
          <w:sz w:val="22"/>
          <w:szCs w:val="22"/>
        </w:rPr>
      </w:pPr>
    </w:p>
    <w:p w14:paraId="61F87041" w14:textId="77777777" w:rsidR="00885921" w:rsidRDefault="00885921" w:rsidP="00885921">
      <w:pPr>
        <w:pStyle w:val="Default"/>
        <w:jc w:val="both"/>
        <w:rPr>
          <w:rFonts w:ascii="Palatino Linotype" w:hAnsi="Palatino Linotype"/>
          <w:sz w:val="22"/>
          <w:szCs w:val="22"/>
        </w:rPr>
      </w:pPr>
      <w:r>
        <w:rPr>
          <w:rFonts w:ascii="Palatino Linotype" w:hAnsi="Palatino Linotype"/>
          <w:sz w:val="22"/>
          <w:szCs w:val="22"/>
        </w:rPr>
        <w:t xml:space="preserve">The following sections of the review highlights the trends observed in the </w:t>
      </w:r>
      <w:r w:rsidRPr="002E3090">
        <w:rPr>
          <w:rFonts w:ascii="Palatino Linotype" w:hAnsi="Palatino Linotype"/>
          <w:sz w:val="22"/>
          <w:szCs w:val="22"/>
        </w:rPr>
        <w:t>Indian securities market</w:t>
      </w:r>
      <w:r>
        <w:rPr>
          <w:rFonts w:ascii="Palatino Linotype" w:hAnsi="Palatino Linotype"/>
          <w:sz w:val="22"/>
          <w:szCs w:val="22"/>
        </w:rPr>
        <w:t xml:space="preserve"> during September 2018. </w:t>
      </w:r>
    </w:p>
    <w:p w14:paraId="12F74EF3" w14:textId="77777777" w:rsidR="00885921" w:rsidRPr="005E0AEF" w:rsidRDefault="00885921" w:rsidP="00885921">
      <w:pPr>
        <w:rPr>
          <w:rFonts w:ascii="Palatino Linotype" w:eastAsia="Calibri" w:hAnsi="Palatino Linotype" w:cs="Arial"/>
          <w:color w:val="000000"/>
          <w:sz w:val="22"/>
          <w:szCs w:val="22"/>
          <w:lang w:val="en-US"/>
        </w:rPr>
      </w:pPr>
      <w:r>
        <w:rPr>
          <w:rFonts w:ascii="Palatino Linotype" w:hAnsi="Palatino Linotype"/>
          <w:sz w:val="22"/>
          <w:szCs w:val="22"/>
        </w:rPr>
        <w:br w:type="page"/>
      </w:r>
    </w:p>
    <w:p w14:paraId="349C71E2" w14:textId="77777777" w:rsidR="00885921" w:rsidRPr="00875D41" w:rsidRDefault="00885921" w:rsidP="00885921">
      <w:pPr>
        <w:pStyle w:val="Default"/>
        <w:jc w:val="both"/>
        <w:rPr>
          <w:rFonts w:ascii="Palatino Linotype" w:hAnsi="Palatino Linotype"/>
          <w:color w:val="auto"/>
          <w:sz w:val="22"/>
          <w:szCs w:val="22"/>
          <w:highlight w:val="lightGray"/>
        </w:rPr>
      </w:pPr>
    </w:p>
    <w:p w14:paraId="70C9A804" w14:textId="77777777" w:rsidR="00885921" w:rsidRDefault="00885921" w:rsidP="00885921">
      <w:pPr>
        <w:widowControl w:val="0"/>
        <w:numPr>
          <w:ilvl w:val="0"/>
          <w:numId w:val="2"/>
        </w:numPr>
        <w:contextualSpacing/>
        <w:jc w:val="both"/>
        <w:rPr>
          <w:rFonts w:ascii="Palatino Linotype" w:hAnsi="Palatino Linotype"/>
          <w:b/>
          <w:sz w:val="22"/>
          <w:szCs w:val="22"/>
        </w:rPr>
      </w:pPr>
      <w:r w:rsidRPr="00D13863">
        <w:rPr>
          <w:rFonts w:ascii="Palatino Linotype" w:hAnsi="Palatino Linotype"/>
          <w:b/>
          <w:sz w:val="22"/>
          <w:szCs w:val="22"/>
        </w:rPr>
        <w:t>Trends in Resource Mobilisation by Corporates</w:t>
      </w:r>
    </w:p>
    <w:p w14:paraId="033F9525" w14:textId="77777777" w:rsidR="00885921" w:rsidRPr="00D13863" w:rsidRDefault="00885921" w:rsidP="00885921">
      <w:pPr>
        <w:widowControl w:val="0"/>
        <w:ind w:left="720"/>
        <w:contextualSpacing/>
        <w:jc w:val="both"/>
        <w:rPr>
          <w:rFonts w:ascii="Palatino Linotype" w:hAnsi="Palatino Linotype"/>
          <w:b/>
          <w:sz w:val="22"/>
          <w:szCs w:val="22"/>
        </w:rPr>
      </w:pPr>
    </w:p>
    <w:p w14:paraId="3949714D" w14:textId="77777777" w:rsidR="00885921" w:rsidRDefault="00885921" w:rsidP="00885921">
      <w:pPr>
        <w:widowControl w:val="0"/>
        <w:contextualSpacing/>
        <w:jc w:val="both"/>
        <w:rPr>
          <w:rFonts w:ascii="Palatino Linotype" w:hAnsi="Palatino Linotype"/>
          <w:b/>
          <w:sz w:val="22"/>
          <w:szCs w:val="22"/>
        </w:rPr>
      </w:pPr>
      <w:r w:rsidRPr="002E3090">
        <w:rPr>
          <w:rFonts w:ascii="Palatino Linotype" w:hAnsi="Palatino Linotype"/>
          <w:b/>
          <w:sz w:val="22"/>
          <w:szCs w:val="22"/>
        </w:rPr>
        <w:t>Exhibit 1: Fund</w:t>
      </w:r>
      <w:r>
        <w:rPr>
          <w:rFonts w:ascii="Palatino Linotype" w:hAnsi="Palatino Linotype"/>
          <w:b/>
          <w:sz w:val="22"/>
          <w:szCs w:val="22"/>
        </w:rPr>
        <w:t>s</w:t>
      </w:r>
      <w:r w:rsidRPr="002E3090">
        <w:rPr>
          <w:rFonts w:ascii="Palatino Linotype" w:hAnsi="Palatino Linotype"/>
          <w:b/>
          <w:sz w:val="22"/>
          <w:szCs w:val="22"/>
        </w:rPr>
        <w:t xml:space="preserve"> </w:t>
      </w:r>
      <w:r>
        <w:rPr>
          <w:rFonts w:ascii="Palatino Linotype" w:hAnsi="Palatino Linotype"/>
          <w:b/>
          <w:sz w:val="22"/>
          <w:szCs w:val="22"/>
        </w:rPr>
        <w:t>M</w:t>
      </w:r>
      <w:r w:rsidRPr="002E3090">
        <w:rPr>
          <w:rFonts w:ascii="Palatino Linotype" w:hAnsi="Palatino Linotype"/>
          <w:b/>
          <w:sz w:val="22"/>
          <w:szCs w:val="22"/>
        </w:rPr>
        <w:t xml:space="preserve">obilisation by Corporates </w:t>
      </w:r>
      <w:r w:rsidRPr="002E3090">
        <w:rPr>
          <w:rFonts w:ascii="Palatino Linotype" w:hAnsi="Palatino Linotype"/>
          <w:b/>
          <w:bCs/>
          <w:sz w:val="22"/>
          <w:szCs w:val="22"/>
        </w:rPr>
        <w:t>(</w:t>
      </w:r>
      <w:r w:rsidRPr="002E3090">
        <w:rPr>
          <w:rFonts w:ascii="Times New Roman" w:hAnsi="Times New Roman"/>
          <w:b/>
          <w:bCs/>
          <w:sz w:val="22"/>
          <w:szCs w:val="22"/>
        </w:rPr>
        <w:t>₹</w:t>
      </w:r>
      <w:r w:rsidRPr="002E3090">
        <w:rPr>
          <w:rFonts w:ascii="Palatino Linotype" w:hAnsi="Palatino Linotype"/>
          <w:b/>
          <w:bCs/>
          <w:sz w:val="22"/>
          <w:szCs w:val="22"/>
        </w:rPr>
        <w:t xml:space="preserve"> crore)</w:t>
      </w:r>
      <w:r w:rsidRPr="002E3090">
        <w:rPr>
          <w:rFonts w:ascii="Palatino Linotype" w:hAnsi="Palatino Linotype"/>
          <w:b/>
          <w:sz w:val="22"/>
          <w:szCs w:val="22"/>
        </w:rPr>
        <w:t xml:space="preserve"> </w:t>
      </w:r>
    </w:p>
    <w:p w14:paraId="518C6E0A" w14:textId="77777777" w:rsidR="00885921" w:rsidRDefault="00885921" w:rsidP="00885921">
      <w:pPr>
        <w:widowControl w:val="0"/>
        <w:contextualSpacing/>
        <w:jc w:val="both"/>
        <w:rPr>
          <w:rFonts w:ascii="Palatino Linotype" w:hAnsi="Palatino Linotype"/>
          <w:b/>
          <w:sz w:val="22"/>
          <w:szCs w:val="22"/>
        </w:rPr>
      </w:pPr>
    </w:p>
    <w:tbl>
      <w:tblPr>
        <w:tblW w:w="7460" w:type="dxa"/>
        <w:tblLook w:val="04A0" w:firstRow="1" w:lastRow="0" w:firstColumn="1" w:lastColumn="0" w:noHBand="0" w:noVBand="1"/>
      </w:tblPr>
      <w:tblGrid>
        <w:gridCol w:w="5140"/>
        <w:gridCol w:w="1220"/>
        <w:gridCol w:w="1100"/>
      </w:tblGrid>
      <w:tr w:rsidR="00885921" w:rsidRPr="001D5BBC" w14:paraId="36A5261C" w14:textId="77777777" w:rsidTr="00560A50">
        <w:trPr>
          <w:trHeight w:val="345"/>
        </w:trPr>
        <w:tc>
          <w:tcPr>
            <w:tcW w:w="514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3666907" w14:textId="77777777" w:rsidR="00885921" w:rsidRPr="001D5BBC" w:rsidRDefault="00885921" w:rsidP="00560A50">
            <w:pPr>
              <w:rPr>
                <w:rFonts w:ascii="Palatino Linotype" w:eastAsia="Times New Roman" w:hAnsi="Palatino Linotype"/>
                <w:b/>
                <w:bCs/>
                <w:color w:val="000000"/>
                <w:sz w:val="22"/>
                <w:szCs w:val="22"/>
                <w:lang w:val="en-US"/>
              </w:rPr>
            </w:pPr>
            <w:r w:rsidRPr="001D5BBC">
              <w:rPr>
                <w:rFonts w:ascii="Palatino Linotype" w:eastAsia="Times New Roman" w:hAnsi="Palatino Linotype"/>
                <w:b/>
                <w:bCs/>
                <w:color w:val="000000"/>
                <w:sz w:val="22"/>
                <w:szCs w:val="22"/>
                <w:lang w:val="en-US"/>
              </w:rPr>
              <w:t>Particulars</w:t>
            </w:r>
          </w:p>
        </w:tc>
        <w:tc>
          <w:tcPr>
            <w:tcW w:w="1220" w:type="dxa"/>
            <w:tcBorders>
              <w:top w:val="single" w:sz="4" w:space="0" w:color="auto"/>
              <w:left w:val="nil"/>
              <w:bottom w:val="single" w:sz="4" w:space="0" w:color="auto"/>
              <w:right w:val="single" w:sz="4" w:space="0" w:color="auto"/>
            </w:tcBorders>
            <w:shd w:val="clear" w:color="000000" w:fill="A9D08E"/>
            <w:noWrap/>
            <w:vAlign w:val="center"/>
            <w:hideMark/>
          </w:tcPr>
          <w:p w14:paraId="5AD7DA87" w14:textId="77777777" w:rsidR="00885921" w:rsidRPr="001D5BBC" w:rsidRDefault="00885921" w:rsidP="00560A50">
            <w:pPr>
              <w:jc w:val="right"/>
              <w:rPr>
                <w:rFonts w:ascii="Palatino Linotype" w:eastAsia="Times New Roman" w:hAnsi="Palatino Linotype"/>
                <w:b/>
                <w:bCs/>
                <w:color w:val="000000"/>
                <w:sz w:val="22"/>
                <w:szCs w:val="22"/>
                <w:lang w:val="en-US"/>
              </w:rPr>
            </w:pPr>
            <w:r w:rsidRPr="001D5BBC">
              <w:rPr>
                <w:rFonts w:ascii="Palatino Linotype" w:eastAsia="Times New Roman" w:hAnsi="Palatino Linotype"/>
                <w:b/>
                <w:bCs/>
                <w:color w:val="000000"/>
                <w:sz w:val="22"/>
                <w:szCs w:val="22"/>
                <w:lang w:val="en-US"/>
              </w:rPr>
              <w:t>Aug-18</w:t>
            </w:r>
          </w:p>
        </w:tc>
        <w:tc>
          <w:tcPr>
            <w:tcW w:w="1100" w:type="dxa"/>
            <w:tcBorders>
              <w:top w:val="single" w:sz="4" w:space="0" w:color="auto"/>
              <w:left w:val="nil"/>
              <w:bottom w:val="single" w:sz="4" w:space="0" w:color="auto"/>
              <w:right w:val="single" w:sz="4" w:space="0" w:color="auto"/>
            </w:tcBorders>
            <w:shd w:val="clear" w:color="000000" w:fill="A9D08E"/>
            <w:noWrap/>
            <w:vAlign w:val="center"/>
            <w:hideMark/>
          </w:tcPr>
          <w:p w14:paraId="25E75499" w14:textId="77777777" w:rsidR="00885921" w:rsidRPr="001D5BBC" w:rsidRDefault="00885921" w:rsidP="00560A50">
            <w:pPr>
              <w:jc w:val="right"/>
              <w:rPr>
                <w:rFonts w:ascii="Palatino Linotype" w:eastAsia="Times New Roman" w:hAnsi="Palatino Linotype"/>
                <w:b/>
                <w:bCs/>
                <w:color w:val="000000"/>
                <w:sz w:val="22"/>
                <w:szCs w:val="22"/>
                <w:lang w:val="en-US"/>
              </w:rPr>
            </w:pPr>
            <w:r w:rsidRPr="001D5BBC">
              <w:rPr>
                <w:rFonts w:ascii="Palatino Linotype" w:eastAsia="Times New Roman" w:hAnsi="Palatino Linotype"/>
                <w:b/>
                <w:bCs/>
                <w:color w:val="000000"/>
                <w:sz w:val="22"/>
                <w:szCs w:val="22"/>
                <w:lang w:val="en-US"/>
              </w:rPr>
              <w:t>Sep-18</w:t>
            </w:r>
          </w:p>
        </w:tc>
      </w:tr>
      <w:tr w:rsidR="00885921" w:rsidRPr="001D5BBC" w14:paraId="1D3F3FFC" w14:textId="77777777" w:rsidTr="00560A50">
        <w:trPr>
          <w:trHeight w:val="330"/>
        </w:trPr>
        <w:tc>
          <w:tcPr>
            <w:tcW w:w="5140" w:type="dxa"/>
            <w:tcBorders>
              <w:top w:val="nil"/>
              <w:left w:val="single" w:sz="4" w:space="0" w:color="auto"/>
              <w:bottom w:val="single" w:sz="4" w:space="0" w:color="auto"/>
              <w:right w:val="single" w:sz="4" w:space="0" w:color="auto"/>
            </w:tcBorders>
            <w:shd w:val="clear" w:color="000000" w:fill="8EA9DB"/>
            <w:noWrap/>
            <w:vAlign w:val="bottom"/>
            <w:hideMark/>
          </w:tcPr>
          <w:p w14:paraId="78B3C04F" w14:textId="77777777" w:rsidR="00885921" w:rsidRPr="001D5BBC" w:rsidRDefault="00885921" w:rsidP="00560A50">
            <w:pPr>
              <w:rPr>
                <w:rFonts w:ascii="Palatino Linotype" w:eastAsia="Times New Roman" w:hAnsi="Palatino Linotype"/>
                <w:b/>
                <w:bCs/>
                <w:i/>
                <w:iCs/>
                <w:color w:val="000000"/>
                <w:sz w:val="22"/>
                <w:szCs w:val="22"/>
                <w:lang w:val="en-US"/>
              </w:rPr>
            </w:pPr>
            <w:r w:rsidRPr="001D5BBC">
              <w:rPr>
                <w:rFonts w:ascii="Palatino Linotype" w:eastAsia="Times New Roman" w:hAnsi="Palatino Linotype"/>
                <w:b/>
                <w:bCs/>
                <w:i/>
                <w:iCs/>
                <w:color w:val="000000"/>
                <w:sz w:val="22"/>
                <w:szCs w:val="22"/>
                <w:lang w:val="en-US"/>
              </w:rPr>
              <w:t>A. Fund</w:t>
            </w:r>
            <w:r>
              <w:rPr>
                <w:rFonts w:ascii="Palatino Linotype" w:eastAsia="Times New Roman" w:hAnsi="Palatino Linotype"/>
                <w:b/>
                <w:bCs/>
                <w:i/>
                <w:iCs/>
                <w:color w:val="000000"/>
                <w:sz w:val="22"/>
                <w:szCs w:val="22"/>
                <w:lang w:val="en-US"/>
              </w:rPr>
              <w:t>s</w:t>
            </w:r>
            <w:r w:rsidRPr="001D5BBC">
              <w:rPr>
                <w:rFonts w:ascii="Palatino Linotype" w:eastAsia="Times New Roman" w:hAnsi="Palatino Linotype"/>
                <w:b/>
                <w:bCs/>
                <w:i/>
                <w:iCs/>
                <w:color w:val="000000"/>
                <w:sz w:val="22"/>
                <w:szCs w:val="22"/>
                <w:lang w:val="en-US"/>
              </w:rPr>
              <w:t xml:space="preserve"> Mobilisation through Public  Issue</w:t>
            </w:r>
          </w:p>
        </w:tc>
        <w:tc>
          <w:tcPr>
            <w:tcW w:w="1220" w:type="dxa"/>
            <w:tcBorders>
              <w:top w:val="nil"/>
              <w:left w:val="nil"/>
              <w:bottom w:val="single" w:sz="4" w:space="0" w:color="auto"/>
              <w:right w:val="single" w:sz="4" w:space="0" w:color="auto"/>
            </w:tcBorders>
            <w:shd w:val="clear" w:color="000000" w:fill="8EA9DB"/>
            <w:noWrap/>
            <w:vAlign w:val="bottom"/>
            <w:hideMark/>
          </w:tcPr>
          <w:p w14:paraId="22E5831F" w14:textId="77777777" w:rsidR="00885921" w:rsidRPr="001D5BBC" w:rsidRDefault="00885921" w:rsidP="00560A50">
            <w:pPr>
              <w:rPr>
                <w:rFonts w:ascii="Palatino Linotype" w:eastAsia="Times New Roman" w:hAnsi="Palatino Linotype"/>
                <w:b/>
                <w:bCs/>
                <w:i/>
                <w:iCs/>
                <w:color w:val="000000"/>
                <w:sz w:val="22"/>
                <w:szCs w:val="22"/>
                <w:lang w:val="en-US"/>
              </w:rPr>
            </w:pPr>
            <w:r w:rsidRPr="001D5BBC">
              <w:rPr>
                <w:rFonts w:ascii="Palatino Linotype" w:eastAsia="Times New Roman" w:hAnsi="Palatino Linotype"/>
                <w:b/>
                <w:bCs/>
                <w:i/>
                <w:iCs/>
                <w:color w:val="000000"/>
                <w:sz w:val="22"/>
                <w:szCs w:val="22"/>
                <w:lang w:val="en-US"/>
              </w:rPr>
              <w:t xml:space="preserve">        1,254 </w:t>
            </w:r>
          </w:p>
        </w:tc>
        <w:tc>
          <w:tcPr>
            <w:tcW w:w="1100" w:type="dxa"/>
            <w:tcBorders>
              <w:top w:val="nil"/>
              <w:left w:val="nil"/>
              <w:bottom w:val="single" w:sz="4" w:space="0" w:color="auto"/>
              <w:right w:val="single" w:sz="4" w:space="0" w:color="auto"/>
            </w:tcBorders>
            <w:shd w:val="clear" w:color="000000" w:fill="8EA9DB"/>
            <w:noWrap/>
            <w:vAlign w:val="bottom"/>
            <w:hideMark/>
          </w:tcPr>
          <w:p w14:paraId="59E40FCE" w14:textId="77777777" w:rsidR="00885921" w:rsidRPr="001D5BBC" w:rsidRDefault="00885921" w:rsidP="00560A50">
            <w:pPr>
              <w:rPr>
                <w:rFonts w:ascii="Palatino Linotype" w:eastAsia="Times New Roman" w:hAnsi="Palatino Linotype"/>
                <w:b/>
                <w:bCs/>
                <w:i/>
                <w:iCs/>
                <w:color w:val="000000"/>
                <w:sz w:val="22"/>
                <w:szCs w:val="22"/>
                <w:lang w:val="en-US"/>
              </w:rPr>
            </w:pPr>
            <w:r w:rsidRPr="001D5BBC">
              <w:rPr>
                <w:rFonts w:ascii="Palatino Linotype" w:eastAsia="Times New Roman" w:hAnsi="Palatino Linotype"/>
                <w:b/>
                <w:bCs/>
                <w:i/>
                <w:iCs/>
                <w:color w:val="000000"/>
                <w:sz w:val="22"/>
                <w:szCs w:val="22"/>
                <w:lang w:val="en-US"/>
              </w:rPr>
              <w:t xml:space="preserve">      9,273 </w:t>
            </w:r>
          </w:p>
        </w:tc>
      </w:tr>
      <w:tr w:rsidR="00885921" w:rsidRPr="001D5BBC" w14:paraId="73DD8EEE"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14:paraId="1E865A79"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I. Equity Public Issue</w:t>
            </w:r>
          </w:p>
        </w:tc>
        <w:tc>
          <w:tcPr>
            <w:tcW w:w="1220" w:type="dxa"/>
            <w:tcBorders>
              <w:top w:val="nil"/>
              <w:left w:val="nil"/>
              <w:bottom w:val="single" w:sz="4" w:space="0" w:color="auto"/>
              <w:right w:val="single" w:sz="4" w:space="0" w:color="auto"/>
            </w:tcBorders>
            <w:shd w:val="clear" w:color="auto" w:fill="auto"/>
            <w:noWrap/>
            <w:vAlign w:val="center"/>
            <w:hideMark/>
          </w:tcPr>
          <w:p w14:paraId="2349A914"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w:t>
            </w:r>
          </w:p>
        </w:tc>
        <w:tc>
          <w:tcPr>
            <w:tcW w:w="1100" w:type="dxa"/>
            <w:tcBorders>
              <w:top w:val="nil"/>
              <w:left w:val="nil"/>
              <w:bottom w:val="single" w:sz="4" w:space="0" w:color="auto"/>
              <w:right w:val="single" w:sz="4" w:space="0" w:color="auto"/>
            </w:tcBorders>
            <w:shd w:val="clear" w:color="auto" w:fill="auto"/>
            <w:noWrap/>
            <w:vAlign w:val="center"/>
            <w:hideMark/>
          </w:tcPr>
          <w:p w14:paraId="5BE824ED"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w:t>
            </w:r>
          </w:p>
        </w:tc>
      </w:tr>
      <w:tr w:rsidR="00885921" w:rsidRPr="001D5BBC" w14:paraId="7A61E153"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center"/>
            <w:hideMark/>
          </w:tcPr>
          <w:p w14:paraId="15C143D0"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a. IPOs (i+ii)</w:t>
            </w:r>
          </w:p>
        </w:tc>
        <w:tc>
          <w:tcPr>
            <w:tcW w:w="1220" w:type="dxa"/>
            <w:tcBorders>
              <w:top w:val="nil"/>
              <w:left w:val="nil"/>
              <w:bottom w:val="single" w:sz="4" w:space="0" w:color="auto"/>
              <w:right w:val="single" w:sz="4" w:space="0" w:color="auto"/>
            </w:tcBorders>
            <w:shd w:val="clear" w:color="auto" w:fill="auto"/>
            <w:noWrap/>
            <w:vAlign w:val="bottom"/>
            <w:hideMark/>
          </w:tcPr>
          <w:p w14:paraId="32534613"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1,254 </w:t>
            </w:r>
          </w:p>
        </w:tc>
        <w:tc>
          <w:tcPr>
            <w:tcW w:w="1100" w:type="dxa"/>
            <w:tcBorders>
              <w:top w:val="nil"/>
              <w:left w:val="nil"/>
              <w:bottom w:val="single" w:sz="4" w:space="0" w:color="auto"/>
              <w:right w:val="single" w:sz="4" w:space="0" w:color="auto"/>
            </w:tcBorders>
            <w:shd w:val="clear" w:color="auto" w:fill="auto"/>
            <w:noWrap/>
            <w:vAlign w:val="bottom"/>
            <w:hideMark/>
          </w:tcPr>
          <w:p w14:paraId="3FB413A1"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2,478 </w:t>
            </w:r>
          </w:p>
        </w:tc>
      </w:tr>
      <w:tr w:rsidR="00885921" w:rsidRPr="001D5BBC" w14:paraId="7CF2E434"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180E2531"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i. Main Board</w:t>
            </w:r>
          </w:p>
        </w:tc>
        <w:tc>
          <w:tcPr>
            <w:tcW w:w="1220" w:type="dxa"/>
            <w:tcBorders>
              <w:top w:val="nil"/>
              <w:left w:val="nil"/>
              <w:bottom w:val="single" w:sz="4" w:space="0" w:color="auto"/>
              <w:right w:val="single" w:sz="4" w:space="0" w:color="auto"/>
            </w:tcBorders>
            <w:shd w:val="clear" w:color="auto" w:fill="auto"/>
            <w:noWrap/>
            <w:vAlign w:val="bottom"/>
            <w:hideMark/>
          </w:tcPr>
          <w:p w14:paraId="71B57BF9"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1,131 </w:t>
            </w:r>
          </w:p>
        </w:tc>
        <w:tc>
          <w:tcPr>
            <w:tcW w:w="1100" w:type="dxa"/>
            <w:tcBorders>
              <w:top w:val="nil"/>
              <w:left w:val="nil"/>
              <w:bottom w:val="single" w:sz="4" w:space="0" w:color="auto"/>
              <w:right w:val="single" w:sz="4" w:space="0" w:color="auto"/>
            </w:tcBorders>
            <w:shd w:val="clear" w:color="auto" w:fill="auto"/>
            <w:noWrap/>
            <w:vAlign w:val="bottom"/>
            <w:hideMark/>
          </w:tcPr>
          <w:p w14:paraId="5A6201FB"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2,168 </w:t>
            </w:r>
          </w:p>
        </w:tc>
      </w:tr>
      <w:tr w:rsidR="00885921" w:rsidRPr="001D5BBC" w14:paraId="5DE45D14"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0D299FEC"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ii. SME Platform</w:t>
            </w:r>
          </w:p>
        </w:tc>
        <w:tc>
          <w:tcPr>
            <w:tcW w:w="1220" w:type="dxa"/>
            <w:tcBorders>
              <w:top w:val="nil"/>
              <w:left w:val="nil"/>
              <w:bottom w:val="single" w:sz="4" w:space="0" w:color="auto"/>
              <w:right w:val="single" w:sz="4" w:space="0" w:color="auto"/>
            </w:tcBorders>
            <w:shd w:val="clear" w:color="auto" w:fill="auto"/>
            <w:noWrap/>
            <w:vAlign w:val="bottom"/>
            <w:hideMark/>
          </w:tcPr>
          <w:p w14:paraId="10E8CC1F"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123 </w:t>
            </w:r>
          </w:p>
        </w:tc>
        <w:tc>
          <w:tcPr>
            <w:tcW w:w="1100" w:type="dxa"/>
            <w:tcBorders>
              <w:top w:val="nil"/>
              <w:left w:val="nil"/>
              <w:bottom w:val="single" w:sz="4" w:space="0" w:color="auto"/>
              <w:right w:val="single" w:sz="4" w:space="0" w:color="auto"/>
            </w:tcBorders>
            <w:shd w:val="clear" w:color="auto" w:fill="auto"/>
            <w:noWrap/>
            <w:vAlign w:val="bottom"/>
            <w:hideMark/>
          </w:tcPr>
          <w:p w14:paraId="4DEB7B41"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309 </w:t>
            </w:r>
          </w:p>
        </w:tc>
      </w:tr>
      <w:tr w:rsidR="00885921" w:rsidRPr="001D5BBC" w14:paraId="5A4890D7"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1CD3BAC2"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b. FPOs</w:t>
            </w:r>
          </w:p>
        </w:tc>
        <w:tc>
          <w:tcPr>
            <w:tcW w:w="1220" w:type="dxa"/>
            <w:tcBorders>
              <w:top w:val="nil"/>
              <w:left w:val="nil"/>
              <w:bottom w:val="single" w:sz="4" w:space="0" w:color="auto"/>
              <w:right w:val="single" w:sz="4" w:space="0" w:color="auto"/>
            </w:tcBorders>
            <w:shd w:val="clear" w:color="auto" w:fill="auto"/>
            <w:noWrap/>
            <w:vAlign w:val="bottom"/>
            <w:hideMark/>
          </w:tcPr>
          <w:p w14:paraId="01B06CF0" w14:textId="77777777" w:rsidR="00885921" w:rsidRPr="001D5BBC" w:rsidRDefault="00885921" w:rsidP="00560A50">
            <w:pPr>
              <w:jc w:val="right"/>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0 </w:t>
            </w:r>
          </w:p>
        </w:tc>
        <w:tc>
          <w:tcPr>
            <w:tcW w:w="1100" w:type="dxa"/>
            <w:tcBorders>
              <w:top w:val="nil"/>
              <w:left w:val="nil"/>
              <w:bottom w:val="single" w:sz="4" w:space="0" w:color="auto"/>
              <w:right w:val="single" w:sz="4" w:space="0" w:color="auto"/>
            </w:tcBorders>
            <w:shd w:val="clear" w:color="auto" w:fill="auto"/>
            <w:noWrap/>
            <w:vAlign w:val="bottom"/>
            <w:hideMark/>
          </w:tcPr>
          <w:p w14:paraId="684FD919" w14:textId="77777777" w:rsidR="00885921" w:rsidRPr="001D5BBC" w:rsidRDefault="00885921" w:rsidP="00560A50">
            <w:pPr>
              <w:jc w:val="right"/>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0 </w:t>
            </w:r>
          </w:p>
        </w:tc>
      </w:tr>
      <w:tr w:rsidR="00885921" w:rsidRPr="001D5BBC" w14:paraId="527C3892"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2CE96325"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c. Equity Right Issue</w:t>
            </w:r>
          </w:p>
        </w:tc>
        <w:tc>
          <w:tcPr>
            <w:tcW w:w="1220" w:type="dxa"/>
            <w:tcBorders>
              <w:top w:val="nil"/>
              <w:left w:val="nil"/>
              <w:bottom w:val="single" w:sz="4" w:space="0" w:color="auto"/>
              <w:right w:val="single" w:sz="4" w:space="0" w:color="auto"/>
            </w:tcBorders>
            <w:shd w:val="clear" w:color="auto" w:fill="auto"/>
            <w:noWrap/>
            <w:vAlign w:val="bottom"/>
            <w:hideMark/>
          </w:tcPr>
          <w:p w14:paraId="108D5085" w14:textId="77777777" w:rsidR="00885921" w:rsidRPr="001D5BBC" w:rsidRDefault="00885921" w:rsidP="00560A50">
            <w:pPr>
              <w:jc w:val="right"/>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0 </w:t>
            </w:r>
          </w:p>
        </w:tc>
        <w:tc>
          <w:tcPr>
            <w:tcW w:w="1100" w:type="dxa"/>
            <w:tcBorders>
              <w:top w:val="nil"/>
              <w:left w:val="nil"/>
              <w:bottom w:val="single" w:sz="4" w:space="0" w:color="auto"/>
              <w:right w:val="single" w:sz="4" w:space="0" w:color="auto"/>
            </w:tcBorders>
            <w:shd w:val="clear" w:color="auto" w:fill="auto"/>
            <w:noWrap/>
            <w:vAlign w:val="bottom"/>
            <w:hideMark/>
          </w:tcPr>
          <w:p w14:paraId="1856BC23" w14:textId="77777777" w:rsidR="00885921" w:rsidRPr="001D5BBC" w:rsidRDefault="00885921" w:rsidP="00560A50">
            <w:pPr>
              <w:jc w:val="right"/>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0 </w:t>
            </w:r>
          </w:p>
        </w:tc>
      </w:tr>
      <w:tr w:rsidR="00885921" w:rsidRPr="001D5BBC" w14:paraId="7A49CA07"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0293192D" w14:textId="77777777" w:rsidR="00885921" w:rsidRPr="001D5BBC" w:rsidRDefault="00885921" w:rsidP="00560A50">
            <w:pPr>
              <w:ind w:firstLineChars="100" w:firstLine="22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w:t>
            </w:r>
            <w:r>
              <w:rPr>
                <w:rFonts w:ascii="Palatino Linotype" w:eastAsia="Times New Roman" w:hAnsi="Palatino Linotype"/>
                <w:color w:val="000000"/>
                <w:sz w:val="22"/>
                <w:szCs w:val="22"/>
                <w:lang w:val="en-US"/>
              </w:rPr>
              <w:t xml:space="preserve">  </w:t>
            </w:r>
            <w:r w:rsidRPr="001D5BBC">
              <w:rPr>
                <w:rFonts w:ascii="Palatino Linotype" w:eastAsia="Times New Roman" w:hAnsi="Palatino Linotype"/>
                <w:color w:val="000000"/>
                <w:sz w:val="22"/>
                <w:szCs w:val="22"/>
                <w:lang w:val="en-US"/>
              </w:rPr>
              <w:t>d. Public Issue of Debt</w:t>
            </w:r>
          </w:p>
        </w:tc>
        <w:tc>
          <w:tcPr>
            <w:tcW w:w="1220" w:type="dxa"/>
            <w:tcBorders>
              <w:top w:val="nil"/>
              <w:left w:val="nil"/>
              <w:bottom w:val="single" w:sz="4" w:space="0" w:color="auto"/>
              <w:right w:val="single" w:sz="4" w:space="0" w:color="auto"/>
            </w:tcBorders>
            <w:shd w:val="clear" w:color="auto" w:fill="auto"/>
            <w:noWrap/>
            <w:vAlign w:val="bottom"/>
            <w:hideMark/>
          </w:tcPr>
          <w:p w14:paraId="6039888C" w14:textId="77777777" w:rsidR="00885921" w:rsidRPr="001D5BBC" w:rsidRDefault="00885921" w:rsidP="00560A50">
            <w:pPr>
              <w:jc w:val="right"/>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0 </w:t>
            </w:r>
          </w:p>
        </w:tc>
        <w:tc>
          <w:tcPr>
            <w:tcW w:w="1100" w:type="dxa"/>
            <w:tcBorders>
              <w:top w:val="nil"/>
              <w:left w:val="nil"/>
              <w:bottom w:val="single" w:sz="4" w:space="0" w:color="auto"/>
              <w:right w:val="single" w:sz="4" w:space="0" w:color="auto"/>
            </w:tcBorders>
            <w:shd w:val="clear" w:color="auto" w:fill="auto"/>
            <w:noWrap/>
            <w:vAlign w:val="bottom"/>
            <w:hideMark/>
          </w:tcPr>
          <w:p w14:paraId="1A383B5B" w14:textId="77777777" w:rsidR="00885921" w:rsidRPr="001D5BBC" w:rsidRDefault="00885921" w:rsidP="00560A50">
            <w:pPr>
              <w:jc w:val="right"/>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6,795 </w:t>
            </w:r>
          </w:p>
        </w:tc>
      </w:tr>
      <w:tr w:rsidR="00885921" w:rsidRPr="001D5BBC" w14:paraId="5CEAE056" w14:textId="77777777" w:rsidTr="00560A50">
        <w:trPr>
          <w:trHeight w:val="330"/>
        </w:trPr>
        <w:tc>
          <w:tcPr>
            <w:tcW w:w="5140" w:type="dxa"/>
            <w:tcBorders>
              <w:top w:val="nil"/>
              <w:left w:val="single" w:sz="4" w:space="0" w:color="auto"/>
              <w:bottom w:val="single" w:sz="4" w:space="0" w:color="auto"/>
              <w:right w:val="single" w:sz="4" w:space="0" w:color="auto"/>
            </w:tcBorders>
            <w:shd w:val="clear" w:color="000000" w:fill="8EA9DB"/>
            <w:noWrap/>
            <w:vAlign w:val="bottom"/>
            <w:hideMark/>
          </w:tcPr>
          <w:p w14:paraId="7BD862AE" w14:textId="77777777" w:rsidR="00885921" w:rsidRPr="001D5BBC" w:rsidRDefault="00885921" w:rsidP="00560A50">
            <w:pPr>
              <w:rPr>
                <w:rFonts w:ascii="Palatino Linotype" w:eastAsia="Times New Roman" w:hAnsi="Palatino Linotype"/>
                <w:b/>
                <w:bCs/>
                <w:i/>
                <w:iCs/>
                <w:color w:val="000000"/>
                <w:sz w:val="22"/>
                <w:szCs w:val="22"/>
                <w:lang w:val="en-US"/>
              </w:rPr>
            </w:pPr>
            <w:r w:rsidRPr="001D5BBC">
              <w:rPr>
                <w:rFonts w:ascii="Palatino Linotype" w:eastAsia="Times New Roman" w:hAnsi="Palatino Linotype"/>
                <w:b/>
                <w:bCs/>
                <w:i/>
                <w:iCs/>
                <w:color w:val="000000"/>
                <w:sz w:val="22"/>
                <w:szCs w:val="22"/>
                <w:lang w:val="en-US"/>
              </w:rPr>
              <w:t>B. Fund</w:t>
            </w:r>
            <w:r>
              <w:rPr>
                <w:rFonts w:ascii="Palatino Linotype" w:eastAsia="Times New Roman" w:hAnsi="Palatino Linotype"/>
                <w:b/>
                <w:bCs/>
                <w:i/>
                <w:iCs/>
                <w:color w:val="000000"/>
                <w:sz w:val="22"/>
                <w:szCs w:val="22"/>
                <w:lang w:val="en-US"/>
              </w:rPr>
              <w:t>s</w:t>
            </w:r>
            <w:r w:rsidRPr="001D5BBC">
              <w:rPr>
                <w:rFonts w:ascii="Palatino Linotype" w:eastAsia="Times New Roman" w:hAnsi="Palatino Linotype"/>
                <w:b/>
                <w:bCs/>
                <w:i/>
                <w:iCs/>
                <w:color w:val="000000"/>
                <w:sz w:val="22"/>
                <w:szCs w:val="22"/>
                <w:lang w:val="en-US"/>
              </w:rPr>
              <w:t xml:space="preserve"> Mobilisation through Private Placement</w:t>
            </w:r>
          </w:p>
        </w:tc>
        <w:tc>
          <w:tcPr>
            <w:tcW w:w="1220" w:type="dxa"/>
            <w:tcBorders>
              <w:top w:val="nil"/>
              <w:left w:val="nil"/>
              <w:bottom w:val="single" w:sz="4" w:space="0" w:color="auto"/>
              <w:right w:val="single" w:sz="4" w:space="0" w:color="auto"/>
            </w:tcBorders>
            <w:shd w:val="clear" w:color="000000" w:fill="8EA9DB"/>
            <w:noWrap/>
            <w:vAlign w:val="bottom"/>
            <w:hideMark/>
          </w:tcPr>
          <w:p w14:paraId="374E9C08" w14:textId="77777777" w:rsidR="00885921" w:rsidRPr="001D5BBC" w:rsidRDefault="00885921" w:rsidP="00560A50">
            <w:pPr>
              <w:rPr>
                <w:rFonts w:ascii="Palatino Linotype" w:eastAsia="Times New Roman" w:hAnsi="Palatino Linotype"/>
                <w:b/>
                <w:bCs/>
                <w:i/>
                <w:iCs/>
                <w:color w:val="000000"/>
                <w:sz w:val="22"/>
                <w:szCs w:val="22"/>
                <w:lang w:val="en-US"/>
              </w:rPr>
            </w:pPr>
            <w:r w:rsidRPr="001D5BBC">
              <w:rPr>
                <w:rFonts w:ascii="Palatino Linotype" w:eastAsia="Times New Roman" w:hAnsi="Palatino Linotype"/>
                <w:b/>
                <w:bCs/>
                <w:i/>
                <w:iCs/>
                <w:color w:val="000000"/>
                <w:sz w:val="22"/>
                <w:szCs w:val="22"/>
                <w:lang w:val="en-US"/>
              </w:rPr>
              <w:t xml:space="preserve">      44,043 </w:t>
            </w:r>
          </w:p>
        </w:tc>
        <w:tc>
          <w:tcPr>
            <w:tcW w:w="1100" w:type="dxa"/>
            <w:tcBorders>
              <w:top w:val="nil"/>
              <w:left w:val="nil"/>
              <w:bottom w:val="single" w:sz="4" w:space="0" w:color="auto"/>
              <w:right w:val="single" w:sz="4" w:space="0" w:color="auto"/>
            </w:tcBorders>
            <w:shd w:val="clear" w:color="000000" w:fill="8EA9DB"/>
            <w:noWrap/>
            <w:vAlign w:val="bottom"/>
            <w:hideMark/>
          </w:tcPr>
          <w:p w14:paraId="5DC4AB42" w14:textId="77777777" w:rsidR="00885921" w:rsidRPr="001D5BBC" w:rsidRDefault="00885921" w:rsidP="00560A50">
            <w:pPr>
              <w:rPr>
                <w:rFonts w:ascii="Palatino Linotype" w:eastAsia="Times New Roman" w:hAnsi="Palatino Linotype"/>
                <w:b/>
                <w:bCs/>
                <w:i/>
                <w:iCs/>
                <w:color w:val="000000"/>
                <w:sz w:val="22"/>
                <w:szCs w:val="22"/>
                <w:lang w:val="en-US"/>
              </w:rPr>
            </w:pPr>
            <w:r w:rsidRPr="001D5BBC">
              <w:rPr>
                <w:rFonts w:ascii="Palatino Linotype" w:eastAsia="Times New Roman" w:hAnsi="Palatino Linotype"/>
                <w:b/>
                <w:bCs/>
                <w:i/>
                <w:iCs/>
                <w:color w:val="000000"/>
                <w:sz w:val="22"/>
                <w:szCs w:val="22"/>
                <w:lang w:val="en-US"/>
              </w:rPr>
              <w:t xml:space="preserve">    35,214 </w:t>
            </w:r>
          </w:p>
        </w:tc>
      </w:tr>
      <w:tr w:rsidR="00885921" w:rsidRPr="001D5BBC" w14:paraId="4D1236AB"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39AD2985"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1. QIP/IPP</w:t>
            </w:r>
          </w:p>
        </w:tc>
        <w:tc>
          <w:tcPr>
            <w:tcW w:w="1220" w:type="dxa"/>
            <w:tcBorders>
              <w:top w:val="nil"/>
              <w:left w:val="nil"/>
              <w:bottom w:val="single" w:sz="4" w:space="0" w:color="auto"/>
              <w:right w:val="single" w:sz="4" w:space="0" w:color="auto"/>
            </w:tcBorders>
            <w:shd w:val="clear" w:color="auto" w:fill="auto"/>
            <w:noWrap/>
            <w:vAlign w:val="bottom"/>
            <w:hideMark/>
          </w:tcPr>
          <w:p w14:paraId="431EAAD5" w14:textId="77777777" w:rsidR="00885921" w:rsidRPr="001D5BBC" w:rsidRDefault="00885921" w:rsidP="00560A50">
            <w:pPr>
              <w:jc w:val="right"/>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2,888 </w:t>
            </w:r>
          </w:p>
        </w:tc>
        <w:tc>
          <w:tcPr>
            <w:tcW w:w="1100" w:type="dxa"/>
            <w:tcBorders>
              <w:top w:val="nil"/>
              <w:left w:val="nil"/>
              <w:bottom w:val="single" w:sz="4" w:space="0" w:color="auto"/>
              <w:right w:val="single" w:sz="4" w:space="0" w:color="auto"/>
            </w:tcBorders>
            <w:shd w:val="clear" w:color="auto" w:fill="auto"/>
            <w:noWrap/>
            <w:vAlign w:val="bottom"/>
            <w:hideMark/>
          </w:tcPr>
          <w:p w14:paraId="0A8C8D37" w14:textId="77777777" w:rsidR="00885921" w:rsidRPr="001D5BBC" w:rsidRDefault="00885921" w:rsidP="00560A50">
            <w:pPr>
              <w:jc w:val="right"/>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0 </w:t>
            </w:r>
          </w:p>
        </w:tc>
      </w:tr>
      <w:tr w:rsidR="00885921" w:rsidRPr="001D5BBC" w14:paraId="14C72C71"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4EC82718" w14:textId="77777777" w:rsidR="00885921" w:rsidRPr="001D5BBC" w:rsidRDefault="00885921" w:rsidP="00560A50">
            <w:pPr>
              <w:ind w:firstLineChars="200" w:firstLine="44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2. Preferential Allotment</w:t>
            </w:r>
          </w:p>
        </w:tc>
        <w:tc>
          <w:tcPr>
            <w:tcW w:w="1220" w:type="dxa"/>
            <w:tcBorders>
              <w:top w:val="nil"/>
              <w:left w:val="nil"/>
              <w:bottom w:val="single" w:sz="4" w:space="0" w:color="auto"/>
              <w:right w:val="single" w:sz="4" w:space="0" w:color="auto"/>
            </w:tcBorders>
            <w:shd w:val="clear" w:color="auto" w:fill="auto"/>
            <w:noWrap/>
            <w:vAlign w:val="bottom"/>
            <w:hideMark/>
          </w:tcPr>
          <w:p w14:paraId="6F90AFEA"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4,239 </w:t>
            </w:r>
          </w:p>
        </w:tc>
        <w:tc>
          <w:tcPr>
            <w:tcW w:w="1100" w:type="dxa"/>
            <w:tcBorders>
              <w:top w:val="nil"/>
              <w:left w:val="nil"/>
              <w:bottom w:val="single" w:sz="4" w:space="0" w:color="auto"/>
              <w:right w:val="single" w:sz="4" w:space="0" w:color="auto"/>
            </w:tcBorders>
            <w:shd w:val="clear" w:color="auto" w:fill="auto"/>
            <w:noWrap/>
            <w:vAlign w:val="bottom"/>
            <w:hideMark/>
          </w:tcPr>
          <w:p w14:paraId="1CB988F0"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3,412 </w:t>
            </w:r>
          </w:p>
        </w:tc>
      </w:tr>
      <w:tr w:rsidR="00885921" w:rsidRPr="001D5BBC" w14:paraId="31BE586C" w14:textId="77777777" w:rsidTr="00560A50">
        <w:trPr>
          <w:trHeight w:val="330"/>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14:paraId="3800A8F1" w14:textId="77777777" w:rsidR="00885921" w:rsidRPr="001D5BBC" w:rsidRDefault="00885921" w:rsidP="00560A50">
            <w:pPr>
              <w:ind w:firstLineChars="100" w:firstLine="220"/>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w:t>
            </w:r>
            <w:r>
              <w:rPr>
                <w:rFonts w:ascii="Palatino Linotype" w:eastAsia="Times New Roman" w:hAnsi="Palatino Linotype"/>
                <w:color w:val="000000"/>
                <w:sz w:val="22"/>
                <w:szCs w:val="22"/>
                <w:lang w:val="en-US"/>
              </w:rPr>
              <w:t xml:space="preserve">  </w:t>
            </w:r>
            <w:r w:rsidRPr="001D5BBC">
              <w:rPr>
                <w:rFonts w:ascii="Palatino Linotype" w:eastAsia="Times New Roman" w:hAnsi="Palatino Linotype"/>
                <w:color w:val="000000"/>
                <w:sz w:val="22"/>
                <w:szCs w:val="22"/>
                <w:lang w:val="en-US"/>
              </w:rPr>
              <w:t xml:space="preserve"> 3. Private Placement of Debt</w:t>
            </w:r>
          </w:p>
        </w:tc>
        <w:tc>
          <w:tcPr>
            <w:tcW w:w="1220" w:type="dxa"/>
            <w:tcBorders>
              <w:top w:val="nil"/>
              <w:left w:val="nil"/>
              <w:bottom w:val="single" w:sz="4" w:space="0" w:color="auto"/>
              <w:right w:val="single" w:sz="4" w:space="0" w:color="auto"/>
            </w:tcBorders>
            <w:shd w:val="clear" w:color="auto" w:fill="auto"/>
            <w:noWrap/>
            <w:vAlign w:val="bottom"/>
            <w:hideMark/>
          </w:tcPr>
          <w:p w14:paraId="0C5E00BE"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36,916 </w:t>
            </w:r>
          </w:p>
        </w:tc>
        <w:tc>
          <w:tcPr>
            <w:tcW w:w="1100" w:type="dxa"/>
            <w:tcBorders>
              <w:top w:val="nil"/>
              <w:left w:val="nil"/>
              <w:bottom w:val="single" w:sz="4" w:space="0" w:color="auto"/>
              <w:right w:val="single" w:sz="4" w:space="0" w:color="auto"/>
            </w:tcBorders>
            <w:shd w:val="clear" w:color="auto" w:fill="auto"/>
            <w:noWrap/>
            <w:vAlign w:val="bottom"/>
            <w:hideMark/>
          </w:tcPr>
          <w:p w14:paraId="0D4F2EAD" w14:textId="77777777" w:rsidR="00885921" w:rsidRPr="001D5BBC" w:rsidRDefault="00885921" w:rsidP="00560A50">
            <w:pPr>
              <w:rPr>
                <w:rFonts w:ascii="Palatino Linotype" w:eastAsia="Times New Roman" w:hAnsi="Palatino Linotype"/>
                <w:color w:val="000000"/>
                <w:sz w:val="22"/>
                <w:szCs w:val="22"/>
                <w:lang w:val="en-US"/>
              </w:rPr>
            </w:pPr>
            <w:r w:rsidRPr="001D5BBC">
              <w:rPr>
                <w:rFonts w:ascii="Palatino Linotype" w:eastAsia="Times New Roman" w:hAnsi="Palatino Linotype"/>
                <w:color w:val="000000"/>
                <w:sz w:val="22"/>
                <w:szCs w:val="22"/>
                <w:lang w:val="en-US"/>
              </w:rPr>
              <w:t xml:space="preserve">     31,802 </w:t>
            </w:r>
          </w:p>
        </w:tc>
      </w:tr>
      <w:tr w:rsidR="00885921" w:rsidRPr="001D5BBC" w14:paraId="46EE9BAA" w14:textId="77777777" w:rsidTr="00560A50">
        <w:trPr>
          <w:trHeight w:val="345"/>
        </w:trPr>
        <w:tc>
          <w:tcPr>
            <w:tcW w:w="5140" w:type="dxa"/>
            <w:tcBorders>
              <w:top w:val="nil"/>
              <w:left w:val="single" w:sz="4" w:space="0" w:color="auto"/>
              <w:bottom w:val="single" w:sz="4" w:space="0" w:color="auto"/>
              <w:right w:val="single" w:sz="4" w:space="0" w:color="auto"/>
            </w:tcBorders>
            <w:shd w:val="clear" w:color="000000" w:fill="FABF8F"/>
            <w:noWrap/>
            <w:vAlign w:val="bottom"/>
            <w:hideMark/>
          </w:tcPr>
          <w:p w14:paraId="6E52FC33" w14:textId="77777777" w:rsidR="00885921" w:rsidRPr="001D5BBC" w:rsidRDefault="00885921" w:rsidP="00560A50">
            <w:pPr>
              <w:rPr>
                <w:rFonts w:ascii="Palatino Linotype" w:eastAsia="Times New Roman" w:hAnsi="Palatino Linotype"/>
                <w:b/>
                <w:bCs/>
                <w:color w:val="000000"/>
                <w:sz w:val="22"/>
                <w:szCs w:val="22"/>
                <w:lang w:val="en-US"/>
              </w:rPr>
            </w:pPr>
            <w:r w:rsidRPr="001D5BBC">
              <w:rPr>
                <w:rFonts w:ascii="Palatino Linotype" w:eastAsia="Times New Roman" w:hAnsi="Palatino Linotype"/>
                <w:b/>
                <w:bCs/>
                <w:color w:val="000000"/>
                <w:sz w:val="22"/>
                <w:szCs w:val="22"/>
                <w:lang w:val="en-US"/>
              </w:rPr>
              <w:t>Total Fund</w:t>
            </w:r>
            <w:r>
              <w:rPr>
                <w:rFonts w:ascii="Palatino Linotype" w:eastAsia="Times New Roman" w:hAnsi="Palatino Linotype"/>
                <w:b/>
                <w:bCs/>
                <w:color w:val="000000"/>
                <w:sz w:val="22"/>
                <w:szCs w:val="22"/>
                <w:lang w:val="en-US"/>
              </w:rPr>
              <w:t>s</w:t>
            </w:r>
            <w:r w:rsidRPr="001D5BBC">
              <w:rPr>
                <w:rFonts w:ascii="Palatino Linotype" w:eastAsia="Times New Roman" w:hAnsi="Palatino Linotype"/>
                <w:b/>
                <w:bCs/>
                <w:color w:val="000000"/>
                <w:sz w:val="22"/>
                <w:szCs w:val="22"/>
                <w:lang w:val="en-US"/>
              </w:rPr>
              <w:t xml:space="preserve"> </w:t>
            </w:r>
            <w:r>
              <w:rPr>
                <w:rFonts w:ascii="Palatino Linotype" w:eastAsia="Times New Roman" w:hAnsi="Palatino Linotype"/>
                <w:b/>
                <w:bCs/>
                <w:color w:val="000000"/>
                <w:sz w:val="22"/>
                <w:szCs w:val="22"/>
                <w:lang w:val="en-US"/>
              </w:rPr>
              <w:t>M</w:t>
            </w:r>
            <w:r w:rsidRPr="001D5BBC">
              <w:rPr>
                <w:rFonts w:ascii="Palatino Linotype" w:eastAsia="Times New Roman" w:hAnsi="Palatino Linotype"/>
                <w:b/>
                <w:bCs/>
                <w:color w:val="000000"/>
                <w:sz w:val="22"/>
                <w:szCs w:val="22"/>
                <w:lang w:val="en-US"/>
              </w:rPr>
              <w:t>obilised (A+B)</w:t>
            </w:r>
          </w:p>
        </w:tc>
        <w:tc>
          <w:tcPr>
            <w:tcW w:w="1220" w:type="dxa"/>
            <w:tcBorders>
              <w:top w:val="nil"/>
              <w:left w:val="nil"/>
              <w:bottom w:val="single" w:sz="4" w:space="0" w:color="auto"/>
              <w:right w:val="single" w:sz="4" w:space="0" w:color="auto"/>
            </w:tcBorders>
            <w:shd w:val="clear" w:color="000000" w:fill="FABF8F"/>
            <w:noWrap/>
            <w:vAlign w:val="bottom"/>
            <w:hideMark/>
          </w:tcPr>
          <w:p w14:paraId="00A22FFC" w14:textId="77777777" w:rsidR="00885921" w:rsidRPr="001D5BBC" w:rsidRDefault="00885921" w:rsidP="00560A50">
            <w:pPr>
              <w:rPr>
                <w:rFonts w:ascii="Palatino Linotype" w:eastAsia="Times New Roman" w:hAnsi="Palatino Linotype"/>
                <w:b/>
                <w:bCs/>
                <w:color w:val="000000"/>
                <w:sz w:val="22"/>
                <w:szCs w:val="22"/>
                <w:lang w:val="en-US"/>
              </w:rPr>
            </w:pPr>
            <w:r w:rsidRPr="001D5BBC">
              <w:rPr>
                <w:rFonts w:ascii="Palatino Linotype" w:eastAsia="Times New Roman" w:hAnsi="Palatino Linotype"/>
                <w:b/>
                <w:bCs/>
                <w:color w:val="000000"/>
                <w:sz w:val="22"/>
                <w:szCs w:val="22"/>
                <w:lang w:val="en-US"/>
              </w:rPr>
              <w:t xml:space="preserve">       45,297 </w:t>
            </w:r>
          </w:p>
        </w:tc>
        <w:tc>
          <w:tcPr>
            <w:tcW w:w="1100" w:type="dxa"/>
            <w:tcBorders>
              <w:top w:val="nil"/>
              <w:left w:val="nil"/>
              <w:bottom w:val="single" w:sz="4" w:space="0" w:color="auto"/>
              <w:right w:val="single" w:sz="4" w:space="0" w:color="auto"/>
            </w:tcBorders>
            <w:shd w:val="clear" w:color="000000" w:fill="FABF8F"/>
            <w:noWrap/>
            <w:vAlign w:val="bottom"/>
            <w:hideMark/>
          </w:tcPr>
          <w:p w14:paraId="691788F9" w14:textId="77777777" w:rsidR="00885921" w:rsidRPr="001D5BBC" w:rsidRDefault="00885921" w:rsidP="00560A50">
            <w:pPr>
              <w:rPr>
                <w:rFonts w:ascii="Palatino Linotype" w:eastAsia="Times New Roman" w:hAnsi="Palatino Linotype"/>
                <w:b/>
                <w:bCs/>
                <w:color w:val="000000"/>
                <w:sz w:val="22"/>
                <w:szCs w:val="22"/>
                <w:lang w:val="en-US"/>
              </w:rPr>
            </w:pPr>
            <w:r w:rsidRPr="001D5BBC">
              <w:rPr>
                <w:rFonts w:ascii="Palatino Linotype" w:eastAsia="Times New Roman" w:hAnsi="Palatino Linotype"/>
                <w:b/>
                <w:bCs/>
                <w:color w:val="000000"/>
                <w:sz w:val="22"/>
                <w:szCs w:val="22"/>
                <w:lang w:val="en-US"/>
              </w:rPr>
              <w:t xml:space="preserve">     44,487 </w:t>
            </w:r>
          </w:p>
        </w:tc>
      </w:tr>
    </w:tbl>
    <w:p w14:paraId="4AD69A94" w14:textId="77777777" w:rsidR="00885921" w:rsidRDefault="00885921" w:rsidP="00885921">
      <w:pPr>
        <w:widowControl w:val="0"/>
        <w:contextualSpacing/>
        <w:jc w:val="both"/>
        <w:rPr>
          <w:rFonts w:ascii="Palatino Linotype" w:hAnsi="Palatino Linotype"/>
          <w:b/>
          <w:sz w:val="16"/>
          <w:szCs w:val="18"/>
        </w:rPr>
      </w:pPr>
    </w:p>
    <w:p w14:paraId="25F50718" w14:textId="77777777" w:rsidR="00885921" w:rsidRPr="00910139" w:rsidRDefault="00885921" w:rsidP="00885921">
      <w:pPr>
        <w:widowControl w:val="0"/>
        <w:contextualSpacing/>
        <w:jc w:val="both"/>
        <w:rPr>
          <w:rFonts w:ascii="Palatino Linotype" w:hAnsi="Palatino Linotype"/>
          <w:b/>
          <w:sz w:val="16"/>
          <w:szCs w:val="18"/>
        </w:rPr>
      </w:pPr>
      <w:r w:rsidRPr="00910139">
        <w:rPr>
          <w:rFonts w:ascii="Palatino Linotype" w:hAnsi="Palatino Linotype"/>
          <w:b/>
          <w:sz w:val="16"/>
          <w:szCs w:val="18"/>
        </w:rPr>
        <w:t>Note: Current month data are provisional</w:t>
      </w:r>
    </w:p>
    <w:p w14:paraId="441DE9B4" w14:textId="77777777" w:rsidR="00885921" w:rsidRPr="00D13863" w:rsidRDefault="00885921" w:rsidP="00885921">
      <w:pPr>
        <w:widowControl w:val="0"/>
        <w:contextualSpacing/>
        <w:jc w:val="both"/>
        <w:rPr>
          <w:rFonts w:ascii="Palatino Linotype" w:hAnsi="Palatino Linotype"/>
          <w:b/>
          <w:sz w:val="18"/>
          <w:szCs w:val="18"/>
        </w:rPr>
      </w:pPr>
      <w:r w:rsidRPr="00910139">
        <w:rPr>
          <w:rFonts w:ascii="Palatino Linotype" w:hAnsi="Palatino Linotype"/>
          <w:b/>
          <w:sz w:val="16"/>
          <w:szCs w:val="18"/>
        </w:rPr>
        <w:t>Source: SEBI, NSE, BSE and MSEI</w:t>
      </w:r>
    </w:p>
    <w:p w14:paraId="4A9B6AE4" w14:textId="77777777" w:rsidR="00885921" w:rsidRDefault="00885921" w:rsidP="00885921">
      <w:pPr>
        <w:pStyle w:val="NormalWeb"/>
        <w:shd w:val="clear" w:color="auto" w:fill="FFFFFF"/>
        <w:spacing w:after="300"/>
        <w:jc w:val="both"/>
        <w:rPr>
          <w:rFonts w:ascii="Palatino Linotype" w:hAnsi="Palatino Linotype"/>
          <w:sz w:val="22"/>
          <w:szCs w:val="22"/>
        </w:rPr>
      </w:pPr>
      <w:r w:rsidRPr="001D5BBC">
        <w:rPr>
          <w:rFonts w:ascii="Palatino Linotype" w:hAnsi="Palatino Linotype"/>
          <w:sz w:val="22"/>
          <w:szCs w:val="22"/>
        </w:rPr>
        <w:t>Th</w:t>
      </w:r>
      <w:r>
        <w:rPr>
          <w:rFonts w:ascii="Palatino Linotype" w:hAnsi="Palatino Linotype"/>
          <w:sz w:val="22"/>
          <w:szCs w:val="22"/>
        </w:rPr>
        <w:t xml:space="preserve">e primary segment of the equity </w:t>
      </w:r>
      <w:r w:rsidRPr="001D5BBC">
        <w:rPr>
          <w:rFonts w:ascii="Palatino Linotype" w:hAnsi="Palatino Linotype"/>
          <w:sz w:val="22"/>
          <w:szCs w:val="22"/>
        </w:rPr>
        <w:t>market cont</w:t>
      </w:r>
      <w:r>
        <w:rPr>
          <w:rFonts w:ascii="Palatino Linotype" w:hAnsi="Palatino Linotype"/>
          <w:sz w:val="22"/>
          <w:szCs w:val="22"/>
        </w:rPr>
        <w:t xml:space="preserve">inued to be an important source </w:t>
      </w:r>
      <w:r w:rsidRPr="001D5BBC">
        <w:rPr>
          <w:rFonts w:ascii="Palatino Linotype" w:hAnsi="Palatino Linotype"/>
          <w:sz w:val="22"/>
          <w:szCs w:val="22"/>
        </w:rPr>
        <w:t xml:space="preserve">of resource </w:t>
      </w:r>
      <w:r>
        <w:rPr>
          <w:rFonts w:ascii="Palatino Linotype" w:hAnsi="Palatino Linotype"/>
          <w:sz w:val="22"/>
          <w:szCs w:val="22"/>
        </w:rPr>
        <w:t xml:space="preserve">mobilisation. New equity issues, including the public debt issues, </w:t>
      </w:r>
      <w:r w:rsidRPr="001D5BBC">
        <w:rPr>
          <w:rFonts w:ascii="Palatino Linotype" w:hAnsi="Palatino Linotype"/>
          <w:sz w:val="22"/>
          <w:szCs w:val="22"/>
        </w:rPr>
        <w:t xml:space="preserve">increased significantly during </w:t>
      </w:r>
      <w:r>
        <w:rPr>
          <w:rFonts w:ascii="Palatino Linotype" w:hAnsi="Palatino Linotype"/>
          <w:sz w:val="22"/>
          <w:szCs w:val="22"/>
        </w:rPr>
        <w:t xml:space="preserve">September 2018. In financial year 2018-19 (till Sep 30, 2018), 72 SME IPOs raised </w:t>
      </w:r>
      <w:r w:rsidRPr="000B27CD">
        <w:rPr>
          <w:rFonts w:ascii="Rupee Foradian" w:hAnsi="Rupee Foradian"/>
          <w:sz w:val="22"/>
          <w:szCs w:val="22"/>
        </w:rPr>
        <w:t>`</w:t>
      </w:r>
      <w:r>
        <w:rPr>
          <w:rFonts w:ascii="Palatino Linotype" w:hAnsi="Palatino Linotype"/>
          <w:sz w:val="22"/>
          <w:szCs w:val="22"/>
        </w:rPr>
        <w:t xml:space="preserve"> 1,293 crore from the market </w:t>
      </w:r>
      <w:r w:rsidRPr="005E0AEF">
        <w:rPr>
          <w:rFonts w:ascii="Palatino Linotype" w:hAnsi="Palatino Linotype"/>
          <w:b/>
          <w:i/>
          <w:sz w:val="22"/>
          <w:szCs w:val="22"/>
        </w:rPr>
        <w:t>(Annex Table 4)</w:t>
      </w:r>
      <w:r>
        <w:rPr>
          <w:rFonts w:ascii="Palatino Linotype" w:hAnsi="Palatino Linotype"/>
          <w:sz w:val="22"/>
          <w:szCs w:val="22"/>
        </w:rPr>
        <w:t>. This helped India rank 2</w:t>
      </w:r>
      <w:r w:rsidRPr="000B27CD">
        <w:rPr>
          <w:rFonts w:ascii="Palatino Linotype" w:hAnsi="Palatino Linotype"/>
          <w:sz w:val="22"/>
          <w:szCs w:val="22"/>
          <w:vertAlign w:val="superscript"/>
        </w:rPr>
        <w:t>nd</w:t>
      </w:r>
      <w:r>
        <w:rPr>
          <w:rFonts w:ascii="Palatino Linotype" w:hAnsi="Palatino Linotype"/>
          <w:sz w:val="22"/>
          <w:szCs w:val="22"/>
        </w:rPr>
        <w:t xml:space="preserve"> globally in the numbers of IPOs so far in this year. </w:t>
      </w:r>
      <w:r w:rsidRPr="000B27CD">
        <w:rPr>
          <w:rFonts w:ascii="Palatino Linotype" w:hAnsi="Palatino Linotype"/>
          <w:sz w:val="22"/>
          <w:szCs w:val="22"/>
        </w:rPr>
        <w:t xml:space="preserve">India was placed third last year. </w:t>
      </w:r>
    </w:p>
    <w:p w14:paraId="47609820" w14:textId="77777777" w:rsidR="00885921" w:rsidRDefault="00885921" w:rsidP="00885921">
      <w:pPr>
        <w:pStyle w:val="NormalWeb"/>
        <w:shd w:val="clear" w:color="auto" w:fill="FFFFFF"/>
        <w:spacing w:after="300"/>
        <w:jc w:val="both"/>
        <w:rPr>
          <w:rFonts w:ascii="Palatino Linotype" w:hAnsi="Palatino Linotype"/>
          <w:sz w:val="22"/>
          <w:szCs w:val="22"/>
        </w:rPr>
      </w:pPr>
      <w:r>
        <w:rPr>
          <w:rFonts w:ascii="Palatino Linotype" w:hAnsi="Palatino Linotype"/>
          <w:sz w:val="22"/>
          <w:szCs w:val="22"/>
        </w:rPr>
        <w:t>In the face of the global economic concerns, a</w:t>
      </w:r>
      <w:r w:rsidRPr="000B27CD">
        <w:rPr>
          <w:rFonts w:ascii="Palatino Linotype" w:hAnsi="Palatino Linotype"/>
          <w:sz w:val="22"/>
          <w:szCs w:val="22"/>
        </w:rPr>
        <w:t xml:space="preserve"> good GDP print and strong domestic liquidity </w:t>
      </w:r>
      <w:r>
        <w:rPr>
          <w:rFonts w:ascii="Palatino Linotype" w:hAnsi="Palatino Linotype"/>
          <w:sz w:val="22"/>
          <w:szCs w:val="22"/>
        </w:rPr>
        <w:t>have facilitated the boosting of investor confidence thereby</w:t>
      </w:r>
      <w:r w:rsidRPr="000B27CD">
        <w:rPr>
          <w:rFonts w:ascii="Palatino Linotype" w:hAnsi="Palatino Linotype"/>
          <w:sz w:val="22"/>
          <w:szCs w:val="22"/>
        </w:rPr>
        <w:t xml:space="preserve"> prompting Indian companies to go public.</w:t>
      </w:r>
      <w:r>
        <w:rPr>
          <w:rFonts w:ascii="Palatino Linotype" w:hAnsi="Palatino Linotype"/>
          <w:sz w:val="22"/>
          <w:szCs w:val="22"/>
        </w:rPr>
        <w:t xml:space="preserve"> </w:t>
      </w:r>
    </w:p>
    <w:p w14:paraId="5FB8E1A9" w14:textId="77777777" w:rsidR="00885921" w:rsidRDefault="00885921" w:rsidP="00885921">
      <w:pPr>
        <w:pStyle w:val="NormalWeb"/>
        <w:shd w:val="clear" w:color="auto" w:fill="FFFFFF"/>
        <w:spacing w:after="300"/>
        <w:jc w:val="both"/>
        <w:rPr>
          <w:rFonts w:ascii="Palatino Linotype" w:hAnsi="Palatino Linotype"/>
          <w:sz w:val="22"/>
          <w:szCs w:val="22"/>
        </w:rPr>
      </w:pPr>
      <w:r>
        <w:rPr>
          <w:rFonts w:ascii="Palatino Linotype" w:hAnsi="Palatino Linotype"/>
          <w:sz w:val="22"/>
          <w:szCs w:val="22"/>
        </w:rPr>
        <w:t xml:space="preserve">Primary market resource mobilisation through public issues, both equity and debt, jumped manifold in September 2018 with 20 issues mobilising </w:t>
      </w:r>
      <w:r>
        <w:rPr>
          <w:rFonts w:ascii="Tahoma" w:hAnsi="Tahoma" w:cs="Tahoma"/>
          <w:sz w:val="22"/>
          <w:szCs w:val="22"/>
        </w:rPr>
        <w:t>₹</w:t>
      </w:r>
      <w:r w:rsidRPr="00D13863">
        <w:rPr>
          <w:rFonts w:ascii="Palatino Linotype" w:hAnsi="Palatino Linotype"/>
          <w:bCs/>
          <w:sz w:val="22"/>
          <w:szCs w:val="22"/>
          <w:lang w:eastAsia="en-GB" w:bidi="bn-IN"/>
        </w:rPr>
        <w:t xml:space="preserve"> </w:t>
      </w:r>
      <w:r>
        <w:rPr>
          <w:rFonts w:ascii="Palatino Linotype" w:hAnsi="Palatino Linotype"/>
          <w:bCs/>
          <w:sz w:val="22"/>
          <w:szCs w:val="22"/>
          <w:lang w:eastAsia="en-GB" w:bidi="bn-IN"/>
        </w:rPr>
        <w:t xml:space="preserve">9,273 </w:t>
      </w:r>
      <w:r w:rsidRPr="00D13863">
        <w:rPr>
          <w:rFonts w:ascii="Palatino Linotype" w:hAnsi="Palatino Linotype"/>
          <w:sz w:val="22"/>
          <w:szCs w:val="22"/>
        </w:rPr>
        <w:t>crore</w:t>
      </w:r>
      <w:r>
        <w:rPr>
          <w:rFonts w:ascii="Palatino Linotype" w:hAnsi="Palatino Linotype"/>
          <w:sz w:val="22"/>
          <w:szCs w:val="22"/>
        </w:rPr>
        <w:t xml:space="preserve">. </w:t>
      </w:r>
      <w:r w:rsidRPr="00D13863">
        <w:rPr>
          <w:rFonts w:ascii="Palatino Linotype" w:hAnsi="Palatino Linotype"/>
          <w:sz w:val="22"/>
          <w:szCs w:val="22"/>
        </w:rPr>
        <w:t>Out of 1</w:t>
      </w:r>
      <w:r>
        <w:rPr>
          <w:rFonts w:ascii="Palatino Linotype" w:hAnsi="Palatino Linotype"/>
          <w:sz w:val="22"/>
          <w:szCs w:val="22"/>
        </w:rPr>
        <w:t>6</w:t>
      </w:r>
      <w:r w:rsidRPr="00D13863">
        <w:rPr>
          <w:rFonts w:ascii="Palatino Linotype" w:hAnsi="Palatino Linotype"/>
          <w:sz w:val="22"/>
          <w:szCs w:val="22"/>
        </w:rPr>
        <w:t xml:space="preserve"> IPOs, </w:t>
      </w:r>
      <w:r>
        <w:rPr>
          <w:rFonts w:ascii="Palatino Linotype" w:hAnsi="Palatino Linotype"/>
          <w:sz w:val="22"/>
          <w:szCs w:val="22"/>
        </w:rPr>
        <w:t>14</w:t>
      </w:r>
      <w:r w:rsidRPr="00D13863">
        <w:rPr>
          <w:rFonts w:ascii="Palatino Linotype" w:hAnsi="Palatino Linotype"/>
          <w:sz w:val="22"/>
          <w:szCs w:val="22"/>
        </w:rPr>
        <w:t xml:space="preserve"> IPOs </w:t>
      </w:r>
      <w:r>
        <w:rPr>
          <w:rFonts w:ascii="Palatino Linotype" w:hAnsi="Palatino Linotype"/>
          <w:sz w:val="22"/>
          <w:szCs w:val="22"/>
        </w:rPr>
        <w:t xml:space="preserve">amounting to </w:t>
      </w:r>
      <w:r w:rsidRPr="00DE05C2">
        <w:rPr>
          <w:rFonts w:ascii="Rupee Foradian" w:hAnsi="Rupee Foradian"/>
          <w:sz w:val="22"/>
          <w:szCs w:val="22"/>
        </w:rPr>
        <w:t>`</w:t>
      </w:r>
      <w:r>
        <w:rPr>
          <w:rFonts w:ascii="Palatino Linotype" w:hAnsi="Palatino Linotype"/>
          <w:sz w:val="22"/>
          <w:szCs w:val="22"/>
        </w:rPr>
        <w:t xml:space="preserve"> 309 crore were listed on SMEs</w:t>
      </w:r>
      <w:r w:rsidRPr="00D13863">
        <w:rPr>
          <w:rFonts w:ascii="Palatino Linotype" w:hAnsi="Palatino Linotype"/>
          <w:sz w:val="22"/>
          <w:szCs w:val="22"/>
        </w:rPr>
        <w:t xml:space="preserve"> platform</w:t>
      </w:r>
      <w:r>
        <w:rPr>
          <w:rFonts w:ascii="Palatino Linotype" w:hAnsi="Palatino Linotype"/>
          <w:sz w:val="22"/>
          <w:szCs w:val="22"/>
        </w:rPr>
        <w:t xml:space="preserve"> of the BSE and the NSE.</w:t>
      </w:r>
    </w:p>
    <w:p w14:paraId="52B5E8A9" w14:textId="77777777" w:rsidR="00885921" w:rsidRDefault="00885921" w:rsidP="00885921">
      <w:pPr>
        <w:jc w:val="both"/>
        <w:rPr>
          <w:rFonts w:ascii="Palatino Linotype" w:eastAsia="Times New Roman" w:hAnsi="Palatino Linotype"/>
          <w:color w:val="000000"/>
          <w:sz w:val="22"/>
          <w:szCs w:val="22"/>
          <w:lang w:val="en-US"/>
        </w:rPr>
      </w:pPr>
      <w:r>
        <w:rPr>
          <w:rFonts w:ascii="Palatino Linotype" w:hAnsi="Palatino Linotype"/>
          <w:sz w:val="22"/>
          <w:szCs w:val="22"/>
        </w:rPr>
        <w:t>In September 2018, t</w:t>
      </w:r>
      <w:r w:rsidRPr="00D13863">
        <w:rPr>
          <w:rFonts w:ascii="Palatino Linotype" w:hAnsi="Palatino Linotype"/>
          <w:sz w:val="22"/>
          <w:szCs w:val="22"/>
        </w:rPr>
        <w:t xml:space="preserve">here were </w:t>
      </w:r>
      <w:r>
        <w:rPr>
          <w:rFonts w:ascii="Palatino Linotype" w:hAnsi="Palatino Linotype"/>
          <w:sz w:val="22"/>
          <w:szCs w:val="22"/>
        </w:rPr>
        <w:t>total 22</w:t>
      </w:r>
      <w:r w:rsidRPr="00D13863">
        <w:rPr>
          <w:rFonts w:ascii="Palatino Linotype" w:hAnsi="Palatino Linotype"/>
          <w:sz w:val="22"/>
          <w:szCs w:val="22"/>
        </w:rPr>
        <w:t xml:space="preserve"> preferential allotments </w:t>
      </w:r>
      <w:r>
        <w:rPr>
          <w:rFonts w:ascii="Palatino Linotype" w:hAnsi="Palatino Linotype"/>
          <w:sz w:val="22"/>
          <w:szCs w:val="22"/>
        </w:rPr>
        <w:t xml:space="preserve">worth </w:t>
      </w:r>
      <w:r>
        <w:rPr>
          <w:rFonts w:ascii="Times New Roman" w:hAnsi="Times New Roman"/>
          <w:sz w:val="22"/>
          <w:szCs w:val="22"/>
        </w:rPr>
        <w:t>₹</w:t>
      </w:r>
      <w:r>
        <w:rPr>
          <w:rFonts w:ascii="Palatino Linotype" w:eastAsia="Times New Roman" w:hAnsi="Palatino Linotype"/>
          <w:color w:val="000000"/>
          <w:sz w:val="22"/>
          <w:szCs w:val="22"/>
          <w:lang w:val="en-US"/>
        </w:rPr>
        <w:t xml:space="preserve">3,412 </w:t>
      </w:r>
      <w:r w:rsidRPr="00D13863">
        <w:rPr>
          <w:rFonts w:ascii="Palatino Linotype" w:eastAsia="Times New Roman" w:hAnsi="Palatino Linotype" w:cs="Calibri"/>
          <w:sz w:val="22"/>
          <w:szCs w:val="22"/>
          <w:lang w:val="en-US"/>
        </w:rPr>
        <w:t>crore</w:t>
      </w:r>
      <w:r w:rsidRPr="00D13863">
        <w:rPr>
          <w:rFonts w:ascii="Palatino Linotype" w:hAnsi="Palatino Linotype" w:cs="Garamond"/>
          <w:sz w:val="22"/>
          <w:szCs w:val="22"/>
        </w:rPr>
        <w:t xml:space="preserve"> that got listed at </w:t>
      </w:r>
      <w:r>
        <w:rPr>
          <w:rFonts w:ascii="Palatino Linotype" w:hAnsi="Palatino Linotype" w:cs="Garamond"/>
          <w:sz w:val="22"/>
          <w:szCs w:val="22"/>
        </w:rPr>
        <w:t>BSE, NSE and MSEI as</w:t>
      </w:r>
      <w:r w:rsidRPr="00D13863">
        <w:rPr>
          <w:rFonts w:ascii="Palatino Linotype" w:hAnsi="Palatino Linotype" w:cs="Garamond"/>
          <w:sz w:val="22"/>
          <w:szCs w:val="22"/>
        </w:rPr>
        <w:t xml:space="preserve"> compared to </w:t>
      </w:r>
      <w:r>
        <w:rPr>
          <w:rFonts w:ascii="Palatino Linotype" w:hAnsi="Palatino Linotype"/>
          <w:sz w:val="22"/>
          <w:szCs w:val="22"/>
        </w:rPr>
        <w:t xml:space="preserve">34 </w:t>
      </w:r>
      <w:r w:rsidRPr="00D13863">
        <w:rPr>
          <w:rFonts w:ascii="Palatino Linotype" w:hAnsi="Palatino Linotype"/>
          <w:sz w:val="22"/>
          <w:szCs w:val="22"/>
        </w:rPr>
        <w:t>preferential allotments (amounting to</w:t>
      </w:r>
      <w:r>
        <w:rPr>
          <w:rFonts w:ascii="Palatino Linotype" w:hAnsi="Palatino Linotype"/>
          <w:sz w:val="22"/>
          <w:szCs w:val="22"/>
        </w:rPr>
        <w:t xml:space="preserve"> </w:t>
      </w:r>
      <w:r>
        <w:rPr>
          <w:rFonts w:ascii="Times New Roman" w:hAnsi="Times New Roman"/>
          <w:sz w:val="22"/>
          <w:szCs w:val="22"/>
        </w:rPr>
        <w:t>₹</w:t>
      </w:r>
      <w:r>
        <w:rPr>
          <w:rFonts w:ascii="Palatino Linotype" w:eastAsia="Times New Roman" w:hAnsi="Palatino Linotype"/>
          <w:color w:val="000000"/>
          <w:sz w:val="22"/>
          <w:szCs w:val="22"/>
          <w:lang w:val="en-US"/>
        </w:rPr>
        <w:t xml:space="preserve">4,239 </w:t>
      </w:r>
      <w:r w:rsidRPr="00D13863">
        <w:rPr>
          <w:rFonts w:ascii="Palatino Linotype" w:hAnsi="Palatino Linotype" w:cs="Garamond"/>
          <w:sz w:val="22"/>
          <w:szCs w:val="22"/>
        </w:rPr>
        <w:t xml:space="preserve">crore) </w:t>
      </w:r>
      <w:r>
        <w:rPr>
          <w:rFonts w:ascii="Palatino Linotype" w:hAnsi="Palatino Linotype" w:cs="Garamond"/>
          <w:sz w:val="22"/>
          <w:szCs w:val="22"/>
        </w:rPr>
        <w:t>in</w:t>
      </w:r>
      <w:r w:rsidRPr="00D13863">
        <w:rPr>
          <w:rFonts w:ascii="Palatino Linotype" w:hAnsi="Palatino Linotype" w:cs="Garamond"/>
          <w:sz w:val="22"/>
          <w:szCs w:val="22"/>
        </w:rPr>
        <w:t xml:space="preserve"> </w:t>
      </w:r>
      <w:r>
        <w:rPr>
          <w:rFonts w:ascii="Palatino Linotype" w:hAnsi="Palatino Linotype" w:cs="Garamond"/>
          <w:sz w:val="22"/>
          <w:szCs w:val="22"/>
        </w:rPr>
        <w:t>August</w:t>
      </w:r>
      <w:r w:rsidRPr="00D13863">
        <w:rPr>
          <w:rFonts w:ascii="Palatino Linotype" w:hAnsi="Palatino Linotype" w:cs="Garamond"/>
          <w:sz w:val="22"/>
          <w:szCs w:val="22"/>
        </w:rPr>
        <w:t xml:space="preserve"> 2018</w:t>
      </w:r>
      <w:r>
        <w:rPr>
          <w:rFonts w:ascii="Palatino Linotype" w:hAnsi="Palatino Linotype" w:cs="Garamond"/>
          <w:sz w:val="22"/>
          <w:szCs w:val="22"/>
        </w:rPr>
        <w:t xml:space="preserve"> </w:t>
      </w:r>
      <w:r w:rsidRPr="005E0AEF">
        <w:rPr>
          <w:rFonts w:ascii="Palatino Linotype" w:hAnsi="Palatino Linotype"/>
          <w:b/>
          <w:i/>
          <w:sz w:val="22"/>
          <w:szCs w:val="22"/>
        </w:rPr>
        <w:t xml:space="preserve">(Annex Table </w:t>
      </w:r>
      <w:r>
        <w:rPr>
          <w:rFonts w:ascii="Palatino Linotype" w:hAnsi="Palatino Linotype"/>
          <w:b/>
          <w:i/>
          <w:sz w:val="22"/>
          <w:szCs w:val="22"/>
        </w:rPr>
        <w:t>11</w:t>
      </w:r>
      <w:r w:rsidRPr="005E0AEF">
        <w:rPr>
          <w:rFonts w:ascii="Palatino Linotype" w:hAnsi="Palatino Linotype"/>
          <w:b/>
          <w:i/>
          <w:sz w:val="22"/>
          <w:szCs w:val="22"/>
        </w:rPr>
        <w:t>)</w:t>
      </w:r>
      <w:r w:rsidRPr="00D13863">
        <w:rPr>
          <w:rFonts w:ascii="Palatino Linotype" w:hAnsi="Palatino Linotype"/>
          <w:sz w:val="22"/>
          <w:szCs w:val="22"/>
        </w:rPr>
        <w:t>.</w:t>
      </w:r>
      <w:r>
        <w:rPr>
          <w:rFonts w:ascii="Palatino Linotype" w:hAnsi="Palatino Linotype"/>
          <w:sz w:val="22"/>
          <w:szCs w:val="22"/>
        </w:rPr>
        <w:t xml:space="preserve"> </w:t>
      </w:r>
      <w:r w:rsidRPr="0093027F">
        <w:rPr>
          <w:rFonts w:ascii="Palatino Linotype" w:hAnsi="Palatino Linotype"/>
          <w:sz w:val="22"/>
          <w:szCs w:val="22"/>
        </w:rPr>
        <w:t>Corporate</w:t>
      </w:r>
      <w:r>
        <w:rPr>
          <w:rFonts w:ascii="Palatino Linotype" w:hAnsi="Palatino Linotype"/>
          <w:sz w:val="22"/>
          <w:szCs w:val="22"/>
        </w:rPr>
        <w:t xml:space="preserve"> sector mobilised </w:t>
      </w:r>
      <w:r w:rsidRPr="0093027F">
        <w:rPr>
          <w:rFonts w:ascii="Palatino Linotype" w:hAnsi="Palatino Linotype"/>
          <w:sz w:val="22"/>
          <w:szCs w:val="22"/>
        </w:rPr>
        <w:t>large amount</w:t>
      </w:r>
      <w:r>
        <w:rPr>
          <w:rFonts w:ascii="Palatino Linotype" w:hAnsi="Palatino Linotype"/>
          <w:sz w:val="22"/>
          <w:szCs w:val="22"/>
        </w:rPr>
        <w:t xml:space="preserve"> of resources by way of private </w:t>
      </w:r>
      <w:r w:rsidRPr="0093027F">
        <w:rPr>
          <w:rFonts w:ascii="Palatino Linotype" w:hAnsi="Palatino Linotype"/>
          <w:sz w:val="22"/>
          <w:szCs w:val="22"/>
        </w:rPr>
        <w:t>placements of corporate bonds.</w:t>
      </w:r>
      <w:r>
        <w:rPr>
          <w:rFonts w:ascii="Palatino Linotype" w:hAnsi="Palatino Linotype"/>
          <w:sz w:val="22"/>
          <w:szCs w:val="22"/>
        </w:rPr>
        <w:t xml:space="preserve"> The companies mobilised </w:t>
      </w:r>
      <w:r w:rsidRPr="00DE0003">
        <w:rPr>
          <w:rFonts w:ascii="Rupee Foradian" w:hAnsi="Rupee Foradian"/>
          <w:sz w:val="22"/>
          <w:szCs w:val="22"/>
        </w:rPr>
        <w:t>`</w:t>
      </w:r>
      <w:r>
        <w:rPr>
          <w:rFonts w:ascii="Palatino Linotype" w:hAnsi="Palatino Linotype"/>
          <w:sz w:val="22"/>
          <w:szCs w:val="22"/>
        </w:rPr>
        <w:t xml:space="preserve"> 31,802 crore through 204 issues in September 2018 </w:t>
      </w:r>
      <w:r w:rsidRPr="005E0AEF">
        <w:rPr>
          <w:rFonts w:ascii="Palatino Linotype" w:hAnsi="Palatino Linotype"/>
          <w:b/>
          <w:i/>
          <w:sz w:val="22"/>
          <w:szCs w:val="22"/>
        </w:rPr>
        <w:t xml:space="preserve">(Annex Table </w:t>
      </w:r>
      <w:r>
        <w:rPr>
          <w:rFonts w:ascii="Palatino Linotype" w:hAnsi="Palatino Linotype"/>
          <w:b/>
          <w:i/>
          <w:sz w:val="22"/>
          <w:szCs w:val="22"/>
        </w:rPr>
        <w:t>12</w:t>
      </w:r>
      <w:r w:rsidRPr="005E0AEF">
        <w:rPr>
          <w:rFonts w:ascii="Palatino Linotype" w:hAnsi="Palatino Linotype"/>
          <w:b/>
          <w:i/>
          <w:sz w:val="22"/>
          <w:szCs w:val="22"/>
        </w:rPr>
        <w:t>)</w:t>
      </w:r>
      <w:r>
        <w:rPr>
          <w:rFonts w:ascii="Palatino Linotype" w:hAnsi="Palatino Linotype"/>
          <w:sz w:val="22"/>
          <w:szCs w:val="22"/>
        </w:rPr>
        <w:t>.</w:t>
      </w:r>
    </w:p>
    <w:p w14:paraId="27AB7430" w14:textId="77777777" w:rsidR="00885921" w:rsidRDefault="00885921" w:rsidP="00885921">
      <w:pPr>
        <w:rPr>
          <w:rFonts w:ascii="Palatino Linotype" w:eastAsia="Times New Roman" w:hAnsi="Palatino Linotype"/>
          <w:color w:val="000000"/>
          <w:sz w:val="22"/>
          <w:szCs w:val="22"/>
          <w:lang w:val="en-US"/>
        </w:rPr>
      </w:pPr>
      <w:r>
        <w:rPr>
          <w:rFonts w:ascii="Palatino Linotype" w:eastAsia="Times New Roman" w:hAnsi="Palatino Linotype"/>
          <w:color w:val="000000"/>
          <w:sz w:val="22"/>
          <w:szCs w:val="22"/>
          <w:lang w:val="en-US"/>
        </w:rPr>
        <w:br w:type="page"/>
      </w:r>
    </w:p>
    <w:p w14:paraId="77951247" w14:textId="77777777" w:rsidR="00885921" w:rsidRPr="006B2C0E" w:rsidRDefault="00885921" w:rsidP="00885921">
      <w:pPr>
        <w:widowControl w:val="0"/>
        <w:numPr>
          <w:ilvl w:val="0"/>
          <w:numId w:val="2"/>
        </w:numPr>
        <w:contextualSpacing/>
        <w:jc w:val="both"/>
        <w:rPr>
          <w:rFonts w:ascii="Palatino Linotype" w:hAnsi="Palatino Linotype"/>
          <w:b/>
          <w:sz w:val="22"/>
          <w:szCs w:val="22"/>
        </w:rPr>
      </w:pPr>
      <w:r w:rsidRPr="00D13863">
        <w:rPr>
          <w:rFonts w:ascii="Palatino Linotype" w:hAnsi="Palatino Linotype"/>
          <w:b/>
          <w:sz w:val="22"/>
          <w:szCs w:val="22"/>
        </w:rPr>
        <w:t>Trends in the Secondary Market</w:t>
      </w:r>
    </w:p>
    <w:p w14:paraId="2CEB1A84" w14:textId="77777777" w:rsidR="00885921" w:rsidRDefault="00885921" w:rsidP="00885921">
      <w:pPr>
        <w:widowControl w:val="0"/>
        <w:tabs>
          <w:tab w:val="left" w:pos="3915"/>
        </w:tabs>
        <w:jc w:val="both"/>
        <w:rPr>
          <w:rFonts w:ascii="Palatino Linotype" w:hAnsi="Palatino Linotype"/>
          <w:b/>
          <w:sz w:val="22"/>
          <w:szCs w:val="22"/>
        </w:rPr>
      </w:pPr>
    </w:p>
    <w:p w14:paraId="52650302" w14:textId="77777777" w:rsidR="00885921" w:rsidRDefault="00885921" w:rsidP="00885921">
      <w:pPr>
        <w:widowControl w:val="0"/>
        <w:contextualSpacing/>
        <w:jc w:val="both"/>
        <w:rPr>
          <w:rFonts w:ascii="Palatino Linotype" w:hAnsi="Palatino Linotype"/>
          <w:b/>
          <w:sz w:val="22"/>
          <w:szCs w:val="22"/>
        </w:rPr>
      </w:pPr>
      <w:r>
        <w:rPr>
          <w:rFonts w:ascii="Palatino Linotype" w:hAnsi="Palatino Linotype"/>
          <w:b/>
          <w:sz w:val="22"/>
          <w:szCs w:val="22"/>
        </w:rPr>
        <w:t>Exhibit 2: Snapshot of Indian Capital Market</w:t>
      </w:r>
      <w:r w:rsidRPr="000B4C38">
        <w:rPr>
          <w:rFonts w:ascii="Palatino Linotype" w:hAnsi="Palatino Linotype"/>
          <w:b/>
          <w:sz w:val="22"/>
          <w:szCs w:val="22"/>
        </w:rPr>
        <w:t xml:space="preserve"> </w:t>
      </w:r>
    </w:p>
    <w:p w14:paraId="08314164" w14:textId="77777777" w:rsidR="00885921" w:rsidRDefault="00885921" w:rsidP="00885921">
      <w:pPr>
        <w:widowControl w:val="0"/>
        <w:contextualSpacing/>
        <w:jc w:val="both"/>
        <w:rPr>
          <w:rFonts w:ascii="Palatino Linotype" w:hAnsi="Palatino Linotype"/>
          <w:b/>
          <w:sz w:val="22"/>
          <w:szCs w:val="22"/>
        </w:rPr>
      </w:pPr>
    </w:p>
    <w:tbl>
      <w:tblPr>
        <w:tblW w:w="8060" w:type="dxa"/>
        <w:tblLook w:val="04A0" w:firstRow="1" w:lastRow="0" w:firstColumn="1" w:lastColumn="0" w:noHBand="0" w:noVBand="1"/>
      </w:tblPr>
      <w:tblGrid>
        <w:gridCol w:w="2620"/>
        <w:gridCol w:w="1920"/>
        <w:gridCol w:w="1720"/>
        <w:gridCol w:w="1800"/>
      </w:tblGrid>
      <w:tr w:rsidR="00885921" w:rsidRPr="008477BF" w14:paraId="3215C479" w14:textId="77777777" w:rsidTr="00560A50">
        <w:trPr>
          <w:trHeight w:val="780"/>
        </w:trPr>
        <w:tc>
          <w:tcPr>
            <w:tcW w:w="2620"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64A64EC0" w14:textId="77777777" w:rsidR="00885921" w:rsidRPr="008477BF" w:rsidRDefault="00885921" w:rsidP="00560A50">
            <w:pPr>
              <w:jc w:val="center"/>
              <w:rPr>
                <w:rFonts w:ascii="Palatino Linotype" w:eastAsia="Times New Roman" w:hAnsi="Palatino Linotype"/>
                <w:b/>
                <w:bCs/>
                <w:color w:val="000000"/>
                <w:sz w:val="22"/>
                <w:szCs w:val="22"/>
                <w:lang w:val="en-US"/>
              </w:rPr>
            </w:pPr>
            <w:r>
              <w:rPr>
                <w:rFonts w:ascii="Palatino Linotype" w:eastAsia="Times New Roman" w:hAnsi="Palatino Linotype"/>
                <w:b/>
                <w:bCs/>
                <w:color w:val="000000"/>
                <w:sz w:val="22"/>
                <w:szCs w:val="22"/>
                <w:lang w:val="en-US"/>
              </w:rPr>
              <w:t>Description</w:t>
            </w:r>
          </w:p>
        </w:tc>
        <w:tc>
          <w:tcPr>
            <w:tcW w:w="1920" w:type="dxa"/>
            <w:tcBorders>
              <w:top w:val="single" w:sz="4" w:space="0" w:color="auto"/>
              <w:left w:val="nil"/>
              <w:bottom w:val="single" w:sz="4" w:space="0" w:color="auto"/>
              <w:right w:val="single" w:sz="4" w:space="0" w:color="auto"/>
            </w:tcBorders>
            <w:shd w:val="clear" w:color="000000" w:fill="92CDDC"/>
            <w:noWrap/>
            <w:vAlign w:val="center"/>
            <w:hideMark/>
          </w:tcPr>
          <w:p w14:paraId="5B280925" w14:textId="77777777" w:rsidR="00885921" w:rsidRPr="008477BF" w:rsidRDefault="00885921" w:rsidP="00560A50">
            <w:pPr>
              <w:jc w:val="center"/>
              <w:rPr>
                <w:rFonts w:ascii="Palatino Linotype" w:eastAsia="Times New Roman" w:hAnsi="Palatino Linotype"/>
                <w:b/>
                <w:bCs/>
                <w:color w:val="000000"/>
                <w:sz w:val="22"/>
                <w:szCs w:val="22"/>
                <w:lang w:val="en-US"/>
              </w:rPr>
            </w:pPr>
            <w:r w:rsidRPr="008477BF">
              <w:rPr>
                <w:rFonts w:ascii="Palatino Linotype" w:eastAsia="Times New Roman" w:hAnsi="Palatino Linotype"/>
                <w:b/>
                <w:bCs/>
                <w:color w:val="000000"/>
                <w:sz w:val="22"/>
                <w:szCs w:val="22"/>
                <w:lang w:val="en-US"/>
              </w:rPr>
              <w:t>Aug-18</w:t>
            </w:r>
          </w:p>
        </w:tc>
        <w:tc>
          <w:tcPr>
            <w:tcW w:w="1720" w:type="dxa"/>
            <w:tcBorders>
              <w:top w:val="single" w:sz="4" w:space="0" w:color="auto"/>
              <w:left w:val="nil"/>
              <w:bottom w:val="single" w:sz="4" w:space="0" w:color="auto"/>
              <w:right w:val="single" w:sz="4" w:space="0" w:color="auto"/>
            </w:tcBorders>
            <w:shd w:val="clear" w:color="000000" w:fill="92CDDC"/>
            <w:noWrap/>
            <w:vAlign w:val="center"/>
            <w:hideMark/>
          </w:tcPr>
          <w:p w14:paraId="29F3B1C6" w14:textId="77777777" w:rsidR="00885921" w:rsidRPr="008477BF" w:rsidRDefault="00885921" w:rsidP="00560A50">
            <w:pPr>
              <w:jc w:val="center"/>
              <w:rPr>
                <w:rFonts w:ascii="Palatino Linotype" w:eastAsia="Times New Roman" w:hAnsi="Palatino Linotype"/>
                <w:b/>
                <w:bCs/>
                <w:color w:val="000000"/>
                <w:sz w:val="22"/>
                <w:szCs w:val="22"/>
                <w:lang w:val="en-US"/>
              </w:rPr>
            </w:pPr>
            <w:r w:rsidRPr="008477BF">
              <w:rPr>
                <w:rFonts w:ascii="Palatino Linotype" w:eastAsia="Times New Roman" w:hAnsi="Palatino Linotype"/>
                <w:b/>
                <w:bCs/>
                <w:color w:val="000000"/>
                <w:sz w:val="22"/>
                <w:szCs w:val="22"/>
                <w:lang w:val="en-US"/>
              </w:rPr>
              <w:t>Sep-18</w:t>
            </w:r>
          </w:p>
        </w:tc>
        <w:tc>
          <w:tcPr>
            <w:tcW w:w="1800" w:type="dxa"/>
            <w:tcBorders>
              <w:top w:val="single" w:sz="4" w:space="0" w:color="auto"/>
              <w:left w:val="nil"/>
              <w:bottom w:val="single" w:sz="4" w:space="0" w:color="auto"/>
              <w:right w:val="single" w:sz="4" w:space="0" w:color="auto"/>
            </w:tcBorders>
            <w:shd w:val="clear" w:color="000000" w:fill="92CDDC"/>
            <w:vAlign w:val="center"/>
            <w:hideMark/>
          </w:tcPr>
          <w:p w14:paraId="04F7D0E6" w14:textId="77777777" w:rsidR="00885921" w:rsidRPr="008477BF" w:rsidRDefault="00885921" w:rsidP="00560A50">
            <w:pPr>
              <w:jc w:val="center"/>
              <w:rPr>
                <w:rFonts w:ascii="Palatino Linotype" w:eastAsia="Times New Roman" w:hAnsi="Palatino Linotype"/>
                <w:b/>
                <w:bCs/>
                <w:color w:val="000000"/>
                <w:sz w:val="22"/>
                <w:szCs w:val="22"/>
                <w:lang w:val="en-US"/>
              </w:rPr>
            </w:pPr>
            <w:r w:rsidRPr="008477BF">
              <w:rPr>
                <w:rFonts w:ascii="Palatino Linotype" w:eastAsia="Times New Roman" w:hAnsi="Palatino Linotype"/>
                <w:b/>
                <w:bCs/>
                <w:color w:val="000000"/>
                <w:sz w:val="22"/>
                <w:szCs w:val="22"/>
                <w:lang w:val="en-US"/>
              </w:rPr>
              <w:t xml:space="preserve">Change during the </w:t>
            </w:r>
            <w:r>
              <w:rPr>
                <w:rFonts w:ascii="Palatino Linotype" w:eastAsia="Times New Roman" w:hAnsi="Palatino Linotype"/>
                <w:b/>
                <w:bCs/>
                <w:color w:val="000000"/>
                <w:sz w:val="22"/>
                <w:szCs w:val="22"/>
                <w:lang w:val="en-US"/>
              </w:rPr>
              <w:t>M</w:t>
            </w:r>
            <w:r w:rsidRPr="008477BF">
              <w:rPr>
                <w:rFonts w:ascii="Palatino Linotype" w:eastAsia="Times New Roman" w:hAnsi="Palatino Linotype"/>
                <w:b/>
                <w:bCs/>
                <w:color w:val="000000"/>
                <w:sz w:val="22"/>
                <w:szCs w:val="22"/>
                <w:lang w:val="en-US"/>
              </w:rPr>
              <w:t>onth</w:t>
            </w:r>
          </w:p>
        </w:tc>
      </w:tr>
      <w:tr w:rsidR="00885921" w:rsidRPr="008477BF" w14:paraId="2D996C61" w14:textId="77777777" w:rsidTr="00560A50">
        <w:trPr>
          <w:trHeight w:val="315"/>
        </w:trPr>
        <w:tc>
          <w:tcPr>
            <w:tcW w:w="806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81F2349" w14:textId="77777777" w:rsidR="00885921" w:rsidRPr="008477BF" w:rsidRDefault="00885921" w:rsidP="00560A50">
            <w:pPr>
              <w:rPr>
                <w:rFonts w:ascii="Palatino Linotype" w:eastAsia="Times New Roman" w:hAnsi="Palatino Linotype"/>
                <w:b/>
                <w:bCs/>
                <w:color w:val="002060"/>
                <w:sz w:val="20"/>
                <w:szCs w:val="20"/>
                <w:lang w:val="en-US"/>
              </w:rPr>
            </w:pPr>
            <w:r w:rsidRPr="008477BF">
              <w:rPr>
                <w:rFonts w:ascii="Palatino Linotype" w:eastAsia="Times New Roman" w:hAnsi="Palatino Linotype"/>
                <w:b/>
                <w:bCs/>
                <w:color w:val="002060"/>
                <w:sz w:val="20"/>
                <w:szCs w:val="20"/>
                <w:lang w:val="en-US"/>
              </w:rPr>
              <w:t>Index in Equity Market</w:t>
            </w:r>
          </w:p>
        </w:tc>
      </w:tr>
      <w:tr w:rsidR="00885921" w:rsidRPr="008477BF" w14:paraId="566D8343"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1DF9C4D"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Sensex</w:t>
            </w:r>
          </w:p>
        </w:tc>
        <w:tc>
          <w:tcPr>
            <w:tcW w:w="1920" w:type="dxa"/>
            <w:tcBorders>
              <w:top w:val="nil"/>
              <w:left w:val="nil"/>
              <w:bottom w:val="single" w:sz="4" w:space="0" w:color="auto"/>
              <w:right w:val="single" w:sz="4" w:space="0" w:color="auto"/>
            </w:tcBorders>
            <w:shd w:val="clear" w:color="auto" w:fill="auto"/>
            <w:noWrap/>
            <w:vAlign w:val="bottom"/>
            <w:hideMark/>
          </w:tcPr>
          <w:p w14:paraId="2A7C38B9"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38645</w:t>
            </w:r>
          </w:p>
        </w:tc>
        <w:tc>
          <w:tcPr>
            <w:tcW w:w="1720" w:type="dxa"/>
            <w:tcBorders>
              <w:top w:val="nil"/>
              <w:left w:val="nil"/>
              <w:bottom w:val="single" w:sz="4" w:space="0" w:color="auto"/>
              <w:right w:val="single" w:sz="4" w:space="0" w:color="auto"/>
            </w:tcBorders>
            <w:shd w:val="clear" w:color="auto" w:fill="auto"/>
            <w:noWrap/>
            <w:vAlign w:val="bottom"/>
            <w:hideMark/>
          </w:tcPr>
          <w:p w14:paraId="7A98E9B2"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36227</w:t>
            </w:r>
          </w:p>
        </w:tc>
        <w:tc>
          <w:tcPr>
            <w:tcW w:w="1800" w:type="dxa"/>
            <w:tcBorders>
              <w:top w:val="nil"/>
              <w:left w:val="nil"/>
              <w:bottom w:val="single" w:sz="4" w:space="0" w:color="auto"/>
              <w:right w:val="single" w:sz="4" w:space="0" w:color="auto"/>
            </w:tcBorders>
            <w:shd w:val="clear" w:color="auto" w:fill="auto"/>
            <w:noWrap/>
            <w:vAlign w:val="bottom"/>
            <w:hideMark/>
          </w:tcPr>
          <w:p w14:paraId="574A3F5C"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-6.3</w:t>
            </w:r>
          </w:p>
        </w:tc>
      </w:tr>
      <w:tr w:rsidR="00885921" w:rsidRPr="008477BF" w14:paraId="43EA00C6"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2518F2F"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Nifty 50</w:t>
            </w:r>
          </w:p>
        </w:tc>
        <w:tc>
          <w:tcPr>
            <w:tcW w:w="1920" w:type="dxa"/>
            <w:tcBorders>
              <w:top w:val="nil"/>
              <w:left w:val="nil"/>
              <w:bottom w:val="single" w:sz="4" w:space="0" w:color="auto"/>
              <w:right w:val="single" w:sz="4" w:space="0" w:color="auto"/>
            </w:tcBorders>
            <w:shd w:val="clear" w:color="auto" w:fill="auto"/>
            <w:noWrap/>
            <w:vAlign w:val="bottom"/>
            <w:hideMark/>
          </w:tcPr>
          <w:p w14:paraId="4DEEE2DA"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11681</w:t>
            </w:r>
          </w:p>
        </w:tc>
        <w:tc>
          <w:tcPr>
            <w:tcW w:w="1720" w:type="dxa"/>
            <w:tcBorders>
              <w:top w:val="nil"/>
              <w:left w:val="nil"/>
              <w:bottom w:val="single" w:sz="4" w:space="0" w:color="auto"/>
              <w:right w:val="single" w:sz="4" w:space="0" w:color="auto"/>
            </w:tcBorders>
            <w:shd w:val="clear" w:color="auto" w:fill="auto"/>
            <w:noWrap/>
            <w:vAlign w:val="bottom"/>
            <w:hideMark/>
          </w:tcPr>
          <w:p w14:paraId="6081AACC"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10930</w:t>
            </w:r>
          </w:p>
        </w:tc>
        <w:tc>
          <w:tcPr>
            <w:tcW w:w="1800" w:type="dxa"/>
            <w:tcBorders>
              <w:top w:val="nil"/>
              <w:left w:val="nil"/>
              <w:bottom w:val="single" w:sz="4" w:space="0" w:color="auto"/>
              <w:right w:val="single" w:sz="4" w:space="0" w:color="auto"/>
            </w:tcBorders>
            <w:shd w:val="clear" w:color="auto" w:fill="auto"/>
            <w:noWrap/>
            <w:vAlign w:val="bottom"/>
            <w:hideMark/>
          </w:tcPr>
          <w:p w14:paraId="698239A3"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-6.4</w:t>
            </w:r>
          </w:p>
        </w:tc>
      </w:tr>
      <w:tr w:rsidR="00885921" w:rsidRPr="008477BF" w14:paraId="4635855E"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32C8E9D"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Nifty 500</w:t>
            </w:r>
          </w:p>
        </w:tc>
        <w:tc>
          <w:tcPr>
            <w:tcW w:w="1920" w:type="dxa"/>
            <w:tcBorders>
              <w:top w:val="nil"/>
              <w:left w:val="nil"/>
              <w:bottom w:val="single" w:sz="4" w:space="0" w:color="auto"/>
              <w:right w:val="single" w:sz="4" w:space="0" w:color="auto"/>
            </w:tcBorders>
            <w:shd w:val="clear" w:color="auto" w:fill="auto"/>
            <w:noWrap/>
            <w:vAlign w:val="bottom"/>
            <w:hideMark/>
          </w:tcPr>
          <w:p w14:paraId="5F67D8FA"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9992</w:t>
            </w:r>
          </w:p>
        </w:tc>
        <w:tc>
          <w:tcPr>
            <w:tcW w:w="1720" w:type="dxa"/>
            <w:tcBorders>
              <w:top w:val="nil"/>
              <w:left w:val="nil"/>
              <w:bottom w:val="single" w:sz="4" w:space="0" w:color="auto"/>
              <w:right w:val="single" w:sz="4" w:space="0" w:color="auto"/>
            </w:tcBorders>
            <w:shd w:val="clear" w:color="auto" w:fill="auto"/>
            <w:noWrap/>
            <w:vAlign w:val="bottom"/>
            <w:hideMark/>
          </w:tcPr>
          <w:p w14:paraId="2DFBD4A7"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9116</w:t>
            </w:r>
          </w:p>
        </w:tc>
        <w:tc>
          <w:tcPr>
            <w:tcW w:w="1800" w:type="dxa"/>
            <w:tcBorders>
              <w:top w:val="nil"/>
              <w:left w:val="nil"/>
              <w:bottom w:val="single" w:sz="4" w:space="0" w:color="auto"/>
              <w:right w:val="single" w:sz="4" w:space="0" w:color="auto"/>
            </w:tcBorders>
            <w:shd w:val="clear" w:color="auto" w:fill="auto"/>
            <w:noWrap/>
            <w:vAlign w:val="bottom"/>
            <w:hideMark/>
          </w:tcPr>
          <w:p w14:paraId="3119CF61"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-8.8</w:t>
            </w:r>
          </w:p>
        </w:tc>
      </w:tr>
      <w:tr w:rsidR="00885921" w:rsidRPr="008477BF" w14:paraId="3BB24D62"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E4A4BC8"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BSE 500</w:t>
            </w:r>
          </w:p>
        </w:tc>
        <w:tc>
          <w:tcPr>
            <w:tcW w:w="1920" w:type="dxa"/>
            <w:tcBorders>
              <w:top w:val="nil"/>
              <w:left w:val="nil"/>
              <w:bottom w:val="single" w:sz="4" w:space="0" w:color="auto"/>
              <w:right w:val="single" w:sz="4" w:space="0" w:color="auto"/>
            </w:tcBorders>
            <w:shd w:val="clear" w:color="auto" w:fill="auto"/>
            <w:noWrap/>
            <w:vAlign w:val="bottom"/>
            <w:hideMark/>
          </w:tcPr>
          <w:p w14:paraId="5349E8F5"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15846</w:t>
            </w:r>
          </w:p>
        </w:tc>
        <w:tc>
          <w:tcPr>
            <w:tcW w:w="1720" w:type="dxa"/>
            <w:tcBorders>
              <w:top w:val="nil"/>
              <w:left w:val="nil"/>
              <w:bottom w:val="single" w:sz="4" w:space="0" w:color="auto"/>
              <w:right w:val="single" w:sz="4" w:space="0" w:color="auto"/>
            </w:tcBorders>
            <w:shd w:val="clear" w:color="auto" w:fill="auto"/>
            <w:noWrap/>
            <w:vAlign w:val="bottom"/>
            <w:hideMark/>
          </w:tcPr>
          <w:p w14:paraId="557AECC6"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14446</w:t>
            </w:r>
          </w:p>
        </w:tc>
        <w:tc>
          <w:tcPr>
            <w:tcW w:w="1800" w:type="dxa"/>
            <w:tcBorders>
              <w:top w:val="nil"/>
              <w:left w:val="nil"/>
              <w:bottom w:val="single" w:sz="4" w:space="0" w:color="auto"/>
              <w:right w:val="single" w:sz="4" w:space="0" w:color="auto"/>
            </w:tcBorders>
            <w:shd w:val="clear" w:color="auto" w:fill="auto"/>
            <w:noWrap/>
            <w:vAlign w:val="bottom"/>
            <w:hideMark/>
          </w:tcPr>
          <w:p w14:paraId="67DA45BD"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-8.8</w:t>
            </w:r>
          </w:p>
        </w:tc>
      </w:tr>
      <w:tr w:rsidR="00885921" w:rsidRPr="008477BF" w14:paraId="4838582C"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24F8DC1"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Nifty Bank</w:t>
            </w:r>
          </w:p>
        </w:tc>
        <w:tc>
          <w:tcPr>
            <w:tcW w:w="1920" w:type="dxa"/>
            <w:tcBorders>
              <w:top w:val="nil"/>
              <w:left w:val="nil"/>
              <w:bottom w:val="single" w:sz="4" w:space="0" w:color="auto"/>
              <w:right w:val="single" w:sz="4" w:space="0" w:color="auto"/>
            </w:tcBorders>
            <w:shd w:val="clear" w:color="auto" w:fill="auto"/>
            <w:noWrap/>
            <w:vAlign w:val="bottom"/>
            <w:hideMark/>
          </w:tcPr>
          <w:p w14:paraId="00FE0733"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28062</w:t>
            </w:r>
          </w:p>
        </w:tc>
        <w:tc>
          <w:tcPr>
            <w:tcW w:w="1720" w:type="dxa"/>
            <w:tcBorders>
              <w:top w:val="nil"/>
              <w:left w:val="nil"/>
              <w:bottom w:val="single" w:sz="4" w:space="0" w:color="auto"/>
              <w:right w:val="single" w:sz="4" w:space="0" w:color="auto"/>
            </w:tcBorders>
            <w:shd w:val="clear" w:color="auto" w:fill="auto"/>
            <w:noWrap/>
            <w:vAlign w:val="bottom"/>
            <w:hideMark/>
          </w:tcPr>
          <w:p w14:paraId="2C66DA17"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25120</w:t>
            </w:r>
          </w:p>
        </w:tc>
        <w:tc>
          <w:tcPr>
            <w:tcW w:w="1800" w:type="dxa"/>
            <w:tcBorders>
              <w:top w:val="nil"/>
              <w:left w:val="nil"/>
              <w:bottom w:val="single" w:sz="4" w:space="0" w:color="auto"/>
              <w:right w:val="single" w:sz="4" w:space="0" w:color="auto"/>
            </w:tcBorders>
            <w:shd w:val="clear" w:color="auto" w:fill="auto"/>
            <w:noWrap/>
            <w:vAlign w:val="bottom"/>
            <w:hideMark/>
          </w:tcPr>
          <w:p w14:paraId="00C95E6E"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-10.5</w:t>
            </w:r>
          </w:p>
        </w:tc>
      </w:tr>
      <w:tr w:rsidR="00885921" w:rsidRPr="008477BF" w14:paraId="2737EEE7"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49B66A4"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Nifty IT</w:t>
            </w:r>
          </w:p>
        </w:tc>
        <w:tc>
          <w:tcPr>
            <w:tcW w:w="1920" w:type="dxa"/>
            <w:tcBorders>
              <w:top w:val="nil"/>
              <w:left w:val="nil"/>
              <w:bottom w:val="single" w:sz="4" w:space="0" w:color="auto"/>
              <w:right w:val="single" w:sz="4" w:space="0" w:color="auto"/>
            </w:tcBorders>
            <w:shd w:val="clear" w:color="auto" w:fill="auto"/>
            <w:noWrap/>
            <w:vAlign w:val="bottom"/>
            <w:hideMark/>
          </w:tcPr>
          <w:p w14:paraId="48BD7652"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15811</w:t>
            </w:r>
          </w:p>
        </w:tc>
        <w:tc>
          <w:tcPr>
            <w:tcW w:w="1720" w:type="dxa"/>
            <w:tcBorders>
              <w:top w:val="nil"/>
              <w:left w:val="nil"/>
              <w:bottom w:val="single" w:sz="4" w:space="0" w:color="auto"/>
              <w:right w:val="single" w:sz="4" w:space="0" w:color="auto"/>
            </w:tcBorders>
            <w:shd w:val="clear" w:color="auto" w:fill="auto"/>
            <w:noWrap/>
            <w:vAlign w:val="bottom"/>
            <w:hideMark/>
          </w:tcPr>
          <w:p w14:paraId="27711257"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15838</w:t>
            </w:r>
          </w:p>
        </w:tc>
        <w:tc>
          <w:tcPr>
            <w:tcW w:w="1800" w:type="dxa"/>
            <w:tcBorders>
              <w:top w:val="nil"/>
              <w:left w:val="nil"/>
              <w:bottom w:val="single" w:sz="4" w:space="0" w:color="auto"/>
              <w:right w:val="single" w:sz="4" w:space="0" w:color="auto"/>
            </w:tcBorders>
            <w:shd w:val="clear" w:color="auto" w:fill="auto"/>
            <w:noWrap/>
            <w:vAlign w:val="bottom"/>
            <w:hideMark/>
          </w:tcPr>
          <w:p w14:paraId="37D95252"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0.2</w:t>
            </w:r>
          </w:p>
        </w:tc>
      </w:tr>
      <w:tr w:rsidR="00885921" w:rsidRPr="008477BF" w14:paraId="71DDA076"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7D4E8F7"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BSE Healthcare</w:t>
            </w:r>
          </w:p>
        </w:tc>
        <w:tc>
          <w:tcPr>
            <w:tcW w:w="1920" w:type="dxa"/>
            <w:tcBorders>
              <w:top w:val="nil"/>
              <w:left w:val="nil"/>
              <w:bottom w:val="single" w:sz="4" w:space="0" w:color="auto"/>
              <w:right w:val="single" w:sz="4" w:space="0" w:color="auto"/>
            </w:tcBorders>
            <w:shd w:val="clear" w:color="auto" w:fill="auto"/>
            <w:noWrap/>
            <w:vAlign w:val="bottom"/>
            <w:hideMark/>
          </w:tcPr>
          <w:p w14:paraId="2DFA056D"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15945</w:t>
            </w:r>
          </w:p>
        </w:tc>
        <w:tc>
          <w:tcPr>
            <w:tcW w:w="1720" w:type="dxa"/>
            <w:tcBorders>
              <w:top w:val="nil"/>
              <w:left w:val="nil"/>
              <w:bottom w:val="single" w:sz="4" w:space="0" w:color="auto"/>
              <w:right w:val="single" w:sz="4" w:space="0" w:color="auto"/>
            </w:tcBorders>
            <w:shd w:val="clear" w:color="auto" w:fill="auto"/>
            <w:noWrap/>
            <w:vAlign w:val="bottom"/>
            <w:hideMark/>
          </w:tcPr>
          <w:p w14:paraId="6BAEFB30"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15025</w:t>
            </w:r>
          </w:p>
        </w:tc>
        <w:tc>
          <w:tcPr>
            <w:tcW w:w="1800" w:type="dxa"/>
            <w:tcBorders>
              <w:top w:val="nil"/>
              <w:left w:val="nil"/>
              <w:bottom w:val="single" w:sz="4" w:space="0" w:color="auto"/>
              <w:right w:val="single" w:sz="4" w:space="0" w:color="auto"/>
            </w:tcBorders>
            <w:shd w:val="clear" w:color="auto" w:fill="auto"/>
            <w:noWrap/>
            <w:vAlign w:val="bottom"/>
            <w:hideMark/>
          </w:tcPr>
          <w:p w14:paraId="32E7636A"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-5.8</w:t>
            </w:r>
          </w:p>
        </w:tc>
      </w:tr>
      <w:tr w:rsidR="00885921" w:rsidRPr="008477BF" w14:paraId="58BD1E62"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E61CF98"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BSE FMCG</w:t>
            </w:r>
          </w:p>
        </w:tc>
        <w:tc>
          <w:tcPr>
            <w:tcW w:w="1920" w:type="dxa"/>
            <w:tcBorders>
              <w:top w:val="nil"/>
              <w:left w:val="nil"/>
              <w:bottom w:val="single" w:sz="4" w:space="0" w:color="auto"/>
              <w:right w:val="single" w:sz="4" w:space="0" w:color="auto"/>
            </w:tcBorders>
            <w:shd w:val="clear" w:color="auto" w:fill="auto"/>
            <w:noWrap/>
            <w:vAlign w:val="bottom"/>
            <w:hideMark/>
          </w:tcPr>
          <w:p w14:paraId="6965D674"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12772</w:t>
            </w:r>
          </w:p>
        </w:tc>
        <w:tc>
          <w:tcPr>
            <w:tcW w:w="1720" w:type="dxa"/>
            <w:tcBorders>
              <w:top w:val="nil"/>
              <w:left w:val="nil"/>
              <w:bottom w:val="single" w:sz="4" w:space="0" w:color="auto"/>
              <w:right w:val="single" w:sz="4" w:space="0" w:color="auto"/>
            </w:tcBorders>
            <w:shd w:val="clear" w:color="auto" w:fill="auto"/>
            <w:noWrap/>
            <w:vAlign w:val="bottom"/>
            <w:hideMark/>
          </w:tcPr>
          <w:p w14:paraId="02E110FD"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11503</w:t>
            </w:r>
          </w:p>
        </w:tc>
        <w:tc>
          <w:tcPr>
            <w:tcW w:w="1800" w:type="dxa"/>
            <w:tcBorders>
              <w:top w:val="nil"/>
              <w:left w:val="nil"/>
              <w:bottom w:val="single" w:sz="4" w:space="0" w:color="auto"/>
              <w:right w:val="single" w:sz="4" w:space="0" w:color="auto"/>
            </w:tcBorders>
            <w:shd w:val="clear" w:color="auto" w:fill="auto"/>
            <w:noWrap/>
            <w:vAlign w:val="bottom"/>
            <w:hideMark/>
          </w:tcPr>
          <w:p w14:paraId="0F555C28"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-9.9</w:t>
            </w:r>
          </w:p>
        </w:tc>
      </w:tr>
      <w:tr w:rsidR="00885921" w:rsidRPr="008477BF" w14:paraId="39C92032" w14:textId="77777777" w:rsidTr="00560A50">
        <w:trPr>
          <w:trHeight w:val="315"/>
        </w:trPr>
        <w:tc>
          <w:tcPr>
            <w:tcW w:w="806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A437AC1" w14:textId="77777777" w:rsidR="00885921" w:rsidRPr="008477BF" w:rsidRDefault="00885921" w:rsidP="00560A50">
            <w:pPr>
              <w:rPr>
                <w:rFonts w:ascii="Palatino Linotype" w:eastAsia="Times New Roman" w:hAnsi="Palatino Linotype"/>
                <w:b/>
                <w:bCs/>
                <w:color w:val="002060"/>
                <w:sz w:val="20"/>
                <w:szCs w:val="20"/>
                <w:lang w:val="en-US"/>
              </w:rPr>
            </w:pPr>
            <w:r w:rsidRPr="008477BF">
              <w:rPr>
                <w:rFonts w:ascii="Palatino Linotype" w:eastAsia="Times New Roman" w:hAnsi="Palatino Linotype"/>
                <w:b/>
                <w:bCs/>
                <w:color w:val="002060"/>
                <w:sz w:val="20"/>
                <w:szCs w:val="20"/>
                <w:lang w:val="en-US"/>
              </w:rPr>
              <w:t>Market Capitalisation</w:t>
            </w:r>
            <w:r>
              <w:rPr>
                <w:rFonts w:ascii="Palatino Linotype" w:eastAsia="Times New Roman" w:hAnsi="Palatino Linotype"/>
                <w:b/>
                <w:bCs/>
                <w:color w:val="002060"/>
                <w:sz w:val="20"/>
                <w:szCs w:val="20"/>
                <w:lang w:val="en-US"/>
              </w:rPr>
              <w:t xml:space="preserve"> </w:t>
            </w:r>
            <w:r w:rsidRPr="008477BF">
              <w:rPr>
                <w:rFonts w:ascii="Palatino Linotype" w:eastAsia="Times New Roman" w:hAnsi="Palatino Linotype"/>
                <w:b/>
                <w:bCs/>
                <w:color w:val="002060"/>
                <w:sz w:val="20"/>
                <w:szCs w:val="20"/>
                <w:lang w:val="en-US"/>
              </w:rPr>
              <w:t>(</w:t>
            </w:r>
            <w:r w:rsidRPr="008477BF">
              <w:rPr>
                <w:rFonts w:ascii="Rupee Foradian" w:eastAsia="Times New Roman" w:hAnsi="Rupee Foradian"/>
                <w:b/>
                <w:bCs/>
                <w:color w:val="002060"/>
                <w:sz w:val="20"/>
                <w:szCs w:val="20"/>
                <w:lang w:val="en-US"/>
              </w:rPr>
              <w:t>`</w:t>
            </w:r>
            <w:r w:rsidRPr="008477BF">
              <w:rPr>
                <w:rFonts w:ascii="Palatino Linotype" w:eastAsia="Times New Roman" w:hAnsi="Palatino Linotype"/>
                <w:b/>
                <w:bCs/>
                <w:color w:val="002060"/>
                <w:sz w:val="20"/>
                <w:szCs w:val="20"/>
                <w:lang w:val="en-US"/>
              </w:rPr>
              <w:t xml:space="preserve"> crore)</w:t>
            </w:r>
          </w:p>
        </w:tc>
      </w:tr>
      <w:tr w:rsidR="00885921" w:rsidRPr="008477BF" w14:paraId="502D7B7E"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3E4EF15"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 xml:space="preserve">BSE </w:t>
            </w:r>
          </w:p>
        </w:tc>
        <w:tc>
          <w:tcPr>
            <w:tcW w:w="1920" w:type="dxa"/>
            <w:tcBorders>
              <w:top w:val="nil"/>
              <w:left w:val="nil"/>
              <w:bottom w:val="single" w:sz="4" w:space="0" w:color="auto"/>
              <w:right w:val="single" w:sz="4" w:space="0" w:color="auto"/>
            </w:tcBorders>
            <w:shd w:val="clear" w:color="auto" w:fill="auto"/>
            <w:noWrap/>
            <w:vAlign w:val="center"/>
            <w:hideMark/>
          </w:tcPr>
          <w:p w14:paraId="30B4FF6D"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1,59,34,696</w:t>
            </w:r>
          </w:p>
        </w:tc>
        <w:tc>
          <w:tcPr>
            <w:tcW w:w="1720" w:type="dxa"/>
            <w:tcBorders>
              <w:top w:val="nil"/>
              <w:left w:val="nil"/>
              <w:bottom w:val="single" w:sz="4" w:space="0" w:color="auto"/>
              <w:right w:val="single" w:sz="4" w:space="0" w:color="auto"/>
            </w:tcBorders>
            <w:shd w:val="clear" w:color="auto" w:fill="auto"/>
            <w:noWrap/>
            <w:vAlign w:val="center"/>
            <w:hideMark/>
          </w:tcPr>
          <w:p w14:paraId="2AB7C9BF"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1,44,86,402</w:t>
            </w:r>
          </w:p>
        </w:tc>
        <w:tc>
          <w:tcPr>
            <w:tcW w:w="1800" w:type="dxa"/>
            <w:tcBorders>
              <w:top w:val="nil"/>
              <w:left w:val="nil"/>
              <w:bottom w:val="single" w:sz="4" w:space="0" w:color="auto"/>
              <w:right w:val="single" w:sz="4" w:space="0" w:color="auto"/>
            </w:tcBorders>
            <w:shd w:val="clear" w:color="auto" w:fill="auto"/>
            <w:noWrap/>
            <w:vAlign w:val="bottom"/>
            <w:hideMark/>
          </w:tcPr>
          <w:p w14:paraId="67C3735C"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-9.1</w:t>
            </w:r>
          </w:p>
        </w:tc>
      </w:tr>
      <w:tr w:rsidR="00885921" w:rsidRPr="008477BF" w14:paraId="2823EF47"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BE78043"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NSE</w:t>
            </w:r>
          </w:p>
        </w:tc>
        <w:tc>
          <w:tcPr>
            <w:tcW w:w="1920" w:type="dxa"/>
            <w:tcBorders>
              <w:top w:val="nil"/>
              <w:left w:val="nil"/>
              <w:bottom w:val="single" w:sz="4" w:space="0" w:color="auto"/>
              <w:right w:val="single" w:sz="4" w:space="0" w:color="auto"/>
            </w:tcBorders>
            <w:shd w:val="clear" w:color="auto" w:fill="auto"/>
            <w:noWrap/>
            <w:vAlign w:val="center"/>
            <w:hideMark/>
          </w:tcPr>
          <w:p w14:paraId="7B309554"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1,57,30,918</w:t>
            </w:r>
          </w:p>
        </w:tc>
        <w:tc>
          <w:tcPr>
            <w:tcW w:w="1720" w:type="dxa"/>
            <w:tcBorders>
              <w:top w:val="nil"/>
              <w:left w:val="nil"/>
              <w:bottom w:val="single" w:sz="4" w:space="0" w:color="auto"/>
              <w:right w:val="single" w:sz="4" w:space="0" w:color="auto"/>
            </w:tcBorders>
            <w:shd w:val="clear" w:color="auto" w:fill="auto"/>
            <w:noWrap/>
            <w:vAlign w:val="center"/>
            <w:hideMark/>
          </w:tcPr>
          <w:p w14:paraId="11DDB5A0"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1,42,92,302</w:t>
            </w:r>
          </w:p>
        </w:tc>
        <w:tc>
          <w:tcPr>
            <w:tcW w:w="1800" w:type="dxa"/>
            <w:tcBorders>
              <w:top w:val="nil"/>
              <w:left w:val="nil"/>
              <w:bottom w:val="single" w:sz="4" w:space="0" w:color="auto"/>
              <w:right w:val="single" w:sz="4" w:space="0" w:color="auto"/>
            </w:tcBorders>
            <w:shd w:val="clear" w:color="auto" w:fill="auto"/>
            <w:noWrap/>
            <w:vAlign w:val="bottom"/>
            <w:hideMark/>
          </w:tcPr>
          <w:p w14:paraId="018D6337"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-9.1</w:t>
            </w:r>
          </w:p>
        </w:tc>
      </w:tr>
      <w:tr w:rsidR="00885921" w:rsidRPr="008477BF" w14:paraId="47F7214A" w14:textId="77777777" w:rsidTr="00560A50">
        <w:trPr>
          <w:trHeight w:val="315"/>
        </w:trPr>
        <w:tc>
          <w:tcPr>
            <w:tcW w:w="806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59F366A" w14:textId="77777777" w:rsidR="00885921" w:rsidRPr="008477BF" w:rsidRDefault="00885921" w:rsidP="00560A50">
            <w:pPr>
              <w:rPr>
                <w:rFonts w:ascii="Palatino Linotype" w:eastAsia="Times New Roman" w:hAnsi="Palatino Linotype"/>
                <w:b/>
                <w:bCs/>
                <w:color w:val="002060"/>
                <w:sz w:val="20"/>
                <w:szCs w:val="20"/>
                <w:lang w:val="en-US"/>
              </w:rPr>
            </w:pPr>
            <w:r w:rsidRPr="008477BF">
              <w:rPr>
                <w:rFonts w:ascii="Palatino Linotype" w:eastAsia="Times New Roman" w:hAnsi="Palatino Linotype"/>
                <w:b/>
                <w:bCs/>
                <w:color w:val="002060"/>
                <w:sz w:val="20"/>
                <w:szCs w:val="20"/>
                <w:lang w:val="en-US"/>
              </w:rPr>
              <w:t>P/E Ratio</w:t>
            </w:r>
          </w:p>
        </w:tc>
      </w:tr>
      <w:tr w:rsidR="00885921" w:rsidRPr="008477BF" w14:paraId="0AA81840"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EC4EC7C"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Sensex</w:t>
            </w:r>
          </w:p>
        </w:tc>
        <w:tc>
          <w:tcPr>
            <w:tcW w:w="1920" w:type="dxa"/>
            <w:tcBorders>
              <w:top w:val="nil"/>
              <w:left w:val="nil"/>
              <w:bottom w:val="single" w:sz="4" w:space="0" w:color="auto"/>
              <w:right w:val="single" w:sz="4" w:space="0" w:color="auto"/>
            </w:tcBorders>
            <w:shd w:val="clear" w:color="auto" w:fill="auto"/>
            <w:noWrap/>
            <w:vAlign w:val="center"/>
            <w:hideMark/>
          </w:tcPr>
          <w:p w14:paraId="13B1360E"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24.9</w:t>
            </w:r>
          </w:p>
        </w:tc>
        <w:tc>
          <w:tcPr>
            <w:tcW w:w="1720" w:type="dxa"/>
            <w:tcBorders>
              <w:top w:val="nil"/>
              <w:left w:val="nil"/>
              <w:bottom w:val="single" w:sz="4" w:space="0" w:color="auto"/>
              <w:right w:val="single" w:sz="4" w:space="0" w:color="auto"/>
            </w:tcBorders>
            <w:shd w:val="clear" w:color="auto" w:fill="auto"/>
            <w:noWrap/>
            <w:vAlign w:val="center"/>
            <w:hideMark/>
          </w:tcPr>
          <w:p w14:paraId="107364DF"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24.1</w:t>
            </w:r>
          </w:p>
        </w:tc>
        <w:tc>
          <w:tcPr>
            <w:tcW w:w="1800" w:type="dxa"/>
            <w:tcBorders>
              <w:top w:val="nil"/>
              <w:left w:val="nil"/>
              <w:bottom w:val="single" w:sz="4" w:space="0" w:color="auto"/>
              <w:right w:val="single" w:sz="4" w:space="0" w:color="auto"/>
            </w:tcBorders>
            <w:shd w:val="clear" w:color="auto" w:fill="auto"/>
            <w:noWrap/>
            <w:vAlign w:val="bottom"/>
            <w:hideMark/>
          </w:tcPr>
          <w:p w14:paraId="35F171D0"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-3.2</w:t>
            </w:r>
          </w:p>
        </w:tc>
      </w:tr>
      <w:tr w:rsidR="00885921" w:rsidRPr="008477BF" w14:paraId="4EE96EF4"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DB70100"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Nifty 50</w:t>
            </w:r>
          </w:p>
        </w:tc>
        <w:tc>
          <w:tcPr>
            <w:tcW w:w="1920" w:type="dxa"/>
            <w:tcBorders>
              <w:top w:val="nil"/>
              <w:left w:val="nil"/>
              <w:bottom w:val="single" w:sz="4" w:space="0" w:color="auto"/>
              <w:right w:val="single" w:sz="4" w:space="0" w:color="auto"/>
            </w:tcBorders>
            <w:shd w:val="clear" w:color="auto" w:fill="auto"/>
            <w:noWrap/>
            <w:vAlign w:val="center"/>
            <w:hideMark/>
          </w:tcPr>
          <w:p w14:paraId="20AE4E38"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28.4</w:t>
            </w:r>
          </w:p>
        </w:tc>
        <w:tc>
          <w:tcPr>
            <w:tcW w:w="1720" w:type="dxa"/>
            <w:tcBorders>
              <w:top w:val="nil"/>
              <w:left w:val="nil"/>
              <w:bottom w:val="single" w:sz="4" w:space="0" w:color="auto"/>
              <w:right w:val="single" w:sz="4" w:space="0" w:color="auto"/>
            </w:tcBorders>
            <w:shd w:val="clear" w:color="auto" w:fill="auto"/>
            <w:noWrap/>
            <w:vAlign w:val="center"/>
            <w:hideMark/>
          </w:tcPr>
          <w:p w14:paraId="59FB7F80"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26.4</w:t>
            </w:r>
          </w:p>
        </w:tc>
        <w:tc>
          <w:tcPr>
            <w:tcW w:w="1800" w:type="dxa"/>
            <w:tcBorders>
              <w:top w:val="nil"/>
              <w:left w:val="nil"/>
              <w:bottom w:val="single" w:sz="4" w:space="0" w:color="auto"/>
              <w:right w:val="single" w:sz="4" w:space="0" w:color="auto"/>
            </w:tcBorders>
            <w:shd w:val="clear" w:color="auto" w:fill="auto"/>
            <w:noWrap/>
            <w:vAlign w:val="bottom"/>
            <w:hideMark/>
          </w:tcPr>
          <w:p w14:paraId="20574471"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-6.9</w:t>
            </w:r>
          </w:p>
        </w:tc>
      </w:tr>
      <w:tr w:rsidR="00885921" w:rsidRPr="008477BF" w14:paraId="2F4F003A" w14:textId="77777777" w:rsidTr="00560A50">
        <w:trPr>
          <w:trHeight w:val="315"/>
        </w:trPr>
        <w:tc>
          <w:tcPr>
            <w:tcW w:w="806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C52608D" w14:textId="77777777" w:rsidR="00885921" w:rsidRPr="008477BF" w:rsidRDefault="00885921" w:rsidP="00560A50">
            <w:pPr>
              <w:rPr>
                <w:rFonts w:ascii="Palatino Linotype" w:eastAsia="Times New Roman" w:hAnsi="Palatino Linotype"/>
                <w:b/>
                <w:bCs/>
                <w:color w:val="002060"/>
                <w:sz w:val="20"/>
                <w:szCs w:val="20"/>
                <w:lang w:val="en-US"/>
              </w:rPr>
            </w:pPr>
            <w:r w:rsidRPr="008477BF">
              <w:rPr>
                <w:rFonts w:ascii="Palatino Linotype" w:eastAsia="Times New Roman" w:hAnsi="Palatino Linotype"/>
                <w:b/>
                <w:bCs/>
                <w:color w:val="002060"/>
                <w:sz w:val="20"/>
                <w:szCs w:val="20"/>
                <w:lang w:val="en-US"/>
              </w:rPr>
              <w:t>No of Listed Companies</w:t>
            </w:r>
          </w:p>
        </w:tc>
      </w:tr>
      <w:tr w:rsidR="00885921" w:rsidRPr="008477BF" w14:paraId="53DEFBC8"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4C8866B"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 xml:space="preserve">BSE </w:t>
            </w:r>
          </w:p>
        </w:tc>
        <w:tc>
          <w:tcPr>
            <w:tcW w:w="1920" w:type="dxa"/>
            <w:tcBorders>
              <w:top w:val="nil"/>
              <w:left w:val="nil"/>
              <w:bottom w:val="single" w:sz="4" w:space="0" w:color="auto"/>
              <w:right w:val="single" w:sz="4" w:space="0" w:color="auto"/>
            </w:tcBorders>
            <w:shd w:val="clear" w:color="auto" w:fill="auto"/>
            <w:noWrap/>
            <w:vAlign w:val="bottom"/>
            <w:hideMark/>
          </w:tcPr>
          <w:p w14:paraId="1BD96614"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5,233</w:t>
            </w:r>
          </w:p>
        </w:tc>
        <w:tc>
          <w:tcPr>
            <w:tcW w:w="1720" w:type="dxa"/>
            <w:tcBorders>
              <w:top w:val="nil"/>
              <w:left w:val="nil"/>
              <w:bottom w:val="single" w:sz="4" w:space="0" w:color="auto"/>
              <w:right w:val="single" w:sz="4" w:space="0" w:color="auto"/>
            </w:tcBorders>
            <w:shd w:val="clear" w:color="auto" w:fill="auto"/>
            <w:noWrap/>
            <w:vAlign w:val="bottom"/>
            <w:hideMark/>
          </w:tcPr>
          <w:p w14:paraId="7E2DD15F"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5,232</w:t>
            </w:r>
          </w:p>
        </w:tc>
        <w:tc>
          <w:tcPr>
            <w:tcW w:w="1800" w:type="dxa"/>
            <w:tcBorders>
              <w:top w:val="nil"/>
              <w:left w:val="nil"/>
              <w:bottom w:val="single" w:sz="4" w:space="0" w:color="auto"/>
              <w:right w:val="single" w:sz="4" w:space="0" w:color="auto"/>
            </w:tcBorders>
            <w:shd w:val="clear" w:color="auto" w:fill="auto"/>
            <w:noWrap/>
            <w:vAlign w:val="bottom"/>
            <w:hideMark/>
          </w:tcPr>
          <w:p w14:paraId="3EC62DFC"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0.0</w:t>
            </w:r>
          </w:p>
        </w:tc>
      </w:tr>
      <w:tr w:rsidR="00885921" w:rsidRPr="008477BF" w14:paraId="36C393EC"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C6DFC54"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NSE</w:t>
            </w:r>
          </w:p>
        </w:tc>
        <w:tc>
          <w:tcPr>
            <w:tcW w:w="1920" w:type="dxa"/>
            <w:tcBorders>
              <w:top w:val="nil"/>
              <w:left w:val="nil"/>
              <w:bottom w:val="single" w:sz="4" w:space="0" w:color="auto"/>
              <w:right w:val="single" w:sz="4" w:space="0" w:color="auto"/>
            </w:tcBorders>
            <w:shd w:val="clear" w:color="auto" w:fill="auto"/>
            <w:noWrap/>
            <w:vAlign w:val="bottom"/>
            <w:hideMark/>
          </w:tcPr>
          <w:p w14:paraId="1275DFBC"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1,916</w:t>
            </w:r>
          </w:p>
        </w:tc>
        <w:tc>
          <w:tcPr>
            <w:tcW w:w="1720" w:type="dxa"/>
            <w:tcBorders>
              <w:top w:val="nil"/>
              <w:left w:val="nil"/>
              <w:bottom w:val="single" w:sz="4" w:space="0" w:color="auto"/>
              <w:right w:val="single" w:sz="4" w:space="0" w:color="auto"/>
            </w:tcBorders>
            <w:shd w:val="clear" w:color="auto" w:fill="auto"/>
            <w:noWrap/>
            <w:vAlign w:val="bottom"/>
            <w:hideMark/>
          </w:tcPr>
          <w:p w14:paraId="4F14F222"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1,912</w:t>
            </w:r>
          </w:p>
        </w:tc>
        <w:tc>
          <w:tcPr>
            <w:tcW w:w="1800" w:type="dxa"/>
            <w:tcBorders>
              <w:top w:val="nil"/>
              <w:left w:val="nil"/>
              <w:bottom w:val="single" w:sz="4" w:space="0" w:color="auto"/>
              <w:right w:val="single" w:sz="4" w:space="0" w:color="auto"/>
            </w:tcBorders>
            <w:shd w:val="clear" w:color="auto" w:fill="auto"/>
            <w:noWrap/>
            <w:vAlign w:val="bottom"/>
            <w:hideMark/>
          </w:tcPr>
          <w:p w14:paraId="7199DD16"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-0.2</w:t>
            </w:r>
          </w:p>
        </w:tc>
      </w:tr>
      <w:tr w:rsidR="00885921" w:rsidRPr="008477BF" w14:paraId="323152BC" w14:textId="77777777" w:rsidTr="00560A50">
        <w:trPr>
          <w:trHeight w:val="315"/>
        </w:trPr>
        <w:tc>
          <w:tcPr>
            <w:tcW w:w="806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80E9330" w14:textId="77777777" w:rsidR="00885921" w:rsidRPr="008477BF" w:rsidRDefault="00885921" w:rsidP="00560A50">
            <w:pPr>
              <w:rPr>
                <w:rFonts w:ascii="Palatino Linotype" w:eastAsia="Times New Roman" w:hAnsi="Palatino Linotype"/>
                <w:b/>
                <w:bCs/>
                <w:color w:val="002060"/>
                <w:sz w:val="20"/>
                <w:szCs w:val="20"/>
                <w:lang w:val="en-US"/>
              </w:rPr>
            </w:pPr>
            <w:r w:rsidRPr="008477BF">
              <w:rPr>
                <w:rFonts w:ascii="Palatino Linotype" w:eastAsia="Times New Roman" w:hAnsi="Palatino Linotype"/>
                <w:b/>
                <w:bCs/>
                <w:color w:val="002060"/>
                <w:sz w:val="20"/>
                <w:szCs w:val="20"/>
                <w:lang w:val="en-US"/>
              </w:rPr>
              <w:t>Gross Turnover in Equity Segment (</w:t>
            </w:r>
            <w:r w:rsidRPr="008477BF">
              <w:rPr>
                <w:rFonts w:ascii="Rupee Foradian" w:eastAsia="Times New Roman" w:hAnsi="Rupee Foradian"/>
                <w:b/>
                <w:bCs/>
                <w:color w:val="002060"/>
                <w:sz w:val="20"/>
                <w:szCs w:val="20"/>
                <w:lang w:val="en-US"/>
              </w:rPr>
              <w:t>`</w:t>
            </w:r>
            <w:r w:rsidRPr="008477BF">
              <w:rPr>
                <w:rFonts w:ascii="Palatino Linotype" w:eastAsia="Times New Roman" w:hAnsi="Palatino Linotype"/>
                <w:b/>
                <w:bCs/>
                <w:color w:val="002060"/>
                <w:sz w:val="20"/>
                <w:szCs w:val="20"/>
                <w:lang w:val="en-US"/>
              </w:rPr>
              <w:t xml:space="preserve"> crore)</w:t>
            </w:r>
          </w:p>
        </w:tc>
      </w:tr>
      <w:tr w:rsidR="00885921" w:rsidRPr="008477BF" w14:paraId="4824DD20"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93FB5EA"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 xml:space="preserve">BSE </w:t>
            </w:r>
          </w:p>
        </w:tc>
        <w:tc>
          <w:tcPr>
            <w:tcW w:w="1920" w:type="dxa"/>
            <w:tcBorders>
              <w:top w:val="nil"/>
              <w:left w:val="nil"/>
              <w:bottom w:val="single" w:sz="4" w:space="0" w:color="auto"/>
              <w:right w:val="single" w:sz="4" w:space="0" w:color="auto"/>
            </w:tcBorders>
            <w:shd w:val="clear" w:color="auto" w:fill="auto"/>
            <w:noWrap/>
            <w:vAlign w:val="center"/>
            <w:hideMark/>
          </w:tcPr>
          <w:p w14:paraId="0C328DA7"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67,896</w:t>
            </w:r>
          </w:p>
        </w:tc>
        <w:tc>
          <w:tcPr>
            <w:tcW w:w="1720" w:type="dxa"/>
            <w:tcBorders>
              <w:top w:val="nil"/>
              <w:left w:val="nil"/>
              <w:bottom w:val="single" w:sz="4" w:space="0" w:color="auto"/>
              <w:right w:val="single" w:sz="4" w:space="0" w:color="auto"/>
            </w:tcBorders>
            <w:shd w:val="clear" w:color="auto" w:fill="auto"/>
            <w:noWrap/>
            <w:vAlign w:val="center"/>
            <w:hideMark/>
          </w:tcPr>
          <w:p w14:paraId="0A7109A0"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62,477</w:t>
            </w:r>
          </w:p>
        </w:tc>
        <w:tc>
          <w:tcPr>
            <w:tcW w:w="1800" w:type="dxa"/>
            <w:tcBorders>
              <w:top w:val="nil"/>
              <w:left w:val="nil"/>
              <w:bottom w:val="single" w:sz="4" w:space="0" w:color="auto"/>
              <w:right w:val="single" w:sz="4" w:space="0" w:color="auto"/>
            </w:tcBorders>
            <w:shd w:val="clear" w:color="auto" w:fill="auto"/>
            <w:noWrap/>
            <w:vAlign w:val="bottom"/>
            <w:hideMark/>
          </w:tcPr>
          <w:p w14:paraId="2D8AFD51"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-8.0</w:t>
            </w:r>
          </w:p>
        </w:tc>
      </w:tr>
      <w:tr w:rsidR="00885921" w:rsidRPr="008477BF" w14:paraId="061B2F73"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943E027"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NSE</w:t>
            </w:r>
          </w:p>
        </w:tc>
        <w:tc>
          <w:tcPr>
            <w:tcW w:w="1920" w:type="dxa"/>
            <w:tcBorders>
              <w:top w:val="nil"/>
              <w:left w:val="nil"/>
              <w:bottom w:val="single" w:sz="4" w:space="0" w:color="auto"/>
              <w:right w:val="single" w:sz="4" w:space="0" w:color="auto"/>
            </w:tcBorders>
            <w:shd w:val="clear" w:color="auto" w:fill="auto"/>
            <w:noWrap/>
            <w:vAlign w:val="center"/>
            <w:hideMark/>
          </w:tcPr>
          <w:p w14:paraId="4BFB159A"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7,05,869</w:t>
            </w:r>
          </w:p>
        </w:tc>
        <w:tc>
          <w:tcPr>
            <w:tcW w:w="1720" w:type="dxa"/>
            <w:tcBorders>
              <w:top w:val="nil"/>
              <w:left w:val="nil"/>
              <w:bottom w:val="single" w:sz="4" w:space="0" w:color="auto"/>
              <w:right w:val="single" w:sz="4" w:space="0" w:color="auto"/>
            </w:tcBorders>
            <w:shd w:val="clear" w:color="auto" w:fill="auto"/>
            <w:noWrap/>
            <w:vAlign w:val="center"/>
            <w:hideMark/>
          </w:tcPr>
          <w:p w14:paraId="7A78A230"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6,88,319</w:t>
            </w:r>
          </w:p>
        </w:tc>
        <w:tc>
          <w:tcPr>
            <w:tcW w:w="1800" w:type="dxa"/>
            <w:tcBorders>
              <w:top w:val="nil"/>
              <w:left w:val="nil"/>
              <w:bottom w:val="single" w:sz="4" w:space="0" w:color="auto"/>
              <w:right w:val="single" w:sz="4" w:space="0" w:color="auto"/>
            </w:tcBorders>
            <w:shd w:val="clear" w:color="auto" w:fill="auto"/>
            <w:noWrap/>
            <w:vAlign w:val="bottom"/>
            <w:hideMark/>
          </w:tcPr>
          <w:p w14:paraId="00F30533"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-2.5</w:t>
            </w:r>
          </w:p>
        </w:tc>
      </w:tr>
      <w:tr w:rsidR="00885921" w:rsidRPr="008477BF" w14:paraId="56D419C0" w14:textId="77777777" w:rsidTr="00560A50">
        <w:trPr>
          <w:trHeight w:val="405"/>
        </w:trPr>
        <w:tc>
          <w:tcPr>
            <w:tcW w:w="806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BF811EA" w14:textId="77777777" w:rsidR="00885921" w:rsidRPr="008477BF" w:rsidRDefault="00885921" w:rsidP="00560A50">
            <w:pPr>
              <w:rPr>
                <w:rFonts w:ascii="Palatino Linotype" w:eastAsia="Times New Roman" w:hAnsi="Palatino Linotype"/>
                <w:b/>
                <w:bCs/>
                <w:color w:val="002060"/>
                <w:sz w:val="20"/>
                <w:szCs w:val="20"/>
                <w:lang w:val="en-US"/>
              </w:rPr>
            </w:pPr>
            <w:r w:rsidRPr="008477BF">
              <w:rPr>
                <w:rFonts w:ascii="Palatino Linotype" w:eastAsia="Times New Roman" w:hAnsi="Palatino Linotype"/>
                <w:b/>
                <w:bCs/>
                <w:color w:val="002060"/>
                <w:sz w:val="20"/>
                <w:szCs w:val="20"/>
                <w:lang w:val="en-US"/>
              </w:rPr>
              <w:t>Gross Turnover in Equity Derivatives Segment (</w:t>
            </w:r>
            <w:r w:rsidRPr="008477BF">
              <w:rPr>
                <w:rFonts w:ascii="Rupee Foradian" w:eastAsia="Times New Roman" w:hAnsi="Rupee Foradian"/>
                <w:b/>
                <w:bCs/>
                <w:color w:val="002060"/>
                <w:sz w:val="20"/>
                <w:szCs w:val="20"/>
                <w:lang w:val="en-US"/>
              </w:rPr>
              <w:t>`</w:t>
            </w:r>
            <w:r w:rsidRPr="008477BF">
              <w:rPr>
                <w:rFonts w:ascii="Raavi" w:eastAsia="Times New Roman" w:hAnsi="Raavi" w:cs="Raavi"/>
                <w:b/>
                <w:bCs/>
                <w:color w:val="002060"/>
                <w:sz w:val="20"/>
                <w:szCs w:val="20"/>
                <w:lang w:val="en-US"/>
              </w:rPr>
              <w:t xml:space="preserve"> </w:t>
            </w:r>
            <w:r w:rsidRPr="008477BF">
              <w:rPr>
                <w:rFonts w:ascii="Palatino Linotype" w:eastAsia="Times New Roman" w:hAnsi="Palatino Linotype"/>
                <w:b/>
                <w:bCs/>
                <w:color w:val="002060"/>
                <w:sz w:val="20"/>
                <w:szCs w:val="20"/>
                <w:lang w:val="en-US"/>
              </w:rPr>
              <w:t>crore)</w:t>
            </w:r>
          </w:p>
        </w:tc>
      </w:tr>
      <w:tr w:rsidR="00885921" w:rsidRPr="008477BF" w14:paraId="2372EE23"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1ECD03D"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 xml:space="preserve">BSE </w:t>
            </w:r>
          </w:p>
        </w:tc>
        <w:tc>
          <w:tcPr>
            <w:tcW w:w="1920" w:type="dxa"/>
            <w:tcBorders>
              <w:top w:val="nil"/>
              <w:left w:val="nil"/>
              <w:bottom w:val="single" w:sz="4" w:space="0" w:color="auto"/>
              <w:right w:val="single" w:sz="4" w:space="0" w:color="auto"/>
            </w:tcBorders>
            <w:shd w:val="clear" w:color="auto" w:fill="auto"/>
            <w:noWrap/>
            <w:vAlign w:val="center"/>
            <w:hideMark/>
          </w:tcPr>
          <w:p w14:paraId="14FD86CF"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1.01</w:t>
            </w:r>
          </w:p>
        </w:tc>
        <w:tc>
          <w:tcPr>
            <w:tcW w:w="1720" w:type="dxa"/>
            <w:tcBorders>
              <w:top w:val="nil"/>
              <w:left w:val="nil"/>
              <w:bottom w:val="single" w:sz="4" w:space="0" w:color="auto"/>
              <w:right w:val="single" w:sz="4" w:space="0" w:color="auto"/>
            </w:tcBorders>
            <w:shd w:val="clear" w:color="auto" w:fill="auto"/>
            <w:noWrap/>
            <w:vAlign w:val="center"/>
            <w:hideMark/>
          </w:tcPr>
          <w:p w14:paraId="5D297416"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0.93</w:t>
            </w:r>
          </w:p>
        </w:tc>
        <w:tc>
          <w:tcPr>
            <w:tcW w:w="1800" w:type="dxa"/>
            <w:tcBorders>
              <w:top w:val="nil"/>
              <w:left w:val="nil"/>
              <w:bottom w:val="single" w:sz="4" w:space="0" w:color="auto"/>
              <w:right w:val="single" w:sz="4" w:space="0" w:color="auto"/>
            </w:tcBorders>
            <w:shd w:val="clear" w:color="auto" w:fill="auto"/>
            <w:noWrap/>
            <w:vAlign w:val="bottom"/>
            <w:hideMark/>
          </w:tcPr>
          <w:p w14:paraId="1A57555F"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-7.1</w:t>
            </w:r>
          </w:p>
        </w:tc>
      </w:tr>
      <w:tr w:rsidR="00885921" w:rsidRPr="008477BF" w14:paraId="4C7AE5D5"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B267947"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NSE</w:t>
            </w:r>
          </w:p>
        </w:tc>
        <w:tc>
          <w:tcPr>
            <w:tcW w:w="1920" w:type="dxa"/>
            <w:tcBorders>
              <w:top w:val="nil"/>
              <w:left w:val="nil"/>
              <w:bottom w:val="single" w:sz="4" w:space="0" w:color="auto"/>
              <w:right w:val="single" w:sz="4" w:space="0" w:color="auto"/>
            </w:tcBorders>
            <w:shd w:val="clear" w:color="auto" w:fill="auto"/>
            <w:noWrap/>
            <w:vAlign w:val="center"/>
            <w:hideMark/>
          </w:tcPr>
          <w:p w14:paraId="5E0753FC"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2,00,46,132</w:t>
            </w:r>
          </w:p>
        </w:tc>
        <w:tc>
          <w:tcPr>
            <w:tcW w:w="1720" w:type="dxa"/>
            <w:tcBorders>
              <w:top w:val="nil"/>
              <w:left w:val="nil"/>
              <w:bottom w:val="single" w:sz="4" w:space="0" w:color="auto"/>
              <w:right w:val="single" w:sz="4" w:space="0" w:color="auto"/>
            </w:tcBorders>
            <w:shd w:val="clear" w:color="auto" w:fill="auto"/>
            <w:noWrap/>
            <w:vAlign w:val="center"/>
            <w:hideMark/>
          </w:tcPr>
          <w:p w14:paraId="5A2DD76B"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2,24,58,641</w:t>
            </w:r>
          </w:p>
        </w:tc>
        <w:tc>
          <w:tcPr>
            <w:tcW w:w="1800" w:type="dxa"/>
            <w:tcBorders>
              <w:top w:val="nil"/>
              <w:left w:val="nil"/>
              <w:bottom w:val="single" w:sz="4" w:space="0" w:color="auto"/>
              <w:right w:val="single" w:sz="4" w:space="0" w:color="auto"/>
            </w:tcBorders>
            <w:shd w:val="clear" w:color="auto" w:fill="auto"/>
            <w:noWrap/>
            <w:vAlign w:val="bottom"/>
            <w:hideMark/>
          </w:tcPr>
          <w:p w14:paraId="2BADFACA"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12.0</w:t>
            </w:r>
          </w:p>
        </w:tc>
      </w:tr>
      <w:tr w:rsidR="00885921" w:rsidRPr="008477BF" w14:paraId="432B283F" w14:textId="77777777" w:rsidTr="00560A50">
        <w:trPr>
          <w:trHeight w:val="315"/>
        </w:trPr>
        <w:tc>
          <w:tcPr>
            <w:tcW w:w="806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1CFFD0A" w14:textId="77777777" w:rsidR="00885921" w:rsidRPr="008477BF" w:rsidRDefault="00885921" w:rsidP="00560A50">
            <w:pPr>
              <w:rPr>
                <w:rFonts w:ascii="Palatino Linotype" w:eastAsia="Times New Roman" w:hAnsi="Palatino Linotype"/>
                <w:b/>
                <w:bCs/>
                <w:color w:val="002060"/>
                <w:sz w:val="20"/>
                <w:szCs w:val="20"/>
                <w:lang w:val="en-US"/>
              </w:rPr>
            </w:pPr>
            <w:r w:rsidRPr="008477BF">
              <w:rPr>
                <w:rFonts w:ascii="Palatino Linotype" w:eastAsia="Times New Roman" w:hAnsi="Palatino Linotype"/>
                <w:b/>
                <w:bCs/>
                <w:color w:val="002060"/>
                <w:sz w:val="20"/>
                <w:szCs w:val="20"/>
                <w:lang w:val="en-US"/>
              </w:rPr>
              <w:t>Gross Turnover in Currency Derivatives Segment (</w:t>
            </w:r>
            <w:r w:rsidRPr="008477BF">
              <w:rPr>
                <w:rFonts w:ascii="Rupee Foradian" w:eastAsia="Times New Roman" w:hAnsi="Rupee Foradian"/>
                <w:b/>
                <w:bCs/>
                <w:color w:val="002060"/>
                <w:sz w:val="20"/>
                <w:szCs w:val="20"/>
                <w:lang w:val="en-US"/>
              </w:rPr>
              <w:t>`</w:t>
            </w:r>
            <w:r w:rsidRPr="008477BF">
              <w:rPr>
                <w:rFonts w:ascii="Palatino Linotype" w:eastAsia="Times New Roman" w:hAnsi="Palatino Linotype"/>
                <w:b/>
                <w:bCs/>
                <w:color w:val="002060"/>
                <w:sz w:val="20"/>
                <w:szCs w:val="20"/>
                <w:lang w:val="en-US"/>
              </w:rPr>
              <w:t xml:space="preserve"> crore)</w:t>
            </w:r>
          </w:p>
        </w:tc>
      </w:tr>
      <w:tr w:rsidR="00885921" w:rsidRPr="008477BF" w14:paraId="3CA7E1C5"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9B3DAE4"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 xml:space="preserve">BSE </w:t>
            </w:r>
          </w:p>
        </w:tc>
        <w:tc>
          <w:tcPr>
            <w:tcW w:w="1920" w:type="dxa"/>
            <w:tcBorders>
              <w:top w:val="nil"/>
              <w:left w:val="nil"/>
              <w:bottom w:val="single" w:sz="4" w:space="0" w:color="auto"/>
              <w:right w:val="single" w:sz="4" w:space="0" w:color="auto"/>
            </w:tcBorders>
            <w:shd w:val="clear" w:color="auto" w:fill="auto"/>
            <w:noWrap/>
            <w:vAlign w:val="center"/>
            <w:hideMark/>
          </w:tcPr>
          <w:p w14:paraId="33E14D26"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7,08,157</w:t>
            </w:r>
          </w:p>
        </w:tc>
        <w:tc>
          <w:tcPr>
            <w:tcW w:w="1720" w:type="dxa"/>
            <w:tcBorders>
              <w:top w:val="nil"/>
              <w:left w:val="nil"/>
              <w:bottom w:val="single" w:sz="4" w:space="0" w:color="auto"/>
              <w:right w:val="single" w:sz="4" w:space="0" w:color="auto"/>
            </w:tcBorders>
            <w:shd w:val="clear" w:color="auto" w:fill="auto"/>
            <w:noWrap/>
            <w:vAlign w:val="center"/>
            <w:hideMark/>
          </w:tcPr>
          <w:p w14:paraId="655968FE"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6,80,050</w:t>
            </w:r>
          </w:p>
        </w:tc>
        <w:tc>
          <w:tcPr>
            <w:tcW w:w="1800" w:type="dxa"/>
            <w:tcBorders>
              <w:top w:val="nil"/>
              <w:left w:val="nil"/>
              <w:bottom w:val="single" w:sz="4" w:space="0" w:color="auto"/>
              <w:right w:val="single" w:sz="4" w:space="0" w:color="auto"/>
            </w:tcBorders>
            <w:shd w:val="clear" w:color="auto" w:fill="auto"/>
            <w:noWrap/>
            <w:vAlign w:val="bottom"/>
            <w:hideMark/>
          </w:tcPr>
          <w:p w14:paraId="321DCF56"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-4.0</w:t>
            </w:r>
          </w:p>
        </w:tc>
      </w:tr>
      <w:tr w:rsidR="00885921" w:rsidRPr="008477BF" w14:paraId="581EB951"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F8D2001"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NSE</w:t>
            </w:r>
          </w:p>
        </w:tc>
        <w:tc>
          <w:tcPr>
            <w:tcW w:w="1920" w:type="dxa"/>
            <w:tcBorders>
              <w:top w:val="nil"/>
              <w:left w:val="nil"/>
              <w:bottom w:val="single" w:sz="4" w:space="0" w:color="auto"/>
              <w:right w:val="single" w:sz="4" w:space="0" w:color="auto"/>
            </w:tcBorders>
            <w:shd w:val="clear" w:color="auto" w:fill="auto"/>
            <w:noWrap/>
            <w:vAlign w:val="center"/>
            <w:hideMark/>
          </w:tcPr>
          <w:p w14:paraId="34118D3F"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7,48,882</w:t>
            </w:r>
          </w:p>
        </w:tc>
        <w:tc>
          <w:tcPr>
            <w:tcW w:w="1720" w:type="dxa"/>
            <w:tcBorders>
              <w:top w:val="nil"/>
              <w:left w:val="nil"/>
              <w:bottom w:val="single" w:sz="4" w:space="0" w:color="auto"/>
              <w:right w:val="single" w:sz="4" w:space="0" w:color="auto"/>
            </w:tcBorders>
            <w:shd w:val="clear" w:color="auto" w:fill="auto"/>
            <w:noWrap/>
            <w:vAlign w:val="center"/>
            <w:hideMark/>
          </w:tcPr>
          <w:p w14:paraId="20647D49"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9,59,941</w:t>
            </w:r>
          </w:p>
        </w:tc>
        <w:tc>
          <w:tcPr>
            <w:tcW w:w="1800" w:type="dxa"/>
            <w:tcBorders>
              <w:top w:val="nil"/>
              <w:left w:val="nil"/>
              <w:bottom w:val="single" w:sz="4" w:space="0" w:color="auto"/>
              <w:right w:val="single" w:sz="4" w:space="0" w:color="auto"/>
            </w:tcBorders>
            <w:shd w:val="clear" w:color="auto" w:fill="auto"/>
            <w:noWrap/>
            <w:vAlign w:val="bottom"/>
            <w:hideMark/>
          </w:tcPr>
          <w:p w14:paraId="4A27135D"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28.2</w:t>
            </w:r>
          </w:p>
        </w:tc>
      </w:tr>
      <w:tr w:rsidR="00885921" w:rsidRPr="008477BF" w14:paraId="76914A46"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DB82CCC"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MSEI</w:t>
            </w:r>
          </w:p>
        </w:tc>
        <w:tc>
          <w:tcPr>
            <w:tcW w:w="1920" w:type="dxa"/>
            <w:tcBorders>
              <w:top w:val="nil"/>
              <w:left w:val="nil"/>
              <w:bottom w:val="single" w:sz="4" w:space="0" w:color="auto"/>
              <w:right w:val="single" w:sz="4" w:space="0" w:color="auto"/>
            </w:tcBorders>
            <w:shd w:val="clear" w:color="auto" w:fill="auto"/>
            <w:noWrap/>
            <w:vAlign w:val="center"/>
            <w:hideMark/>
          </w:tcPr>
          <w:p w14:paraId="0D9B55D2"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3,767</w:t>
            </w:r>
          </w:p>
        </w:tc>
        <w:tc>
          <w:tcPr>
            <w:tcW w:w="1720" w:type="dxa"/>
            <w:tcBorders>
              <w:top w:val="nil"/>
              <w:left w:val="nil"/>
              <w:bottom w:val="single" w:sz="4" w:space="0" w:color="auto"/>
              <w:right w:val="single" w:sz="4" w:space="0" w:color="auto"/>
            </w:tcBorders>
            <w:shd w:val="clear" w:color="auto" w:fill="auto"/>
            <w:noWrap/>
            <w:vAlign w:val="center"/>
            <w:hideMark/>
          </w:tcPr>
          <w:p w14:paraId="1B380640"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3,991</w:t>
            </w:r>
          </w:p>
        </w:tc>
        <w:tc>
          <w:tcPr>
            <w:tcW w:w="1800" w:type="dxa"/>
            <w:tcBorders>
              <w:top w:val="nil"/>
              <w:left w:val="nil"/>
              <w:bottom w:val="single" w:sz="4" w:space="0" w:color="auto"/>
              <w:right w:val="single" w:sz="4" w:space="0" w:color="auto"/>
            </w:tcBorders>
            <w:shd w:val="clear" w:color="auto" w:fill="auto"/>
            <w:noWrap/>
            <w:vAlign w:val="bottom"/>
            <w:hideMark/>
          </w:tcPr>
          <w:p w14:paraId="4F547820"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6.0</w:t>
            </w:r>
          </w:p>
        </w:tc>
      </w:tr>
      <w:tr w:rsidR="00885921" w:rsidRPr="008477BF" w14:paraId="001065B1" w14:textId="77777777" w:rsidTr="00560A50">
        <w:trPr>
          <w:trHeight w:val="315"/>
        </w:trPr>
        <w:tc>
          <w:tcPr>
            <w:tcW w:w="806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EDB59CA" w14:textId="77777777" w:rsidR="00885921" w:rsidRPr="008477BF" w:rsidRDefault="00885921" w:rsidP="00560A50">
            <w:pPr>
              <w:rPr>
                <w:rFonts w:ascii="Palatino Linotype" w:eastAsia="Times New Roman" w:hAnsi="Palatino Linotype"/>
                <w:b/>
                <w:bCs/>
                <w:color w:val="002060"/>
                <w:sz w:val="20"/>
                <w:szCs w:val="20"/>
                <w:lang w:val="en-US"/>
              </w:rPr>
            </w:pPr>
            <w:r w:rsidRPr="008477BF">
              <w:rPr>
                <w:rFonts w:ascii="Palatino Linotype" w:eastAsia="Times New Roman" w:hAnsi="Palatino Linotype"/>
                <w:b/>
                <w:bCs/>
                <w:color w:val="002060"/>
                <w:sz w:val="20"/>
                <w:szCs w:val="20"/>
                <w:lang w:val="en-US"/>
              </w:rPr>
              <w:t>Gross Turnover in Interest Rate Derivatives Segment (</w:t>
            </w:r>
            <w:r w:rsidRPr="008477BF">
              <w:rPr>
                <w:rFonts w:ascii="Rupee Foradian" w:eastAsia="Times New Roman" w:hAnsi="Rupee Foradian"/>
                <w:b/>
                <w:bCs/>
                <w:color w:val="002060"/>
                <w:sz w:val="20"/>
                <w:szCs w:val="20"/>
                <w:lang w:val="en-US"/>
              </w:rPr>
              <w:t>`</w:t>
            </w:r>
            <w:r w:rsidRPr="008477BF">
              <w:rPr>
                <w:rFonts w:ascii="Palatino Linotype" w:eastAsia="Times New Roman" w:hAnsi="Palatino Linotype"/>
                <w:b/>
                <w:bCs/>
                <w:color w:val="002060"/>
                <w:sz w:val="20"/>
                <w:szCs w:val="20"/>
                <w:lang w:val="en-US"/>
              </w:rPr>
              <w:t xml:space="preserve"> crore)</w:t>
            </w:r>
          </w:p>
        </w:tc>
      </w:tr>
      <w:tr w:rsidR="00885921" w:rsidRPr="008477BF" w14:paraId="1DD0E088"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019D979"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 xml:space="preserve">BSE </w:t>
            </w:r>
          </w:p>
        </w:tc>
        <w:tc>
          <w:tcPr>
            <w:tcW w:w="1920" w:type="dxa"/>
            <w:tcBorders>
              <w:top w:val="nil"/>
              <w:left w:val="nil"/>
              <w:bottom w:val="single" w:sz="4" w:space="0" w:color="auto"/>
              <w:right w:val="single" w:sz="4" w:space="0" w:color="auto"/>
            </w:tcBorders>
            <w:shd w:val="clear" w:color="auto" w:fill="auto"/>
            <w:noWrap/>
            <w:vAlign w:val="center"/>
            <w:hideMark/>
          </w:tcPr>
          <w:p w14:paraId="4AB8A3D7"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10,592</w:t>
            </w:r>
          </w:p>
        </w:tc>
        <w:tc>
          <w:tcPr>
            <w:tcW w:w="1720" w:type="dxa"/>
            <w:tcBorders>
              <w:top w:val="nil"/>
              <w:left w:val="nil"/>
              <w:bottom w:val="single" w:sz="4" w:space="0" w:color="auto"/>
              <w:right w:val="single" w:sz="4" w:space="0" w:color="auto"/>
            </w:tcBorders>
            <w:shd w:val="clear" w:color="auto" w:fill="auto"/>
            <w:noWrap/>
            <w:vAlign w:val="center"/>
            <w:hideMark/>
          </w:tcPr>
          <w:p w14:paraId="28724F09" w14:textId="29A9A168" w:rsidR="00885921" w:rsidRPr="008477BF" w:rsidRDefault="00885921" w:rsidP="00C814A1">
            <w:pPr>
              <w:jc w:val="right"/>
              <w:rPr>
                <w:rFonts w:ascii="Palatino Linotype" w:eastAsia="Times New Roman" w:hAnsi="Palatino Linotype"/>
                <w:sz w:val="20"/>
                <w:szCs w:val="20"/>
                <w:lang w:val="en-US"/>
              </w:rPr>
            </w:pPr>
            <w:r>
              <w:rPr>
                <w:rFonts w:ascii="Palatino Linotype" w:eastAsia="Times New Roman" w:hAnsi="Palatino Linotype"/>
                <w:sz w:val="20"/>
                <w:szCs w:val="20"/>
                <w:lang w:val="en-US"/>
              </w:rPr>
              <w:t>7</w:t>
            </w:r>
            <w:r w:rsidR="00C814A1">
              <w:rPr>
                <w:rFonts w:ascii="Palatino Linotype" w:eastAsia="Times New Roman" w:hAnsi="Palatino Linotype"/>
                <w:sz w:val="20"/>
                <w:szCs w:val="20"/>
                <w:lang w:val="en-US"/>
              </w:rPr>
              <w:t>,</w:t>
            </w:r>
            <w:r>
              <w:rPr>
                <w:rFonts w:ascii="Palatino Linotype" w:eastAsia="Times New Roman" w:hAnsi="Palatino Linotype"/>
                <w:sz w:val="20"/>
                <w:szCs w:val="20"/>
                <w:lang w:val="en-US"/>
              </w:rPr>
              <w:t>489</w:t>
            </w:r>
          </w:p>
        </w:tc>
        <w:tc>
          <w:tcPr>
            <w:tcW w:w="1800" w:type="dxa"/>
            <w:tcBorders>
              <w:top w:val="nil"/>
              <w:left w:val="nil"/>
              <w:bottom w:val="single" w:sz="4" w:space="0" w:color="auto"/>
              <w:right w:val="single" w:sz="4" w:space="0" w:color="auto"/>
            </w:tcBorders>
            <w:shd w:val="clear" w:color="auto" w:fill="auto"/>
            <w:noWrap/>
            <w:vAlign w:val="bottom"/>
            <w:hideMark/>
          </w:tcPr>
          <w:p w14:paraId="444ECB0F" w14:textId="5C15DE1C" w:rsidR="00885921" w:rsidRPr="008477BF" w:rsidRDefault="00C814A1" w:rsidP="00560A50">
            <w:pPr>
              <w:jc w:val="right"/>
              <w:rPr>
                <w:rFonts w:ascii="Palatino Linotype" w:eastAsia="Times New Roman" w:hAnsi="Palatino Linotype"/>
                <w:color w:val="000000"/>
                <w:sz w:val="20"/>
                <w:szCs w:val="20"/>
                <w:lang w:val="en-US"/>
              </w:rPr>
            </w:pPr>
            <w:r>
              <w:rPr>
                <w:rFonts w:ascii="Palatino Linotype" w:eastAsia="Times New Roman" w:hAnsi="Palatino Linotype"/>
                <w:color w:val="000000"/>
                <w:sz w:val="20"/>
                <w:szCs w:val="20"/>
                <w:lang w:val="en-US"/>
              </w:rPr>
              <w:t>-29.3</w:t>
            </w:r>
          </w:p>
        </w:tc>
      </w:tr>
      <w:tr w:rsidR="00885921" w:rsidRPr="008477BF" w14:paraId="2D0DB31D" w14:textId="77777777" w:rsidTr="00560A50">
        <w:trPr>
          <w:trHeight w:val="31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1429253" w14:textId="77777777" w:rsidR="00885921" w:rsidRPr="008477BF" w:rsidRDefault="00885921" w:rsidP="00560A50">
            <w:pPr>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NSE</w:t>
            </w:r>
          </w:p>
        </w:tc>
        <w:tc>
          <w:tcPr>
            <w:tcW w:w="1920" w:type="dxa"/>
            <w:tcBorders>
              <w:top w:val="nil"/>
              <w:left w:val="nil"/>
              <w:bottom w:val="single" w:sz="4" w:space="0" w:color="auto"/>
              <w:right w:val="single" w:sz="4" w:space="0" w:color="auto"/>
            </w:tcBorders>
            <w:shd w:val="clear" w:color="auto" w:fill="auto"/>
            <w:noWrap/>
            <w:vAlign w:val="center"/>
            <w:hideMark/>
          </w:tcPr>
          <w:p w14:paraId="21F480F3"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18,423</w:t>
            </w:r>
          </w:p>
        </w:tc>
        <w:tc>
          <w:tcPr>
            <w:tcW w:w="1720" w:type="dxa"/>
            <w:tcBorders>
              <w:top w:val="nil"/>
              <w:left w:val="nil"/>
              <w:bottom w:val="single" w:sz="4" w:space="0" w:color="auto"/>
              <w:right w:val="single" w:sz="4" w:space="0" w:color="auto"/>
            </w:tcBorders>
            <w:shd w:val="clear" w:color="auto" w:fill="auto"/>
            <w:noWrap/>
            <w:vAlign w:val="center"/>
            <w:hideMark/>
          </w:tcPr>
          <w:p w14:paraId="3C03BB6D" w14:textId="77777777" w:rsidR="00885921" w:rsidRPr="008477BF" w:rsidRDefault="00885921" w:rsidP="00560A50">
            <w:pPr>
              <w:jc w:val="right"/>
              <w:rPr>
                <w:rFonts w:ascii="Palatino Linotype" w:eastAsia="Times New Roman" w:hAnsi="Palatino Linotype"/>
                <w:sz w:val="20"/>
                <w:szCs w:val="20"/>
                <w:lang w:val="en-US"/>
              </w:rPr>
            </w:pPr>
            <w:r w:rsidRPr="008477BF">
              <w:rPr>
                <w:rFonts w:ascii="Palatino Linotype" w:eastAsia="Times New Roman" w:hAnsi="Palatino Linotype"/>
                <w:sz w:val="20"/>
                <w:szCs w:val="20"/>
                <w:lang w:val="en-US"/>
              </w:rPr>
              <w:t>19,346</w:t>
            </w:r>
          </w:p>
        </w:tc>
        <w:tc>
          <w:tcPr>
            <w:tcW w:w="1800" w:type="dxa"/>
            <w:tcBorders>
              <w:top w:val="nil"/>
              <w:left w:val="nil"/>
              <w:bottom w:val="single" w:sz="4" w:space="0" w:color="auto"/>
              <w:right w:val="single" w:sz="4" w:space="0" w:color="auto"/>
            </w:tcBorders>
            <w:shd w:val="clear" w:color="auto" w:fill="auto"/>
            <w:noWrap/>
            <w:vAlign w:val="bottom"/>
            <w:hideMark/>
          </w:tcPr>
          <w:p w14:paraId="763A1392" w14:textId="77777777" w:rsidR="00885921" w:rsidRPr="008477BF" w:rsidRDefault="00885921" w:rsidP="00560A50">
            <w:pPr>
              <w:jc w:val="right"/>
              <w:rPr>
                <w:rFonts w:ascii="Palatino Linotype" w:eastAsia="Times New Roman" w:hAnsi="Palatino Linotype"/>
                <w:color w:val="000000"/>
                <w:sz w:val="20"/>
                <w:szCs w:val="20"/>
                <w:lang w:val="en-US"/>
              </w:rPr>
            </w:pPr>
            <w:r w:rsidRPr="008477BF">
              <w:rPr>
                <w:rFonts w:ascii="Palatino Linotype" w:eastAsia="Times New Roman" w:hAnsi="Palatino Linotype"/>
                <w:color w:val="000000"/>
                <w:sz w:val="20"/>
                <w:szCs w:val="20"/>
                <w:lang w:val="en-US"/>
              </w:rPr>
              <w:t>5.0</w:t>
            </w:r>
          </w:p>
        </w:tc>
      </w:tr>
    </w:tbl>
    <w:p w14:paraId="019D28BF" w14:textId="77777777" w:rsidR="00885921" w:rsidRDefault="00885921" w:rsidP="00885921">
      <w:pPr>
        <w:jc w:val="both"/>
        <w:rPr>
          <w:rFonts w:ascii="Palatino Linotype" w:eastAsia="Times New Roman" w:hAnsi="Palatino Linotype"/>
          <w:b/>
          <w:sz w:val="18"/>
          <w:szCs w:val="18"/>
        </w:rPr>
      </w:pPr>
      <w:r w:rsidRPr="0049180F">
        <w:rPr>
          <w:rFonts w:ascii="Palatino Linotype" w:eastAsia="Times New Roman" w:hAnsi="Palatino Linotype"/>
          <w:b/>
          <w:sz w:val="18"/>
          <w:szCs w:val="18"/>
        </w:rPr>
        <w:t xml:space="preserve">Source: NSE, BSE </w:t>
      </w:r>
      <w:r>
        <w:rPr>
          <w:rFonts w:ascii="Palatino Linotype" w:eastAsia="Times New Roman" w:hAnsi="Palatino Linotype"/>
          <w:b/>
          <w:sz w:val="18"/>
          <w:szCs w:val="18"/>
        </w:rPr>
        <w:t>and</w:t>
      </w:r>
      <w:r w:rsidRPr="0049180F">
        <w:rPr>
          <w:rFonts w:ascii="Palatino Linotype" w:eastAsia="Times New Roman" w:hAnsi="Palatino Linotype"/>
          <w:b/>
          <w:sz w:val="18"/>
          <w:szCs w:val="18"/>
        </w:rPr>
        <w:t xml:space="preserve"> MSEI</w:t>
      </w:r>
    </w:p>
    <w:p w14:paraId="0530C643" w14:textId="77777777" w:rsidR="00885921" w:rsidRPr="0049180F" w:rsidRDefault="00885921" w:rsidP="00885921">
      <w:pPr>
        <w:jc w:val="both"/>
        <w:rPr>
          <w:rFonts w:ascii="Palatino Linotype" w:eastAsia="Times New Roman" w:hAnsi="Palatino Linotype"/>
          <w:b/>
          <w:sz w:val="18"/>
          <w:szCs w:val="18"/>
        </w:rPr>
      </w:pPr>
    </w:p>
    <w:p w14:paraId="3B32A586" w14:textId="77777777" w:rsidR="00885921" w:rsidRDefault="00885921" w:rsidP="00885921">
      <w:pPr>
        <w:jc w:val="both"/>
        <w:rPr>
          <w:rFonts w:ascii="Palatino Linotype" w:eastAsia="Times New Roman" w:hAnsi="Palatino Linotype"/>
          <w:sz w:val="22"/>
          <w:szCs w:val="22"/>
        </w:rPr>
      </w:pPr>
      <w:r>
        <w:rPr>
          <w:rFonts w:ascii="Palatino Linotype" w:eastAsia="Times New Roman" w:hAnsi="Palatino Linotype"/>
          <w:sz w:val="22"/>
          <w:szCs w:val="22"/>
        </w:rPr>
        <w:t>The</w:t>
      </w:r>
      <w:r w:rsidRPr="002E3090">
        <w:rPr>
          <w:rFonts w:ascii="Palatino Linotype" w:eastAsia="Times New Roman" w:hAnsi="Palatino Linotype"/>
          <w:sz w:val="22"/>
          <w:szCs w:val="22"/>
        </w:rPr>
        <w:t xml:space="preserve"> Indian stock markets </w:t>
      </w:r>
      <w:r>
        <w:rPr>
          <w:rFonts w:ascii="Palatino Linotype" w:eastAsia="Times New Roman" w:hAnsi="Palatino Linotype"/>
          <w:sz w:val="22"/>
          <w:szCs w:val="22"/>
        </w:rPr>
        <w:t xml:space="preserve">took a sharp turn downwards during the month of September 2018 and consequently ended in the red for September 28, 2018. The benchmark indices, viz., </w:t>
      </w:r>
      <w:r w:rsidRPr="002E3090">
        <w:rPr>
          <w:rFonts w:ascii="Palatino Linotype" w:eastAsia="Times New Roman" w:hAnsi="Palatino Linotype"/>
          <w:sz w:val="22"/>
          <w:szCs w:val="22"/>
        </w:rPr>
        <w:t>S&amp;P BSE Sensex</w:t>
      </w:r>
      <w:r>
        <w:rPr>
          <w:rFonts w:ascii="Palatino Linotype" w:eastAsia="Times New Roman" w:hAnsi="Palatino Linotype"/>
          <w:sz w:val="22"/>
          <w:szCs w:val="22"/>
        </w:rPr>
        <w:t xml:space="preserve"> and Nifty 50 lost about 6 per cent each in September 2018. </w:t>
      </w:r>
      <w:r w:rsidRPr="002E3090">
        <w:rPr>
          <w:rFonts w:ascii="Palatino Linotype" w:eastAsia="Times New Roman" w:hAnsi="Palatino Linotype"/>
          <w:sz w:val="22"/>
          <w:szCs w:val="22"/>
        </w:rPr>
        <w:t xml:space="preserve"> </w:t>
      </w:r>
      <w:r>
        <w:rPr>
          <w:rFonts w:ascii="Palatino Linotype" w:eastAsia="Times New Roman" w:hAnsi="Palatino Linotype"/>
          <w:sz w:val="22"/>
          <w:szCs w:val="22"/>
        </w:rPr>
        <w:t>The Nifty 50</w:t>
      </w:r>
      <w:r w:rsidRPr="002E3090">
        <w:rPr>
          <w:rFonts w:ascii="Palatino Linotype" w:eastAsia="Times New Roman" w:hAnsi="Palatino Linotype"/>
          <w:sz w:val="22"/>
          <w:szCs w:val="22"/>
        </w:rPr>
        <w:t xml:space="preserve"> closed at </w:t>
      </w:r>
      <w:r>
        <w:rPr>
          <w:rFonts w:ascii="Palatino Linotype" w:eastAsia="Times New Roman" w:hAnsi="Palatino Linotype"/>
          <w:color w:val="000000"/>
          <w:sz w:val="22"/>
          <w:szCs w:val="22"/>
          <w:lang w:val="en-US"/>
        </w:rPr>
        <w:t>10,930</w:t>
      </w:r>
      <w:r w:rsidRPr="002E3090">
        <w:rPr>
          <w:rFonts w:ascii="Palatino Linotype" w:eastAsia="Times New Roman" w:hAnsi="Palatino Linotype"/>
          <w:sz w:val="22"/>
          <w:szCs w:val="22"/>
        </w:rPr>
        <w:t xml:space="preserve"> </w:t>
      </w:r>
      <w:r>
        <w:rPr>
          <w:rFonts w:ascii="Palatino Linotype" w:eastAsia="Times New Roman" w:hAnsi="Palatino Linotype"/>
          <w:sz w:val="22"/>
          <w:szCs w:val="22"/>
        </w:rPr>
        <w:t>while the Sensex closed at 36,227 on September 28, 2018. The decline of India’s equity benchmark indices turned out to be their</w:t>
      </w:r>
      <w:r w:rsidRPr="00A6169A">
        <w:rPr>
          <w:rFonts w:ascii="Palatino Linotype" w:eastAsia="Times New Roman" w:hAnsi="Palatino Linotype"/>
          <w:sz w:val="22"/>
          <w:szCs w:val="22"/>
        </w:rPr>
        <w:t xml:space="preserve"> worst monthly performance since February</w:t>
      </w:r>
      <w:r>
        <w:rPr>
          <w:rFonts w:ascii="Palatino Linotype" w:eastAsia="Times New Roman" w:hAnsi="Palatino Linotype"/>
          <w:sz w:val="22"/>
          <w:szCs w:val="22"/>
        </w:rPr>
        <w:t xml:space="preserve"> </w:t>
      </w:r>
      <w:r w:rsidRPr="00A6169A">
        <w:rPr>
          <w:rFonts w:ascii="Palatino Linotype" w:eastAsia="Times New Roman" w:hAnsi="Palatino Linotype"/>
          <w:sz w:val="22"/>
          <w:szCs w:val="22"/>
        </w:rPr>
        <w:t>2016, as fears for exports in a w</w:t>
      </w:r>
      <w:r>
        <w:rPr>
          <w:rFonts w:ascii="Palatino Linotype" w:eastAsia="Times New Roman" w:hAnsi="Palatino Linotype"/>
          <w:sz w:val="22"/>
          <w:szCs w:val="22"/>
        </w:rPr>
        <w:t xml:space="preserve">orsening environment for global </w:t>
      </w:r>
      <w:r w:rsidRPr="00A6169A">
        <w:rPr>
          <w:rFonts w:ascii="Palatino Linotype" w:eastAsia="Times New Roman" w:hAnsi="Palatino Linotype"/>
          <w:sz w:val="22"/>
          <w:szCs w:val="22"/>
        </w:rPr>
        <w:t xml:space="preserve">trade weighed on the benchmark. </w:t>
      </w:r>
      <w:r w:rsidRPr="009A045C">
        <w:rPr>
          <w:rFonts w:ascii="Palatino Linotype" w:eastAsia="Times New Roman" w:hAnsi="Palatino Linotype"/>
          <w:sz w:val="22"/>
          <w:szCs w:val="22"/>
        </w:rPr>
        <w:t>However, further decline was prevented owing to buying interest in shares</w:t>
      </w:r>
      <w:r>
        <w:rPr>
          <w:rFonts w:ascii="Palatino Linotype" w:eastAsia="Times New Roman" w:hAnsi="Palatino Linotype"/>
          <w:sz w:val="22"/>
          <w:szCs w:val="22"/>
        </w:rPr>
        <w:t xml:space="preserve"> </w:t>
      </w:r>
      <w:r w:rsidRPr="009A045C">
        <w:rPr>
          <w:rFonts w:ascii="Palatino Linotype" w:eastAsia="Times New Roman" w:hAnsi="Palatino Linotype"/>
          <w:sz w:val="22"/>
          <w:szCs w:val="22"/>
        </w:rPr>
        <w:t>of information technology (IT) firms. S</w:t>
      </w:r>
      <w:r>
        <w:rPr>
          <w:rFonts w:ascii="Palatino Linotype" w:eastAsia="Times New Roman" w:hAnsi="Palatino Linotype"/>
          <w:sz w:val="22"/>
          <w:szCs w:val="22"/>
        </w:rPr>
        <w:t xml:space="preserve">&amp;P BSE IT and Nifty IT were the only sectoral gainers in the current month. </w:t>
      </w:r>
    </w:p>
    <w:p w14:paraId="2104D8F6" w14:textId="77777777" w:rsidR="00885921" w:rsidRDefault="00885921" w:rsidP="00885921">
      <w:pPr>
        <w:jc w:val="both"/>
        <w:rPr>
          <w:rFonts w:ascii="Palatino Linotype" w:eastAsia="Times New Roman" w:hAnsi="Palatino Linotype"/>
          <w:sz w:val="22"/>
          <w:szCs w:val="22"/>
        </w:rPr>
      </w:pPr>
    </w:p>
    <w:p w14:paraId="52041056" w14:textId="77777777" w:rsidR="00885921" w:rsidRPr="0007274D" w:rsidRDefault="00885921" w:rsidP="00885921">
      <w:pPr>
        <w:jc w:val="both"/>
        <w:rPr>
          <w:rFonts w:ascii="Palatino Linotype" w:eastAsia="Times New Roman" w:hAnsi="Palatino Linotype"/>
          <w:sz w:val="22"/>
          <w:szCs w:val="22"/>
        </w:rPr>
      </w:pPr>
      <w:r w:rsidRPr="002E3090">
        <w:rPr>
          <w:rFonts w:ascii="Palatino Linotype" w:eastAsia="Times New Roman" w:hAnsi="Palatino Linotype"/>
          <w:sz w:val="22"/>
          <w:szCs w:val="22"/>
        </w:rPr>
        <w:t>Both S&amp;P BSE Sensex and Nifty 50 touched their intraday high</w:t>
      </w:r>
      <w:r>
        <w:rPr>
          <w:rFonts w:ascii="Palatino Linotype" w:eastAsia="Times New Roman" w:hAnsi="Palatino Linotype"/>
          <w:sz w:val="22"/>
          <w:szCs w:val="22"/>
        </w:rPr>
        <w:t xml:space="preserve">, in the beginning of the month on September 3, 2018, of </w:t>
      </w:r>
      <w:r w:rsidRPr="002E3090">
        <w:rPr>
          <w:rFonts w:ascii="Palatino Linotype" w:eastAsia="Times New Roman" w:hAnsi="Palatino Linotype" w:cs="Arial"/>
          <w:sz w:val="22"/>
          <w:szCs w:val="22"/>
          <w:lang w:val="en-US"/>
        </w:rPr>
        <w:t>38</w:t>
      </w:r>
      <w:r>
        <w:rPr>
          <w:rFonts w:ascii="Palatino Linotype" w:eastAsia="Times New Roman" w:hAnsi="Palatino Linotype" w:cs="Arial"/>
          <w:sz w:val="22"/>
          <w:szCs w:val="22"/>
          <w:lang w:val="en-US"/>
        </w:rPr>
        <w:t>,</w:t>
      </w:r>
      <w:r w:rsidRPr="002E3090">
        <w:rPr>
          <w:rFonts w:ascii="Palatino Linotype" w:eastAsia="Times New Roman" w:hAnsi="Palatino Linotype" w:cs="Arial"/>
          <w:sz w:val="22"/>
          <w:szCs w:val="22"/>
          <w:lang w:val="en-US"/>
        </w:rPr>
        <w:t>9</w:t>
      </w:r>
      <w:r>
        <w:rPr>
          <w:rFonts w:ascii="Palatino Linotype" w:eastAsia="Times New Roman" w:hAnsi="Palatino Linotype" w:cs="Arial"/>
          <w:sz w:val="22"/>
          <w:szCs w:val="22"/>
          <w:lang w:val="en-US"/>
        </w:rPr>
        <w:t>34</w:t>
      </w:r>
      <w:r w:rsidRPr="002E3090">
        <w:rPr>
          <w:rFonts w:ascii="Palatino Linotype" w:eastAsia="Times New Roman" w:hAnsi="Palatino Linotype" w:cs="Arial"/>
          <w:sz w:val="22"/>
          <w:szCs w:val="22"/>
          <w:lang w:val="en-US"/>
        </w:rPr>
        <w:t xml:space="preserve"> and</w:t>
      </w:r>
      <w:r w:rsidRPr="002E3090">
        <w:rPr>
          <w:rFonts w:ascii="Palatino Linotype" w:eastAsia="Times New Roman" w:hAnsi="Palatino Linotype"/>
          <w:sz w:val="22"/>
          <w:szCs w:val="22"/>
        </w:rPr>
        <w:t xml:space="preserve"> </w:t>
      </w:r>
      <w:r w:rsidRPr="002E3090">
        <w:rPr>
          <w:rFonts w:ascii="Palatino Linotype" w:eastAsia="Times New Roman" w:hAnsi="Palatino Linotype" w:cs="Arial"/>
          <w:sz w:val="22"/>
          <w:szCs w:val="22"/>
          <w:lang w:val="en-US"/>
        </w:rPr>
        <w:t>11,7</w:t>
      </w:r>
      <w:r>
        <w:rPr>
          <w:rFonts w:ascii="Palatino Linotype" w:eastAsia="Times New Roman" w:hAnsi="Palatino Linotype" w:cs="Arial"/>
          <w:sz w:val="22"/>
          <w:szCs w:val="22"/>
          <w:lang w:val="en-US"/>
        </w:rPr>
        <w:t>52</w:t>
      </w:r>
      <w:r>
        <w:rPr>
          <w:rFonts w:ascii="Palatino Linotype" w:eastAsia="Times New Roman" w:hAnsi="Palatino Linotype"/>
          <w:sz w:val="22"/>
          <w:szCs w:val="22"/>
        </w:rPr>
        <w:t xml:space="preserve">, respectively </w:t>
      </w:r>
      <w:r w:rsidRPr="002E3090">
        <w:rPr>
          <w:rFonts w:ascii="Palatino Linotype" w:eastAsia="Times New Roman" w:hAnsi="Palatino Linotype"/>
          <w:sz w:val="22"/>
          <w:szCs w:val="22"/>
        </w:rPr>
        <w:t>and</w:t>
      </w:r>
      <w:r>
        <w:rPr>
          <w:rFonts w:ascii="Palatino Linotype" w:eastAsia="Times New Roman" w:hAnsi="Palatino Linotype"/>
          <w:sz w:val="22"/>
          <w:szCs w:val="22"/>
        </w:rPr>
        <w:t xml:space="preserve"> at the same time both the indices</w:t>
      </w:r>
      <w:r w:rsidRPr="002E3090">
        <w:rPr>
          <w:rFonts w:ascii="Palatino Linotype" w:eastAsia="Times New Roman" w:hAnsi="Palatino Linotype"/>
          <w:sz w:val="22"/>
          <w:szCs w:val="22"/>
        </w:rPr>
        <w:t xml:space="preserve"> touched their intraday lows</w:t>
      </w:r>
      <w:r>
        <w:rPr>
          <w:rFonts w:ascii="Palatino Linotype" w:eastAsia="Times New Roman" w:hAnsi="Palatino Linotype"/>
          <w:sz w:val="22"/>
          <w:szCs w:val="22"/>
        </w:rPr>
        <w:t xml:space="preserve"> </w:t>
      </w:r>
      <w:r w:rsidRPr="002E3090">
        <w:rPr>
          <w:rFonts w:ascii="Palatino Linotype" w:eastAsia="Times New Roman" w:hAnsi="Palatino Linotype"/>
          <w:sz w:val="22"/>
          <w:szCs w:val="22"/>
        </w:rPr>
        <w:t xml:space="preserve">of </w:t>
      </w:r>
      <w:r>
        <w:rPr>
          <w:rFonts w:ascii="Palatino Linotype" w:eastAsia="Times New Roman" w:hAnsi="Palatino Linotype"/>
          <w:sz w:val="22"/>
          <w:szCs w:val="22"/>
        </w:rPr>
        <w:t>35,986</w:t>
      </w:r>
      <w:r w:rsidRPr="002E3090">
        <w:rPr>
          <w:rFonts w:ascii="Palatino Linotype" w:eastAsia="Times New Roman" w:hAnsi="Palatino Linotype"/>
          <w:sz w:val="22"/>
          <w:szCs w:val="22"/>
        </w:rPr>
        <w:t xml:space="preserve"> and </w:t>
      </w:r>
      <w:r>
        <w:rPr>
          <w:rFonts w:ascii="Palatino Linotype" w:eastAsia="Times New Roman" w:hAnsi="Palatino Linotype"/>
          <w:sz w:val="22"/>
          <w:szCs w:val="22"/>
        </w:rPr>
        <w:t>10,850</w:t>
      </w:r>
      <w:r w:rsidRPr="002E3090">
        <w:rPr>
          <w:rFonts w:ascii="Palatino Linotype" w:eastAsia="Times New Roman" w:hAnsi="Palatino Linotype"/>
          <w:sz w:val="22"/>
          <w:szCs w:val="22"/>
        </w:rPr>
        <w:t xml:space="preserve">, respectively </w:t>
      </w:r>
      <w:r>
        <w:rPr>
          <w:rFonts w:ascii="Palatino Linotype" w:eastAsia="Times New Roman" w:hAnsi="Palatino Linotype"/>
          <w:sz w:val="22"/>
          <w:szCs w:val="22"/>
        </w:rPr>
        <w:t>on the last trading day of the month, viz., September 28, 2018.</w:t>
      </w:r>
    </w:p>
    <w:p w14:paraId="00F38B36" w14:textId="77777777" w:rsidR="00885921" w:rsidRPr="00D13863" w:rsidRDefault="00885921" w:rsidP="00885921">
      <w:pPr>
        <w:jc w:val="both"/>
        <w:rPr>
          <w:rFonts w:ascii="Palatino Linotype" w:eastAsia="Times New Roman" w:hAnsi="Palatino Linotype"/>
          <w:sz w:val="22"/>
          <w:szCs w:val="22"/>
        </w:rPr>
      </w:pPr>
    </w:p>
    <w:p w14:paraId="1A305389" w14:textId="77777777" w:rsidR="00885921" w:rsidRPr="00D13863" w:rsidRDefault="00885921" w:rsidP="00885921">
      <w:pPr>
        <w:jc w:val="center"/>
        <w:outlineLvl w:val="0"/>
        <w:rPr>
          <w:rFonts w:ascii="Palatino Linotype" w:hAnsi="Palatino Linotype"/>
          <w:b/>
          <w:bCs/>
          <w:sz w:val="22"/>
          <w:szCs w:val="22"/>
        </w:rPr>
      </w:pPr>
      <w:r w:rsidRPr="00D13863">
        <w:rPr>
          <w:rFonts w:ascii="Palatino Linotype" w:hAnsi="Palatino Linotype"/>
          <w:b/>
          <w:bCs/>
          <w:sz w:val="22"/>
          <w:szCs w:val="22"/>
        </w:rPr>
        <w:t xml:space="preserve">Figure </w:t>
      </w:r>
      <w:r w:rsidRPr="00D13863">
        <w:rPr>
          <w:rFonts w:ascii="Palatino Linotype" w:hAnsi="Palatino Linotype"/>
          <w:b/>
          <w:bCs/>
          <w:sz w:val="22"/>
          <w:szCs w:val="22"/>
        </w:rPr>
        <w:fldChar w:fldCharType="begin"/>
      </w:r>
      <w:r w:rsidRPr="00D13863">
        <w:rPr>
          <w:rFonts w:ascii="Palatino Linotype" w:hAnsi="Palatino Linotype"/>
          <w:b/>
          <w:bCs/>
          <w:sz w:val="22"/>
          <w:szCs w:val="22"/>
        </w:rPr>
        <w:instrText xml:space="preserve"> SEQ Figure \* ARABIC </w:instrText>
      </w:r>
      <w:r w:rsidRPr="00D13863">
        <w:rPr>
          <w:rFonts w:ascii="Palatino Linotype" w:hAnsi="Palatino Linotype"/>
          <w:b/>
          <w:bCs/>
          <w:sz w:val="22"/>
          <w:szCs w:val="22"/>
        </w:rPr>
        <w:fldChar w:fldCharType="separate"/>
      </w:r>
      <w:r w:rsidRPr="00D13863">
        <w:rPr>
          <w:rFonts w:ascii="Palatino Linotype" w:hAnsi="Palatino Linotype"/>
          <w:b/>
          <w:bCs/>
          <w:noProof/>
          <w:sz w:val="22"/>
          <w:szCs w:val="22"/>
        </w:rPr>
        <w:t>1</w:t>
      </w:r>
      <w:r w:rsidRPr="00D13863">
        <w:rPr>
          <w:rFonts w:ascii="Palatino Linotype" w:hAnsi="Palatino Linotype"/>
          <w:b/>
          <w:bCs/>
          <w:sz w:val="22"/>
          <w:szCs w:val="22"/>
        </w:rPr>
        <w:fldChar w:fldCharType="end"/>
      </w:r>
      <w:r w:rsidRPr="00D13863">
        <w:rPr>
          <w:rFonts w:ascii="Palatino Linotype" w:hAnsi="Palatino Linotype"/>
          <w:b/>
          <w:bCs/>
          <w:sz w:val="22"/>
          <w:szCs w:val="22"/>
        </w:rPr>
        <w:t>: Movement of Sensex and Nifty</w:t>
      </w:r>
    </w:p>
    <w:p w14:paraId="4B017C19" w14:textId="77777777" w:rsidR="00885921" w:rsidRPr="00D13863" w:rsidRDefault="00885921" w:rsidP="00885921">
      <w:pPr>
        <w:jc w:val="center"/>
        <w:rPr>
          <w:rFonts w:ascii="Palatino Linotype" w:hAnsi="Palatino Linotype"/>
          <w:b/>
          <w:bCs/>
          <w:color w:val="000099"/>
          <w:sz w:val="22"/>
          <w:szCs w:val="22"/>
          <w:highlight w:val="lightGray"/>
        </w:rPr>
      </w:pPr>
      <w:r>
        <w:rPr>
          <w:noProof/>
          <w:lang w:val="en-IN" w:eastAsia="en-IN"/>
        </w:rPr>
        <w:drawing>
          <wp:inline distT="0" distB="0" distL="0" distR="0" wp14:anchorId="12F09112" wp14:editId="31FA0B13">
            <wp:extent cx="5923280" cy="2371725"/>
            <wp:effectExtent l="0" t="0" r="127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029B72" w14:textId="77777777" w:rsidR="00885921" w:rsidRPr="00D13863" w:rsidRDefault="00885921" w:rsidP="00885921">
      <w:pPr>
        <w:jc w:val="both"/>
        <w:rPr>
          <w:rFonts w:ascii="Palatino Linotype" w:eastAsia="Times New Roman" w:hAnsi="Palatino Linotype"/>
          <w:sz w:val="22"/>
          <w:szCs w:val="22"/>
        </w:rPr>
      </w:pPr>
    </w:p>
    <w:p w14:paraId="661223CD" w14:textId="77777777" w:rsidR="00885921" w:rsidRDefault="00885921" w:rsidP="00885921">
      <w:pPr>
        <w:jc w:val="both"/>
        <w:rPr>
          <w:rFonts w:ascii="Palatino Linotype" w:eastAsia="Times New Roman" w:hAnsi="Palatino Linotype" w:cs="Garamond"/>
          <w:sz w:val="22"/>
          <w:szCs w:val="22"/>
        </w:rPr>
      </w:pPr>
      <w:r>
        <w:rPr>
          <w:rFonts w:ascii="Palatino Linotype" w:eastAsia="Times New Roman" w:hAnsi="Palatino Linotype"/>
          <w:sz w:val="22"/>
          <w:szCs w:val="22"/>
        </w:rPr>
        <w:t>At the end of September 2018, m</w:t>
      </w:r>
      <w:r w:rsidRPr="00D13863">
        <w:rPr>
          <w:rFonts w:ascii="Palatino Linotype" w:eastAsia="Times New Roman" w:hAnsi="Palatino Linotype"/>
          <w:sz w:val="22"/>
          <w:szCs w:val="22"/>
        </w:rPr>
        <w:t xml:space="preserve">arket capitalisation of </w:t>
      </w:r>
      <w:r>
        <w:rPr>
          <w:rFonts w:ascii="Palatino Linotype" w:eastAsia="Times New Roman" w:hAnsi="Palatino Linotype"/>
          <w:sz w:val="22"/>
          <w:szCs w:val="22"/>
        </w:rPr>
        <w:t xml:space="preserve">both </w:t>
      </w:r>
      <w:r w:rsidRPr="00D13863">
        <w:rPr>
          <w:rFonts w:ascii="Palatino Linotype" w:eastAsia="Times New Roman" w:hAnsi="Palatino Linotype"/>
          <w:sz w:val="22"/>
          <w:szCs w:val="22"/>
        </w:rPr>
        <w:t>BSE</w:t>
      </w:r>
      <w:r>
        <w:rPr>
          <w:rFonts w:ascii="Palatino Linotype" w:eastAsia="Times New Roman" w:hAnsi="Palatino Linotype"/>
          <w:sz w:val="22"/>
          <w:szCs w:val="22"/>
        </w:rPr>
        <w:t xml:space="preserve"> and NSE de</w:t>
      </w:r>
      <w:r w:rsidRPr="00D13863">
        <w:rPr>
          <w:rFonts w:ascii="Palatino Linotype" w:eastAsia="Times New Roman" w:hAnsi="Palatino Linotype"/>
          <w:sz w:val="22"/>
          <w:szCs w:val="22"/>
        </w:rPr>
        <w:t xml:space="preserve">creased by </w:t>
      </w:r>
      <w:r>
        <w:rPr>
          <w:rFonts w:ascii="Palatino Linotype" w:eastAsia="Times New Roman" w:hAnsi="Palatino Linotype"/>
          <w:sz w:val="22"/>
          <w:szCs w:val="22"/>
        </w:rPr>
        <w:t>9.1</w:t>
      </w:r>
      <w:r w:rsidRPr="00D13863">
        <w:rPr>
          <w:rFonts w:ascii="Palatino Linotype" w:eastAsia="Times New Roman" w:hAnsi="Palatino Linotype"/>
          <w:sz w:val="22"/>
          <w:szCs w:val="22"/>
        </w:rPr>
        <w:t xml:space="preserve"> per cent to</w:t>
      </w:r>
      <w:r>
        <w:rPr>
          <w:rFonts w:ascii="Palatino Linotype" w:eastAsia="Times New Roman" w:hAnsi="Palatino Linotype"/>
          <w:sz w:val="22"/>
          <w:szCs w:val="22"/>
        </w:rPr>
        <w:t xml:space="preserve"> stood at </w:t>
      </w:r>
      <w:r>
        <w:rPr>
          <w:rFonts w:ascii="Times New Roman" w:eastAsia="Times New Roman" w:hAnsi="Times New Roman"/>
          <w:sz w:val="22"/>
          <w:szCs w:val="22"/>
        </w:rPr>
        <w:t>₹</w:t>
      </w:r>
      <w:r>
        <w:rPr>
          <w:rFonts w:ascii="Palatino Linotype" w:eastAsia="Times New Roman" w:hAnsi="Palatino Linotype" w:cs="Calibri"/>
          <w:sz w:val="22"/>
          <w:szCs w:val="22"/>
          <w:lang w:val="en-US"/>
        </w:rPr>
        <w:t xml:space="preserve">1,44,86,402 crore and </w:t>
      </w:r>
      <w:r w:rsidRPr="003F5475">
        <w:rPr>
          <w:rFonts w:ascii="Tahoma" w:eastAsia="Times New Roman" w:hAnsi="Tahoma" w:cs="Tahoma"/>
          <w:sz w:val="22"/>
          <w:szCs w:val="22"/>
        </w:rPr>
        <w:t>₹</w:t>
      </w:r>
      <w:r>
        <w:rPr>
          <w:rFonts w:ascii="Times New Roman" w:eastAsia="Times New Roman" w:hAnsi="Times New Roman"/>
          <w:sz w:val="22"/>
          <w:szCs w:val="22"/>
        </w:rPr>
        <w:t xml:space="preserve"> 1,42,92,302 crore respectively. </w:t>
      </w:r>
      <w:r w:rsidRPr="000A34B6">
        <w:rPr>
          <w:rFonts w:ascii="Palatino Linotype" w:eastAsia="Times New Roman" w:hAnsi="Palatino Linotype"/>
          <w:color w:val="000000"/>
          <w:sz w:val="22"/>
          <w:szCs w:val="22"/>
          <w:lang w:val="en-US"/>
        </w:rPr>
        <w:t>The monthl</w:t>
      </w:r>
      <w:r>
        <w:rPr>
          <w:rFonts w:ascii="Palatino Linotype" w:eastAsia="Times New Roman" w:hAnsi="Palatino Linotype"/>
          <w:color w:val="000000"/>
          <w:sz w:val="22"/>
          <w:szCs w:val="22"/>
          <w:lang w:val="en-US"/>
        </w:rPr>
        <w:t xml:space="preserve">y cash segment turnover also witnessed a downfall in this month. </w:t>
      </w:r>
      <w:r w:rsidRPr="000A34B6">
        <w:rPr>
          <w:rFonts w:ascii="Palatino Linotype" w:eastAsia="Times New Roman" w:hAnsi="Palatino Linotype"/>
          <w:color w:val="000000"/>
          <w:sz w:val="22"/>
          <w:szCs w:val="22"/>
          <w:lang w:val="en-US"/>
        </w:rPr>
        <w:t xml:space="preserve">The </w:t>
      </w:r>
      <w:r>
        <w:rPr>
          <w:rFonts w:ascii="Palatino Linotype" w:eastAsia="Times New Roman" w:hAnsi="Palatino Linotype"/>
          <w:color w:val="000000"/>
          <w:sz w:val="22"/>
          <w:szCs w:val="22"/>
          <w:lang w:val="en-US"/>
        </w:rPr>
        <w:t>turnover at BSE de</w:t>
      </w:r>
      <w:r w:rsidRPr="000A34B6">
        <w:rPr>
          <w:rFonts w:ascii="Palatino Linotype" w:eastAsia="Times New Roman" w:hAnsi="Palatino Linotype"/>
          <w:color w:val="000000"/>
          <w:sz w:val="22"/>
          <w:szCs w:val="22"/>
          <w:lang w:val="en-US"/>
        </w:rPr>
        <w:t xml:space="preserve">creased by </w:t>
      </w:r>
      <w:r>
        <w:rPr>
          <w:rFonts w:ascii="Palatino Linotype" w:eastAsia="Times New Roman" w:hAnsi="Palatino Linotype"/>
          <w:color w:val="000000"/>
          <w:sz w:val="22"/>
          <w:szCs w:val="22"/>
          <w:lang w:val="en-US"/>
        </w:rPr>
        <w:t>8</w:t>
      </w:r>
      <w:r w:rsidRPr="000A34B6">
        <w:rPr>
          <w:rFonts w:ascii="Palatino Linotype" w:eastAsia="Times New Roman" w:hAnsi="Palatino Linotype"/>
          <w:color w:val="000000"/>
          <w:sz w:val="22"/>
          <w:szCs w:val="22"/>
          <w:lang w:val="en-US"/>
        </w:rPr>
        <w:t xml:space="preserve"> per cent to </w:t>
      </w:r>
      <w:r w:rsidRPr="000A34B6">
        <w:rPr>
          <w:rFonts w:ascii="Tahoma" w:eastAsia="Times New Roman" w:hAnsi="Tahoma" w:cs="Tahoma"/>
          <w:color w:val="000000"/>
          <w:sz w:val="22"/>
          <w:szCs w:val="22"/>
          <w:lang w:val="en-US"/>
        </w:rPr>
        <w:t>₹</w:t>
      </w:r>
      <w:r w:rsidRPr="000A34B6">
        <w:rPr>
          <w:rFonts w:ascii="Palatino Linotype" w:eastAsia="Times New Roman" w:hAnsi="Palatino Linotype"/>
          <w:color w:val="000000"/>
          <w:sz w:val="22"/>
          <w:szCs w:val="22"/>
          <w:lang w:val="en-US"/>
        </w:rPr>
        <w:t xml:space="preserve"> </w:t>
      </w:r>
      <w:r>
        <w:rPr>
          <w:rFonts w:ascii="Palatino Linotype" w:eastAsia="Times New Roman" w:hAnsi="Palatino Linotype"/>
          <w:color w:val="000000"/>
          <w:sz w:val="22"/>
          <w:szCs w:val="22"/>
          <w:lang w:val="en-US"/>
        </w:rPr>
        <w:t>62,477</w:t>
      </w:r>
      <w:r w:rsidRPr="000A34B6">
        <w:rPr>
          <w:rFonts w:ascii="Palatino Linotype" w:eastAsia="Times New Roman" w:hAnsi="Palatino Linotype"/>
          <w:color w:val="000000"/>
          <w:sz w:val="22"/>
          <w:szCs w:val="22"/>
          <w:lang w:val="en-US"/>
        </w:rPr>
        <w:t xml:space="preserve"> </w:t>
      </w:r>
      <w:r w:rsidRPr="00D13863">
        <w:rPr>
          <w:rFonts w:ascii="Palatino Linotype" w:eastAsia="Times New Roman" w:hAnsi="Palatino Linotype"/>
          <w:color w:val="000000"/>
          <w:sz w:val="22"/>
          <w:szCs w:val="22"/>
          <w:lang w:val="en-US"/>
        </w:rPr>
        <w:t xml:space="preserve">crore in </w:t>
      </w:r>
      <w:r>
        <w:rPr>
          <w:rFonts w:ascii="Palatino Linotype" w:eastAsia="Times New Roman" w:hAnsi="Palatino Linotype"/>
          <w:color w:val="000000"/>
          <w:sz w:val="22"/>
          <w:szCs w:val="22"/>
          <w:lang w:val="en-US"/>
        </w:rPr>
        <w:t>September</w:t>
      </w:r>
      <w:r w:rsidRPr="00D13863">
        <w:rPr>
          <w:rFonts w:ascii="Palatino Linotype" w:eastAsia="Times New Roman" w:hAnsi="Palatino Linotype"/>
          <w:color w:val="000000"/>
          <w:sz w:val="22"/>
          <w:szCs w:val="22"/>
          <w:lang w:val="en-US"/>
        </w:rPr>
        <w:t xml:space="preserve"> 2018</w:t>
      </w:r>
      <w:r>
        <w:rPr>
          <w:rFonts w:ascii="Palatino Linotype" w:eastAsia="Times New Roman" w:hAnsi="Palatino Linotype"/>
          <w:color w:val="000000"/>
          <w:sz w:val="22"/>
          <w:szCs w:val="22"/>
          <w:lang w:val="en-US"/>
        </w:rPr>
        <w:t xml:space="preserve"> while at NSE, the decrease in turnover was comparatively less  </w:t>
      </w:r>
      <w:r w:rsidRPr="00D13863">
        <w:rPr>
          <w:rFonts w:ascii="Palatino Linotype" w:eastAsia="Times New Roman" w:hAnsi="Palatino Linotype" w:cs="Garamond"/>
          <w:sz w:val="22"/>
          <w:szCs w:val="22"/>
        </w:rPr>
        <w:t xml:space="preserve"> </w:t>
      </w:r>
      <w:r>
        <w:rPr>
          <w:rFonts w:ascii="Palatino Linotype" w:eastAsia="Times New Roman" w:hAnsi="Palatino Linotype" w:cs="Garamond"/>
          <w:sz w:val="22"/>
          <w:szCs w:val="22"/>
        </w:rPr>
        <w:t>at</w:t>
      </w:r>
      <w:r w:rsidRPr="00D13863">
        <w:rPr>
          <w:rFonts w:ascii="Palatino Linotype" w:eastAsia="Times New Roman" w:hAnsi="Palatino Linotype" w:cs="Garamond"/>
          <w:sz w:val="22"/>
          <w:szCs w:val="22"/>
        </w:rPr>
        <w:t xml:space="preserve"> </w:t>
      </w:r>
      <w:r>
        <w:rPr>
          <w:rFonts w:ascii="Palatino Linotype" w:eastAsia="Times New Roman" w:hAnsi="Palatino Linotype" w:cs="Garamond"/>
          <w:sz w:val="22"/>
          <w:szCs w:val="22"/>
        </w:rPr>
        <w:t>2.5</w:t>
      </w:r>
      <w:r w:rsidRPr="00D13863">
        <w:rPr>
          <w:rFonts w:ascii="Palatino Linotype" w:eastAsia="Times New Roman" w:hAnsi="Palatino Linotype" w:cs="Garamond"/>
          <w:sz w:val="22"/>
          <w:szCs w:val="22"/>
        </w:rPr>
        <w:t xml:space="preserve"> per cent </w:t>
      </w:r>
      <w:r>
        <w:rPr>
          <w:rFonts w:ascii="Palatino Linotype" w:eastAsia="Times New Roman" w:hAnsi="Palatino Linotype" w:cs="Garamond"/>
          <w:sz w:val="22"/>
          <w:szCs w:val="22"/>
        </w:rPr>
        <w:t xml:space="preserve">and stood at </w:t>
      </w:r>
      <w:r>
        <w:rPr>
          <w:rFonts w:ascii="Times New Roman" w:eastAsia="Times New Roman" w:hAnsi="Times New Roman"/>
          <w:sz w:val="22"/>
          <w:szCs w:val="22"/>
        </w:rPr>
        <w:t>₹</w:t>
      </w:r>
      <w:r w:rsidRPr="00D13863">
        <w:rPr>
          <w:rFonts w:ascii="Palatino Linotype" w:eastAsia="Times New Roman" w:hAnsi="Palatino Linotype" w:cs="Garamond"/>
          <w:sz w:val="22"/>
          <w:szCs w:val="22"/>
        </w:rPr>
        <w:t xml:space="preserve"> </w:t>
      </w:r>
      <w:r>
        <w:rPr>
          <w:rFonts w:ascii="Palatino Linotype" w:eastAsia="Times New Roman" w:hAnsi="Palatino Linotype" w:cs="Calibri"/>
          <w:sz w:val="22"/>
          <w:szCs w:val="22"/>
          <w:lang w:val="en-US"/>
        </w:rPr>
        <w:t xml:space="preserve">6,88,319 </w:t>
      </w:r>
      <w:r>
        <w:rPr>
          <w:rFonts w:ascii="Palatino Linotype" w:eastAsia="Times New Roman" w:hAnsi="Palatino Linotype"/>
          <w:color w:val="000000"/>
          <w:sz w:val="22"/>
          <w:szCs w:val="22"/>
          <w:lang w:val="en-US"/>
        </w:rPr>
        <w:t>crore</w:t>
      </w:r>
      <w:r w:rsidRPr="00D13863">
        <w:rPr>
          <w:rFonts w:ascii="Palatino Linotype" w:eastAsia="Times New Roman" w:hAnsi="Palatino Linotype" w:cs="Garamond"/>
          <w:sz w:val="22"/>
          <w:szCs w:val="22"/>
        </w:rPr>
        <w:t xml:space="preserve">. </w:t>
      </w:r>
      <w:r w:rsidRPr="000B4C38">
        <w:rPr>
          <w:rFonts w:ascii="Palatino Linotype" w:eastAsia="Times New Roman" w:hAnsi="Palatino Linotype" w:cs="Garamond"/>
          <w:sz w:val="22"/>
          <w:szCs w:val="22"/>
        </w:rPr>
        <w:t xml:space="preserve">The P/E ratios of S&amp;P BSE Sensex and Nifty 50 were </w:t>
      </w:r>
      <w:r>
        <w:rPr>
          <w:rFonts w:ascii="Palatino Linotype" w:eastAsia="Times New Roman" w:hAnsi="Palatino Linotype" w:cs="Garamond"/>
          <w:sz w:val="22"/>
          <w:szCs w:val="22"/>
        </w:rPr>
        <w:t>24.1 and 26.4</w:t>
      </w:r>
      <w:r w:rsidRPr="000B4C38">
        <w:rPr>
          <w:rFonts w:ascii="Palatino Linotype" w:eastAsia="Times New Roman" w:hAnsi="Palatino Linotype" w:cs="Garamond"/>
          <w:sz w:val="22"/>
          <w:szCs w:val="22"/>
        </w:rPr>
        <w:t xml:space="preserve"> respectively, compared to </w:t>
      </w:r>
      <w:r>
        <w:rPr>
          <w:rFonts w:ascii="Palatino Linotype" w:eastAsia="Times New Roman" w:hAnsi="Palatino Linotype" w:cs="Garamond"/>
          <w:sz w:val="22"/>
          <w:szCs w:val="22"/>
        </w:rPr>
        <w:t>24.9</w:t>
      </w:r>
      <w:r w:rsidRPr="000B4C38">
        <w:rPr>
          <w:rFonts w:ascii="Palatino Linotype" w:eastAsia="Times New Roman" w:hAnsi="Palatino Linotype" w:cs="Garamond"/>
          <w:sz w:val="22"/>
          <w:szCs w:val="22"/>
        </w:rPr>
        <w:t xml:space="preserve"> and </w:t>
      </w:r>
      <w:r>
        <w:rPr>
          <w:rFonts w:ascii="Palatino Linotype" w:eastAsia="Times New Roman" w:hAnsi="Palatino Linotype" w:cs="Garamond"/>
          <w:sz w:val="22"/>
          <w:szCs w:val="22"/>
        </w:rPr>
        <w:t>28.4</w:t>
      </w:r>
      <w:r w:rsidRPr="000B4C38">
        <w:rPr>
          <w:rFonts w:ascii="Palatino Linotype" w:eastAsia="Times New Roman" w:hAnsi="Palatino Linotype" w:cs="Garamond"/>
          <w:sz w:val="22"/>
          <w:szCs w:val="22"/>
        </w:rPr>
        <w:t xml:space="preserve"> respectively </w:t>
      </w:r>
      <w:r>
        <w:rPr>
          <w:rFonts w:ascii="Palatino Linotype" w:eastAsia="Times New Roman" w:hAnsi="Palatino Linotype" w:cs="Garamond"/>
          <w:sz w:val="22"/>
          <w:szCs w:val="22"/>
        </w:rPr>
        <w:t>in August 2018</w:t>
      </w:r>
      <w:r w:rsidRPr="000B4C38">
        <w:rPr>
          <w:rFonts w:ascii="Palatino Linotype" w:eastAsia="Times New Roman" w:hAnsi="Palatino Linotype" w:cs="Garamond"/>
          <w:sz w:val="22"/>
          <w:szCs w:val="22"/>
        </w:rPr>
        <w:t>.</w:t>
      </w:r>
    </w:p>
    <w:p w14:paraId="60F462EF" w14:textId="77777777" w:rsidR="00885921" w:rsidRDefault="00885921" w:rsidP="00885921">
      <w:pPr>
        <w:jc w:val="both"/>
        <w:rPr>
          <w:rFonts w:ascii="Palatino Linotype" w:eastAsia="Times New Roman" w:hAnsi="Palatino Linotype" w:cs="Garamond"/>
          <w:sz w:val="22"/>
          <w:szCs w:val="22"/>
        </w:rPr>
      </w:pPr>
    </w:p>
    <w:p w14:paraId="1A846782" w14:textId="77777777" w:rsidR="00885921" w:rsidRPr="00D131E9" w:rsidRDefault="00885921" w:rsidP="00885921">
      <w:pPr>
        <w:ind w:hanging="270"/>
        <w:rPr>
          <w:rFonts w:ascii="Palatino Linotype" w:hAnsi="Palatino Linotype"/>
          <w:b/>
          <w:sz w:val="22"/>
          <w:szCs w:val="22"/>
          <w:cs/>
        </w:rPr>
      </w:pPr>
      <w:r>
        <w:rPr>
          <w:noProof/>
          <w:lang w:val="en-IN" w:eastAsia="en-IN"/>
        </w:rPr>
        <w:drawing>
          <wp:anchor distT="0" distB="0" distL="114300" distR="114300" simplePos="0" relativeHeight="251672576" behindDoc="0" locked="0" layoutInCell="1" allowOverlap="1" wp14:anchorId="60879FD5" wp14:editId="4E0B969B">
            <wp:simplePos x="0" y="0"/>
            <wp:positionH relativeFrom="margin">
              <wp:align>right</wp:align>
            </wp:positionH>
            <wp:positionV relativeFrom="paragraph">
              <wp:posOffset>262890</wp:posOffset>
            </wp:positionV>
            <wp:extent cx="5923280" cy="3009900"/>
            <wp:effectExtent l="0" t="0" r="1270" b="0"/>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D13863">
        <w:rPr>
          <w:rFonts w:ascii="Palatino Linotype" w:hAnsi="Palatino Linotype"/>
          <w:b/>
          <w:bCs/>
          <w:sz w:val="22"/>
          <w:szCs w:val="22"/>
        </w:rPr>
        <w:t xml:space="preserve">Figure </w:t>
      </w:r>
      <w:r w:rsidRPr="00D13863">
        <w:rPr>
          <w:rFonts w:ascii="Palatino Linotype" w:hAnsi="Palatino Linotype"/>
          <w:b/>
          <w:bCs/>
          <w:sz w:val="22"/>
          <w:szCs w:val="22"/>
        </w:rPr>
        <w:fldChar w:fldCharType="begin"/>
      </w:r>
      <w:r w:rsidRPr="00D13863">
        <w:rPr>
          <w:rFonts w:ascii="Palatino Linotype" w:hAnsi="Palatino Linotype"/>
          <w:b/>
          <w:bCs/>
          <w:sz w:val="22"/>
          <w:szCs w:val="22"/>
        </w:rPr>
        <w:instrText xml:space="preserve"> SEQ Figure \* ARABIC </w:instrText>
      </w:r>
      <w:r w:rsidRPr="00D13863">
        <w:rPr>
          <w:rFonts w:ascii="Palatino Linotype" w:hAnsi="Palatino Linotype"/>
          <w:b/>
          <w:bCs/>
          <w:sz w:val="22"/>
          <w:szCs w:val="22"/>
        </w:rPr>
        <w:fldChar w:fldCharType="separate"/>
      </w:r>
      <w:r w:rsidRPr="00D13863">
        <w:rPr>
          <w:rFonts w:ascii="Palatino Linotype" w:hAnsi="Palatino Linotype"/>
          <w:b/>
          <w:bCs/>
          <w:sz w:val="22"/>
          <w:szCs w:val="22"/>
        </w:rPr>
        <w:t>2</w:t>
      </w:r>
      <w:r w:rsidRPr="00D13863">
        <w:rPr>
          <w:rFonts w:ascii="Palatino Linotype" w:hAnsi="Palatino Linotype"/>
          <w:b/>
          <w:bCs/>
          <w:sz w:val="22"/>
          <w:szCs w:val="22"/>
        </w:rPr>
        <w:fldChar w:fldCharType="end"/>
      </w:r>
      <w:r w:rsidRPr="00D13863">
        <w:rPr>
          <w:rFonts w:ascii="Palatino Linotype" w:hAnsi="Palatino Linotype"/>
          <w:b/>
          <w:bCs/>
          <w:sz w:val="22"/>
          <w:szCs w:val="22"/>
        </w:rPr>
        <w:t xml:space="preserve">: </w:t>
      </w:r>
      <w:r w:rsidRPr="00E00787">
        <w:rPr>
          <w:rFonts w:ascii="Palatino Linotype" w:hAnsi="Palatino Linotype"/>
          <w:b/>
          <w:sz w:val="22"/>
          <w:szCs w:val="22"/>
        </w:rPr>
        <w:t xml:space="preserve">Trends in Average Daily Values of Nifty </w:t>
      </w:r>
      <w:r>
        <w:rPr>
          <w:rFonts w:ascii="Palatino Linotype" w:hAnsi="Palatino Linotype"/>
          <w:b/>
          <w:sz w:val="22"/>
          <w:szCs w:val="22"/>
        </w:rPr>
        <w:t xml:space="preserve">50 </w:t>
      </w:r>
      <w:r w:rsidRPr="00E00787">
        <w:rPr>
          <w:rFonts w:ascii="Palatino Linotype" w:hAnsi="Palatino Linotype"/>
          <w:b/>
          <w:sz w:val="22"/>
          <w:szCs w:val="22"/>
        </w:rPr>
        <w:t>and NSE Equity Cash Segment Turnover</w:t>
      </w:r>
    </w:p>
    <w:p w14:paraId="6483A34B" w14:textId="77777777" w:rsidR="00885921" w:rsidRDefault="00885921" w:rsidP="00885921">
      <w:pPr>
        <w:rPr>
          <w:rFonts w:ascii="Palatino Linotype" w:hAnsi="Palatino Linotype"/>
          <w:b/>
          <w:bCs/>
          <w:sz w:val="22"/>
          <w:szCs w:val="22"/>
        </w:rPr>
      </w:pPr>
    </w:p>
    <w:p w14:paraId="291C4F83" w14:textId="77777777" w:rsidR="00885921" w:rsidRPr="00E667F5" w:rsidRDefault="00885921" w:rsidP="00885921">
      <w:pPr>
        <w:rPr>
          <w:rFonts w:ascii="Palatino Linotype" w:eastAsia="Times New Roman" w:hAnsi="Palatino Linotype"/>
          <w:color w:val="000099"/>
          <w:sz w:val="22"/>
          <w:szCs w:val="22"/>
        </w:rPr>
      </w:pPr>
      <w:r>
        <w:rPr>
          <w:noProof/>
          <w:lang w:val="en-IN" w:eastAsia="en-IN"/>
        </w:rPr>
        <w:drawing>
          <wp:anchor distT="0" distB="0" distL="114300" distR="114300" simplePos="0" relativeHeight="251669504" behindDoc="0" locked="0" layoutInCell="1" allowOverlap="1" wp14:anchorId="2D9D8530" wp14:editId="0F0B43DA">
            <wp:simplePos x="0" y="0"/>
            <wp:positionH relativeFrom="margin">
              <wp:align>right</wp:align>
            </wp:positionH>
            <wp:positionV relativeFrom="paragraph">
              <wp:posOffset>375285</wp:posOffset>
            </wp:positionV>
            <wp:extent cx="5923280" cy="3009900"/>
            <wp:effectExtent l="0" t="0" r="1270" b="0"/>
            <wp:wrapTopAndBottom/>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sidRPr="00D13863">
        <w:rPr>
          <w:rFonts w:ascii="Palatino Linotype" w:hAnsi="Palatino Linotype"/>
          <w:b/>
          <w:bCs/>
          <w:sz w:val="22"/>
          <w:szCs w:val="22"/>
        </w:rPr>
        <w:t xml:space="preserve">Figure </w:t>
      </w:r>
      <w:r w:rsidRPr="00D13863">
        <w:rPr>
          <w:rFonts w:ascii="Palatino Linotype" w:hAnsi="Palatino Linotype"/>
          <w:b/>
          <w:bCs/>
          <w:sz w:val="22"/>
          <w:szCs w:val="22"/>
        </w:rPr>
        <w:fldChar w:fldCharType="begin"/>
      </w:r>
      <w:r w:rsidRPr="00D13863">
        <w:rPr>
          <w:rFonts w:ascii="Palatino Linotype" w:hAnsi="Palatino Linotype"/>
          <w:b/>
          <w:bCs/>
          <w:sz w:val="22"/>
          <w:szCs w:val="22"/>
        </w:rPr>
        <w:instrText xml:space="preserve"> SEQ Figure \* ARABIC </w:instrText>
      </w:r>
      <w:r w:rsidRPr="00D13863">
        <w:rPr>
          <w:rFonts w:ascii="Palatino Linotype" w:hAnsi="Palatino Linotype"/>
          <w:b/>
          <w:bCs/>
          <w:sz w:val="22"/>
          <w:szCs w:val="22"/>
        </w:rPr>
        <w:fldChar w:fldCharType="separate"/>
      </w:r>
      <w:r w:rsidRPr="00D13863">
        <w:rPr>
          <w:rFonts w:ascii="Palatino Linotype" w:hAnsi="Palatino Linotype"/>
          <w:b/>
          <w:bCs/>
          <w:noProof/>
          <w:sz w:val="22"/>
          <w:szCs w:val="22"/>
        </w:rPr>
        <w:t>3</w:t>
      </w:r>
      <w:r w:rsidRPr="00D13863">
        <w:rPr>
          <w:rFonts w:ascii="Palatino Linotype" w:hAnsi="Palatino Linotype"/>
          <w:b/>
          <w:bCs/>
          <w:sz w:val="22"/>
          <w:szCs w:val="22"/>
        </w:rPr>
        <w:fldChar w:fldCharType="end"/>
      </w:r>
      <w:r w:rsidRPr="00D13863">
        <w:rPr>
          <w:rFonts w:ascii="Palatino Linotype" w:hAnsi="Palatino Linotype"/>
          <w:b/>
          <w:bCs/>
          <w:sz w:val="22"/>
          <w:szCs w:val="22"/>
        </w:rPr>
        <w:t xml:space="preserve">: </w:t>
      </w:r>
      <w:r w:rsidRPr="00E00787">
        <w:rPr>
          <w:rFonts w:ascii="Palatino Linotype" w:hAnsi="Palatino Linotype"/>
          <w:b/>
          <w:bCs/>
          <w:sz w:val="22"/>
          <w:szCs w:val="22"/>
        </w:rPr>
        <w:t>Trends in Average Daily Values of Sensex and BSE Equity Cash Segment Turnover</w:t>
      </w:r>
    </w:p>
    <w:p w14:paraId="3E231135" w14:textId="77777777" w:rsidR="00885921" w:rsidRPr="00D13863" w:rsidRDefault="00885921" w:rsidP="00885921">
      <w:pPr>
        <w:jc w:val="center"/>
        <w:outlineLvl w:val="0"/>
        <w:rPr>
          <w:rFonts w:ascii="Palatino Linotype" w:hAnsi="Palatino Linotype"/>
          <w:b/>
          <w:bCs/>
          <w:sz w:val="22"/>
          <w:szCs w:val="22"/>
        </w:rPr>
      </w:pPr>
    </w:p>
    <w:p w14:paraId="6257F611" w14:textId="77777777" w:rsidR="00885921" w:rsidRPr="00D13863" w:rsidRDefault="00885921" w:rsidP="00885921">
      <w:pPr>
        <w:jc w:val="center"/>
        <w:rPr>
          <w:rFonts w:ascii="Palatino Linotype" w:hAnsi="Palatino Linotype"/>
          <w:b/>
          <w:bCs/>
          <w:color w:val="000099"/>
          <w:sz w:val="22"/>
          <w:szCs w:val="22"/>
        </w:rPr>
      </w:pPr>
    </w:p>
    <w:p w14:paraId="6387E5E1" w14:textId="77777777" w:rsidR="00885921" w:rsidRDefault="00885921" w:rsidP="00885921">
      <w:pPr>
        <w:jc w:val="both"/>
        <w:rPr>
          <w:rFonts w:ascii="Palatino Linotype" w:eastAsia="Times New Roman" w:hAnsi="Palatino Linotype"/>
          <w:bCs/>
          <w:sz w:val="22"/>
          <w:szCs w:val="22"/>
        </w:rPr>
      </w:pPr>
      <w:r w:rsidRPr="00620BE6">
        <w:rPr>
          <w:rFonts w:ascii="Palatino Linotype" w:eastAsia="Times New Roman" w:hAnsi="Palatino Linotype"/>
          <w:bCs/>
          <w:sz w:val="22"/>
          <w:szCs w:val="22"/>
        </w:rPr>
        <w:t xml:space="preserve">While </w:t>
      </w:r>
      <w:r>
        <w:rPr>
          <w:rFonts w:ascii="Palatino Linotype" w:eastAsia="Times New Roman" w:hAnsi="Palatino Linotype"/>
          <w:bCs/>
          <w:sz w:val="22"/>
          <w:szCs w:val="22"/>
        </w:rPr>
        <w:t xml:space="preserve">at BSE, </w:t>
      </w:r>
      <w:r w:rsidRPr="00620BE6">
        <w:rPr>
          <w:rFonts w:ascii="Palatino Linotype" w:eastAsia="Times New Roman" w:hAnsi="Palatino Linotype"/>
          <w:bCs/>
          <w:sz w:val="22"/>
          <w:szCs w:val="22"/>
        </w:rPr>
        <w:t>large caps declined, th</w:t>
      </w:r>
      <w:r>
        <w:rPr>
          <w:rFonts w:ascii="Palatino Linotype" w:eastAsia="Times New Roman" w:hAnsi="Palatino Linotype"/>
          <w:bCs/>
          <w:sz w:val="22"/>
          <w:szCs w:val="22"/>
        </w:rPr>
        <w:t xml:space="preserve">ey fared better than small and mid-caps. The S&amp;P BSE </w:t>
      </w:r>
      <w:r w:rsidRPr="00620BE6">
        <w:rPr>
          <w:rFonts w:ascii="Palatino Linotype" w:eastAsia="Times New Roman" w:hAnsi="Palatino Linotype"/>
          <w:bCs/>
          <w:sz w:val="22"/>
          <w:szCs w:val="22"/>
        </w:rPr>
        <w:t>Small</w:t>
      </w:r>
      <w:r>
        <w:rPr>
          <w:rFonts w:ascii="Palatino Linotype" w:eastAsia="Times New Roman" w:hAnsi="Palatino Linotype"/>
          <w:bCs/>
          <w:sz w:val="22"/>
          <w:szCs w:val="22"/>
        </w:rPr>
        <w:t xml:space="preserve"> </w:t>
      </w:r>
      <w:r w:rsidRPr="00620BE6">
        <w:rPr>
          <w:rFonts w:ascii="Palatino Linotype" w:eastAsia="Times New Roman" w:hAnsi="Palatino Linotype"/>
          <w:bCs/>
          <w:sz w:val="22"/>
          <w:szCs w:val="22"/>
        </w:rPr>
        <w:t>Cap plunged more than 1</w:t>
      </w:r>
      <w:r>
        <w:rPr>
          <w:rFonts w:ascii="Palatino Linotype" w:eastAsia="Times New Roman" w:hAnsi="Palatino Linotype"/>
          <w:bCs/>
          <w:sz w:val="22"/>
          <w:szCs w:val="22"/>
        </w:rPr>
        <w:t xml:space="preserve">5 per cent this month, the highest downfall among all the BSE indices under consideration. Both BSE Consumer Durables and BSE Bankex observed a decline of 12 per cent in September 2018, followed by BSE Capital Goods, BSE Power and BSE FMCG, all three reporting a loss of 9.9 per cent. </w:t>
      </w:r>
    </w:p>
    <w:p w14:paraId="6F8AE4AB" w14:textId="77777777" w:rsidR="00885921" w:rsidRDefault="00885921" w:rsidP="00885921">
      <w:pPr>
        <w:jc w:val="both"/>
        <w:rPr>
          <w:rFonts w:ascii="Palatino Linotype" w:eastAsia="Times New Roman" w:hAnsi="Palatino Linotype"/>
          <w:bCs/>
          <w:sz w:val="22"/>
          <w:szCs w:val="22"/>
        </w:rPr>
      </w:pPr>
    </w:p>
    <w:p w14:paraId="3E735E98" w14:textId="77777777" w:rsidR="00885921" w:rsidRPr="00620BE6" w:rsidRDefault="00885921" w:rsidP="00885921">
      <w:pPr>
        <w:jc w:val="both"/>
        <w:rPr>
          <w:rFonts w:ascii="Palatino Linotype" w:eastAsia="Times New Roman" w:hAnsi="Palatino Linotype"/>
          <w:bCs/>
          <w:sz w:val="22"/>
          <w:szCs w:val="22"/>
        </w:rPr>
      </w:pPr>
      <w:r w:rsidRPr="00620BE6">
        <w:rPr>
          <w:rFonts w:ascii="Palatino Linotype" w:eastAsia="Times New Roman" w:hAnsi="Palatino Linotype"/>
          <w:bCs/>
          <w:sz w:val="22"/>
          <w:szCs w:val="22"/>
        </w:rPr>
        <w:t>Further, among BSE indices, BSE Metal recorded the highest daily volatility (1.</w:t>
      </w:r>
      <w:r>
        <w:rPr>
          <w:rFonts w:ascii="Palatino Linotype" w:eastAsia="Times New Roman" w:hAnsi="Palatino Linotype"/>
          <w:bCs/>
          <w:sz w:val="22"/>
          <w:szCs w:val="22"/>
        </w:rPr>
        <w:t>8</w:t>
      </w:r>
      <w:r w:rsidRPr="00620BE6">
        <w:rPr>
          <w:rFonts w:ascii="Palatino Linotype" w:eastAsia="Times New Roman" w:hAnsi="Palatino Linotype"/>
          <w:bCs/>
          <w:sz w:val="22"/>
          <w:szCs w:val="22"/>
        </w:rPr>
        <w:t xml:space="preserve"> per cent), followed by BSE </w:t>
      </w:r>
      <w:r>
        <w:rPr>
          <w:rFonts w:ascii="Palatino Linotype" w:eastAsia="Times New Roman" w:hAnsi="Palatino Linotype"/>
          <w:bCs/>
          <w:sz w:val="22"/>
          <w:szCs w:val="22"/>
        </w:rPr>
        <w:t>Healthcare</w:t>
      </w:r>
      <w:r w:rsidRPr="00620BE6">
        <w:rPr>
          <w:rFonts w:ascii="Palatino Linotype" w:eastAsia="Times New Roman" w:hAnsi="Palatino Linotype"/>
          <w:bCs/>
          <w:sz w:val="22"/>
          <w:szCs w:val="22"/>
        </w:rPr>
        <w:t xml:space="preserve"> (1.</w:t>
      </w:r>
      <w:r>
        <w:rPr>
          <w:rFonts w:ascii="Palatino Linotype" w:eastAsia="Times New Roman" w:hAnsi="Palatino Linotype"/>
          <w:bCs/>
          <w:sz w:val="22"/>
          <w:szCs w:val="22"/>
        </w:rPr>
        <w:t>4</w:t>
      </w:r>
      <w:r w:rsidRPr="00620BE6">
        <w:rPr>
          <w:rFonts w:ascii="Palatino Linotype" w:eastAsia="Times New Roman" w:hAnsi="Palatino Linotype"/>
          <w:bCs/>
          <w:sz w:val="22"/>
          <w:szCs w:val="22"/>
        </w:rPr>
        <w:t xml:space="preserve"> per cent), BSE </w:t>
      </w:r>
      <w:r>
        <w:rPr>
          <w:rFonts w:ascii="Palatino Linotype" w:eastAsia="Times New Roman" w:hAnsi="Palatino Linotype"/>
          <w:bCs/>
          <w:sz w:val="22"/>
          <w:szCs w:val="22"/>
        </w:rPr>
        <w:t>FMCG</w:t>
      </w:r>
      <w:r w:rsidRPr="00620BE6">
        <w:rPr>
          <w:rFonts w:ascii="Palatino Linotype" w:eastAsia="Times New Roman" w:hAnsi="Palatino Linotype"/>
          <w:bCs/>
          <w:sz w:val="22"/>
          <w:szCs w:val="22"/>
        </w:rPr>
        <w:t xml:space="preserve">, BSE </w:t>
      </w:r>
      <w:r>
        <w:rPr>
          <w:rFonts w:ascii="Palatino Linotype" w:eastAsia="Times New Roman" w:hAnsi="Palatino Linotype"/>
          <w:bCs/>
          <w:sz w:val="22"/>
          <w:szCs w:val="22"/>
        </w:rPr>
        <w:t>Power, BSE Consumer durables and BSE Small Cap, each registering a volatility of 1.3 per cent. BSE Teck and BSE Sensex, with a daily volatility of 0.8 per cent, were the least volatile indices for the month of September 2018.</w:t>
      </w:r>
    </w:p>
    <w:p w14:paraId="6B00CB67" w14:textId="77777777" w:rsidR="00885921" w:rsidRPr="00E43350" w:rsidRDefault="00885921" w:rsidP="00885921">
      <w:pPr>
        <w:jc w:val="both"/>
        <w:rPr>
          <w:rFonts w:ascii="Palatino Linotype" w:eastAsia="Times New Roman" w:hAnsi="Palatino Linotype"/>
          <w:bCs/>
          <w:sz w:val="22"/>
          <w:szCs w:val="22"/>
          <w:highlight w:val="yellow"/>
        </w:rPr>
      </w:pPr>
    </w:p>
    <w:p w14:paraId="1888149F" w14:textId="77777777" w:rsidR="00885921" w:rsidRPr="00620BE6" w:rsidRDefault="00885921" w:rsidP="00885921">
      <w:pPr>
        <w:rPr>
          <w:rFonts w:ascii="Palatino Linotype" w:hAnsi="Palatino Linotype"/>
          <w:b/>
          <w:bCs/>
          <w:sz w:val="22"/>
          <w:szCs w:val="22"/>
        </w:rPr>
      </w:pPr>
      <w:r w:rsidRPr="00620BE6">
        <w:rPr>
          <w:rFonts w:ascii="Palatino Linotype" w:hAnsi="Palatino Linotype"/>
          <w:b/>
          <w:bCs/>
          <w:sz w:val="22"/>
          <w:szCs w:val="22"/>
        </w:rPr>
        <w:t>Figure 4: Performance of BSE Indices</w:t>
      </w:r>
    </w:p>
    <w:p w14:paraId="378BE84F" w14:textId="77777777" w:rsidR="00885921" w:rsidRPr="00E43350" w:rsidRDefault="00885921" w:rsidP="00885921">
      <w:pPr>
        <w:rPr>
          <w:rFonts w:ascii="Palatino Linotype" w:hAnsi="Palatino Linotype"/>
          <w:b/>
          <w:bCs/>
          <w:sz w:val="22"/>
          <w:szCs w:val="22"/>
          <w:highlight w:val="yellow"/>
        </w:rPr>
      </w:pPr>
      <w:r>
        <w:rPr>
          <w:noProof/>
          <w:lang w:val="en-IN" w:eastAsia="en-IN"/>
        </w:rPr>
        <w:drawing>
          <wp:anchor distT="0" distB="0" distL="114300" distR="114300" simplePos="0" relativeHeight="251670528" behindDoc="0" locked="0" layoutInCell="1" allowOverlap="1" wp14:anchorId="3E36CBA0" wp14:editId="572E9343">
            <wp:simplePos x="0" y="0"/>
            <wp:positionH relativeFrom="column">
              <wp:posOffset>342900</wp:posOffset>
            </wp:positionH>
            <wp:positionV relativeFrom="paragraph">
              <wp:posOffset>196215</wp:posOffset>
            </wp:positionV>
            <wp:extent cx="5238750" cy="2476500"/>
            <wp:effectExtent l="0" t="0" r="0" b="0"/>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0D5C02A8" w14:textId="77777777" w:rsidR="00885921" w:rsidRPr="00E43350" w:rsidRDefault="00885921" w:rsidP="00885921">
      <w:pPr>
        <w:jc w:val="center"/>
        <w:rPr>
          <w:rFonts w:ascii="Palatino Linotype" w:eastAsia="Times New Roman" w:hAnsi="Palatino Linotype"/>
          <w:bCs/>
          <w:sz w:val="22"/>
          <w:szCs w:val="22"/>
          <w:highlight w:val="yellow"/>
        </w:rPr>
      </w:pPr>
    </w:p>
    <w:p w14:paraId="1DDEA659" w14:textId="77777777" w:rsidR="00885921" w:rsidRDefault="00885921" w:rsidP="00885921">
      <w:pPr>
        <w:jc w:val="both"/>
        <w:rPr>
          <w:rFonts w:ascii="Palatino Linotype" w:eastAsia="Times New Roman" w:hAnsi="Palatino Linotype"/>
          <w:bCs/>
          <w:sz w:val="22"/>
          <w:szCs w:val="22"/>
        </w:rPr>
      </w:pPr>
      <w:r w:rsidRPr="00544EE7">
        <w:rPr>
          <w:rFonts w:ascii="Palatino Linotype" w:eastAsia="Times New Roman" w:hAnsi="Palatino Linotype"/>
          <w:bCs/>
          <w:sz w:val="22"/>
          <w:szCs w:val="22"/>
        </w:rPr>
        <w:t xml:space="preserve">As regards NSE indices, </w:t>
      </w:r>
      <w:r>
        <w:rPr>
          <w:rFonts w:ascii="Palatino Linotype" w:eastAsia="Times New Roman" w:hAnsi="Palatino Linotype"/>
          <w:bCs/>
          <w:sz w:val="22"/>
          <w:szCs w:val="22"/>
        </w:rPr>
        <w:t xml:space="preserve">Nifty IT was the only sectoral gainer in September 2018 – up by 0.2 per cent. During September 2018, Nifty Small 100 witnessed the highest dip of around 20 per cent followed by </w:t>
      </w:r>
      <w:r w:rsidRPr="00544EE7">
        <w:rPr>
          <w:rFonts w:ascii="Palatino Linotype" w:eastAsia="Times New Roman" w:hAnsi="Palatino Linotype"/>
          <w:bCs/>
          <w:sz w:val="22"/>
          <w:szCs w:val="22"/>
        </w:rPr>
        <w:t>Nifty PSU Bank</w:t>
      </w:r>
      <w:r>
        <w:rPr>
          <w:rFonts w:ascii="Palatino Linotype" w:eastAsia="Times New Roman" w:hAnsi="Palatino Linotype"/>
          <w:bCs/>
          <w:sz w:val="22"/>
          <w:szCs w:val="22"/>
        </w:rPr>
        <w:t xml:space="preserve"> (18.6 per cent), Nifty Midcap 100 (13.9 per cent), Nifty Media (13.8 per cent) and </w:t>
      </w:r>
      <w:r w:rsidRPr="00544EE7">
        <w:rPr>
          <w:rFonts w:ascii="Palatino Linotype" w:eastAsia="Times New Roman" w:hAnsi="Palatino Linotype"/>
          <w:bCs/>
          <w:sz w:val="22"/>
          <w:szCs w:val="22"/>
        </w:rPr>
        <w:t>Nifty Midcap 50 (</w:t>
      </w:r>
      <w:r>
        <w:rPr>
          <w:rFonts w:ascii="Palatino Linotype" w:eastAsia="Times New Roman" w:hAnsi="Palatino Linotype"/>
          <w:bCs/>
          <w:sz w:val="22"/>
          <w:szCs w:val="22"/>
        </w:rPr>
        <w:t>13.5 per cent). Nifty Pharma lost only 4 per cent during the month.</w:t>
      </w:r>
    </w:p>
    <w:p w14:paraId="01A06A78" w14:textId="77777777" w:rsidR="00885921" w:rsidRDefault="00885921" w:rsidP="00885921">
      <w:pPr>
        <w:jc w:val="both"/>
        <w:rPr>
          <w:rFonts w:ascii="Palatino Linotype" w:eastAsia="Times New Roman" w:hAnsi="Palatino Linotype"/>
          <w:bCs/>
          <w:sz w:val="22"/>
          <w:szCs w:val="22"/>
        </w:rPr>
      </w:pPr>
    </w:p>
    <w:p w14:paraId="022131AC" w14:textId="77777777" w:rsidR="00885921" w:rsidRPr="00E43350" w:rsidRDefault="00885921" w:rsidP="00885921">
      <w:pPr>
        <w:jc w:val="both"/>
        <w:rPr>
          <w:rFonts w:ascii="Palatino Linotype" w:eastAsia="Times New Roman" w:hAnsi="Palatino Linotype"/>
          <w:bCs/>
          <w:sz w:val="22"/>
          <w:szCs w:val="22"/>
          <w:highlight w:val="yellow"/>
        </w:rPr>
      </w:pPr>
      <w:r w:rsidRPr="00544EE7">
        <w:rPr>
          <w:rFonts w:ascii="Palatino Linotype" w:eastAsia="Times New Roman" w:hAnsi="Palatino Linotype"/>
          <w:bCs/>
          <w:sz w:val="22"/>
          <w:szCs w:val="22"/>
        </w:rPr>
        <w:t>At NSE, daily volatility of</w:t>
      </w:r>
      <w:r>
        <w:rPr>
          <w:rFonts w:ascii="Palatino Linotype" w:eastAsia="Times New Roman" w:hAnsi="Palatino Linotype"/>
          <w:bCs/>
          <w:sz w:val="22"/>
          <w:szCs w:val="22"/>
        </w:rPr>
        <w:t xml:space="preserve"> all three indices, viz.,</w:t>
      </w:r>
      <w:r w:rsidRPr="00544EE7">
        <w:rPr>
          <w:rFonts w:ascii="Palatino Linotype" w:eastAsia="Times New Roman" w:hAnsi="Palatino Linotype"/>
          <w:bCs/>
          <w:sz w:val="22"/>
          <w:szCs w:val="22"/>
        </w:rPr>
        <w:t xml:space="preserve"> Nifty PSU Bank</w:t>
      </w:r>
      <w:r>
        <w:rPr>
          <w:rFonts w:ascii="Palatino Linotype" w:eastAsia="Times New Roman" w:hAnsi="Palatino Linotype"/>
          <w:bCs/>
          <w:sz w:val="22"/>
          <w:szCs w:val="22"/>
        </w:rPr>
        <w:t>, Nifty Pharma and Nifty Small 100</w:t>
      </w:r>
      <w:r w:rsidRPr="00544EE7">
        <w:rPr>
          <w:rFonts w:ascii="Palatino Linotype" w:eastAsia="Times New Roman" w:hAnsi="Palatino Linotype"/>
          <w:bCs/>
          <w:sz w:val="22"/>
          <w:szCs w:val="22"/>
        </w:rPr>
        <w:t xml:space="preserve"> was 1.</w:t>
      </w:r>
      <w:r>
        <w:rPr>
          <w:rFonts w:ascii="Palatino Linotype" w:eastAsia="Times New Roman" w:hAnsi="Palatino Linotype"/>
          <w:bCs/>
          <w:sz w:val="22"/>
          <w:szCs w:val="22"/>
        </w:rPr>
        <w:t>7</w:t>
      </w:r>
      <w:r w:rsidRPr="00544EE7">
        <w:rPr>
          <w:rFonts w:ascii="Palatino Linotype" w:eastAsia="Times New Roman" w:hAnsi="Palatino Linotype"/>
          <w:bCs/>
          <w:sz w:val="22"/>
          <w:szCs w:val="22"/>
        </w:rPr>
        <w:t xml:space="preserve"> per cent</w:t>
      </w:r>
      <w:r>
        <w:rPr>
          <w:rFonts w:ascii="Palatino Linotype" w:eastAsia="Times New Roman" w:hAnsi="Palatino Linotype"/>
          <w:bCs/>
          <w:sz w:val="22"/>
          <w:szCs w:val="22"/>
        </w:rPr>
        <w:t xml:space="preserve"> each</w:t>
      </w:r>
      <w:r w:rsidRPr="00544EE7">
        <w:rPr>
          <w:rFonts w:ascii="Palatino Linotype" w:eastAsia="Times New Roman" w:hAnsi="Palatino Linotype"/>
          <w:bCs/>
          <w:sz w:val="22"/>
          <w:szCs w:val="22"/>
        </w:rPr>
        <w:t xml:space="preserve">, followed by Nifty </w:t>
      </w:r>
      <w:r>
        <w:rPr>
          <w:rFonts w:ascii="Palatino Linotype" w:eastAsia="Times New Roman" w:hAnsi="Palatino Linotype"/>
          <w:bCs/>
          <w:sz w:val="22"/>
          <w:szCs w:val="22"/>
        </w:rPr>
        <w:t>Midcap 50</w:t>
      </w:r>
      <w:r w:rsidRPr="00544EE7">
        <w:rPr>
          <w:rFonts w:ascii="Palatino Linotype" w:eastAsia="Times New Roman" w:hAnsi="Palatino Linotype"/>
          <w:bCs/>
          <w:sz w:val="22"/>
          <w:szCs w:val="22"/>
        </w:rPr>
        <w:t xml:space="preserve"> (1.</w:t>
      </w:r>
      <w:r>
        <w:rPr>
          <w:rFonts w:ascii="Palatino Linotype" w:eastAsia="Times New Roman" w:hAnsi="Palatino Linotype"/>
          <w:bCs/>
          <w:sz w:val="22"/>
          <w:szCs w:val="22"/>
        </w:rPr>
        <w:t xml:space="preserve">5 per cent). Nifty Next 50, Nifty </w:t>
      </w:r>
      <w:r w:rsidRPr="00DD7BA3">
        <w:rPr>
          <w:rFonts w:ascii="Palatino Linotype" w:eastAsia="Times New Roman" w:hAnsi="Palatino Linotype"/>
          <w:bCs/>
          <w:sz w:val="22"/>
          <w:szCs w:val="22"/>
        </w:rPr>
        <w:t>Midcap 100</w:t>
      </w:r>
      <w:r>
        <w:rPr>
          <w:rFonts w:ascii="Palatino Linotype" w:eastAsia="Times New Roman" w:hAnsi="Palatino Linotype"/>
          <w:bCs/>
          <w:sz w:val="22"/>
          <w:szCs w:val="22"/>
        </w:rPr>
        <w:t xml:space="preserve"> and Nifty FMCG recorded a daily volatility of 1.4 per cent each. Nifty 50 (0.8 per cent) was the least volatile among the NSE indices under consideration. </w:t>
      </w:r>
    </w:p>
    <w:p w14:paraId="4E7B502D" w14:textId="77777777" w:rsidR="00885921" w:rsidRPr="00620BE6" w:rsidRDefault="00885921" w:rsidP="00885921">
      <w:pPr>
        <w:rPr>
          <w:rFonts w:ascii="Palatino Linotype" w:hAnsi="Palatino Linotype"/>
          <w:b/>
          <w:bCs/>
          <w:sz w:val="22"/>
          <w:szCs w:val="22"/>
        </w:rPr>
      </w:pPr>
    </w:p>
    <w:p w14:paraId="6BBFB8A1" w14:textId="77777777" w:rsidR="00885921" w:rsidRPr="00620BE6" w:rsidRDefault="00885921" w:rsidP="00885921">
      <w:pPr>
        <w:rPr>
          <w:rFonts w:ascii="Palatino Linotype" w:hAnsi="Palatino Linotype"/>
          <w:b/>
          <w:bCs/>
          <w:sz w:val="22"/>
          <w:szCs w:val="22"/>
        </w:rPr>
      </w:pPr>
      <w:r>
        <w:rPr>
          <w:noProof/>
          <w:lang w:val="en-IN" w:eastAsia="en-IN"/>
        </w:rPr>
        <w:drawing>
          <wp:anchor distT="0" distB="0" distL="114300" distR="114300" simplePos="0" relativeHeight="251671552" behindDoc="0" locked="0" layoutInCell="1" allowOverlap="1" wp14:anchorId="30D45EE3" wp14:editId="5E48F35E">
            <wp:simplePos x="0" y="0"/>
            <wp:positionH relativeFrom="column">
              <wp:posOffset>523875</wp:posOffset>
            </wp:positionH>
            <wp:positionV relativeFrom="paragraph">
              <wp:posOffset>374015</wp:posOffset>
            </wp:positionV>
            <wp:extent cx="5057775" cy="2790825"/>
            <wp:effectExtent l="0" t="0" r="9525" b="952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620BE6">
        <w:rPr>
          <w:rFonts w:ascii="Palatino Linotype" w:hAnsi="Palatino Linotype"/>
          <w:b/>
          <w:bCs/>
          <w:sz w:val="22"/>
          <w:szCs w:val="22"/>
        </w:rPr>
        <w:t>Figure 5: Performance of NSE Indices</w:t>
      </w:r>
    </w:p>
    <w:p w14:paraId="351AE7C2" w14:textId="77777777" w:rsidR="00885921" w:rsidRPr="00CB36B3" w:rsidRDefault="00885921" w:rsidP="00885921">
      <w:pPr>
        <w:tabs>
          <w:tab w:val="left" w:pos="6225"/>
        </w:tabs>
        <w:rPr>
          <w:rFonts w:ascii="Palatino Linotype" w:eastAsia="Times New Roman" w:hAnsi="Palatino Linotype"/>
          <w:b/>
          <w:bCs/>
          <w:sz w:val="22"/>
          <w:szCs w:val="22"/>
        </w:rPr>
      </w:pPr>
      <w:r>
        <w:rPr>
          <w:rFonts w:ascii="Palatino Linotype" w:eastAsia="Times New Roman" w:hAnsi="Palatino Linotype"/>
          <w:b/>
          <w:bCs/>
          <w:sz w:val="22"/>
          <w:szCs w:val="22"/>
        </w:rPr>
        <w:tab/>
      </w:r>
    </w:p>
    <w:p w14:paraId="6439CD46" w14:textId="77777777" w:rsidR="00885921" w:rsidRPr="005A282D" w:rsidRDefault="00885921" w:rsidP="00885921">
      <w:pPr>
        <w:widowControl w:val="0"/>
        <w:numPr>
          <w:ilvl w:val="0"/>
          <w:numId w:val="2"/>
        </w:numPr>
        <w:contextualSpacing/>
        <w:jc w:val="both"/>
        <w:rPr>
          <w:rFonts w:ascii="Palatino Linotype" w:hAnsi="Palatino Linotype"/>
          <w:b/>
          <w:sz w:val="22"/>
          <w:szCs w:val="22"/>
        </w:rPr>
      </w:pPr>
      <w:r w:rsidRPr="005A282D">
        <w:rPr>
          <w:rFonts w:ascii="Palatino Linotype" w:hAnsi="Palatino Linotype"/>
          <w:b/>
          <w:sz w:val="22"/>
          <w:szCs w:val="22"/>
        </w:rPr>
        <w:t xml:space="preserve">Trends in Depository Accounts </w:t>
      </w:r>
    </w:p>
    <w:p w14:paraId="1884E16E" w14:textId="77777777" w:rsidR="00885921" w:rsidRPr="005A7FA8" w:rsidRDefault="00885921" w:rsidP="00885921">
      <w:pPr>
        <w:widowControl w:val="0"/>
        <w:jc w:val="both"/>
        <w:rPr>
          <w:rFonts w:ascii="Palatino Linotype" w:hAnsi="Palatino Linotype"/>
          <w:b/>
          <w:sz w:val="22"/>
          <w:szCs w:val="22"/>
        </w:rPr>
      </w:pPr>
    </w:p>
    <w:p w14:paraId="3CC8FB20" w14:textId="77777777" w:rsidR="00885921" w:rsidRDefault="00885921" w:rsidP="00885921">
      <w:pPr>
        <w:jc w:val="both"/>
        <w:rPr>
          <w:rFonts w:ascii="Palatino Linotype" w:eastAsia="Times New Roman" w:hAnsi="Palatino Linotype"/>
          <w:sz w:val="22"/>
          <w:szCs w:val="22"/>
        </w:rPr>
      </w:pPr>
      <w:r>
        <w:rPr>
          <w:rFonts w:ascii="Palatino Linotype" w:eastAsia="Times New Roman" w:hAnsi="Palatino Linotype"/>
          <w:sz w:val="22"/>
          <w:szCs w:val="22"/>
        </w:rPr>
        <w:t>At the end of September 2018, there were 177</w:t>
      </w:r>
      <w:r w:rsidRPr="005A7FA8">
        <w:rPr>
          <w:rFonts w:ascii="Palatino Linotype" w:eastAsia="Times New Roman" w:hAnsi="Palatino Linotype"/>
          <w:sz w:val="22"/>
          <w:szCs w:val="22"/>
        </w:rPr>
        <w:t xml:space="preserve"> lakh</w:t>
      </w:r>
      <w:r>
        <w:rPr>
          <w:rFonts w:ascii="Palatino Linotype" w:eastAsia="Times New Roman" w:hAnsi="Palatino Linotype"/>
          <w:sz w:val="22"/>
          <w:szCs w:val="22"/>
        </w:rPr>
        <w:t xml:space="preserve"> demat accounts at NSDL</w:t>
      </w:r>
      <w:r w:rsidRPr="005A7FA8">
        <w:rPr>
          <w:rFonts w:ascii="Palatino Linotype" w:eastAsia="Times New Roman" w:hAnsi="Palatino Linotype"/>
          <w:sz w:val="22"/>
          <w:szCs w:val="22"/>
        </w:rPr>
        <w:t xml:space="preserve"> and </w:t>
      </w:r>
      <w:r>
        <w:rPr>
          <w:rFonts w:ascii="Palatino Linotype" w:eastAsia="Times New Roman" w:hAnsi="Palatino Linotype"/>
          <w:sz w:val="22"/>
          <w:szCs w:val="22"/>
        </w:rPr>
        <w:t>161</w:t>
      </w:r>
      <w:r w:rsidRPr="005A7FA8">
        <w:rPr>
          <w:rFonts w:ascii="Palatino Linotype" w:eastAsia="Times New Roman" w:hAnsi="Palatino Linotype"/>
          <w:sz w:val="22"/>
          <w:szCs w:val="22"/>
        </w:rPr>
        <w:t xml:space="preserve"> lakh </w:t>
      </w:r>
      <w:r>
        <w:rPr>
          <w:rFonts w:ascii="Palatino Linotype" w:eastAsia="Times New Roman" w:hAnsi="Palatino Linotype"/>
          <w:sz w:val="22"/>
          <w:szCs w:val="22"/>
        </w:rPr>
        <w:t xml:space="preserve">demat accounts at CDSL. </w:t>
      </w:r>
      <w:r w:rsidRPr="00D131E9">
        <w:rPr>
          <w:rFonts w:ascii="Palatino Linotype" w:eastAsia="Times New Roman" w:hAnsi="Palatino Linotype"/>
          <w:sz w:val="22"/>
          <w:szCs w:val="22"/>
        </w:rPr>
        <w:t>At NSDL, till September 2018, 6,060 companies signed up to make their shares available for dematerialisation while at CDSL, 6,840 companies signed up.</w:t>
      </w:r>
      <w:r>
        <w:rPr>
          <w:rFonts w:ascii="Palatino Linotype" w:eastAsia="Times New Roman" w:hAnsi="Palatino Linotype"/>
          <w:sz w:val="22"/>
          <w:szCs w:val="22"/>
        </w:rPr>
        <w:t xml:space="preserve"> </w:t>
      </w:r>
    </w:p>
    <w:p w14:paraId="0556BD04" w14:textId="77777777" w:rsidR="00885921" w:rsidRDefault="00885921" w:rsidP="00885921">
      <w:pPr>
        <w:jc w:val="both"/>
        <w:rPr>
          <w:rFonts w:ascii="Palatino Linotype" w:eastAsia="Times New Roman" w:hAnsi="Palatino Linotype"/>
          <w:sz w:val="22"/>
          <w:szCs w:val="22"/>
        </w:rPr>
      </w:pPr>
    </w:p>
    <w:p w14:paraId="6B9DF361" w14:textId="77777777" w:rsidR="00885921" w:rsidRPr="00D13863" w:rsidRDefault="00885921" w:rsidP="00885921">
      <w:pPr>
        <w:jc w:val="both"/>
        <w:rPr>
          <w:rFonts w:ascii="Palatino Linotype" w:hAnsi="Palatino Linotype"/>
          <w:b/>
          <w:sz w:val="22"/>
          <w:szCs w:val="22"/>
        </w:rPr>
      </w:pPr>
      <w:r w:rsidRPr="00D13863">
        <w:rPr>
          <w:rFonts w:ascii="Palatino Linotype" w:hAnsi="Palatino Linotype"/>
          <w:b/>
          <w:sz w:val="22"/>
          <w:szCs w:val="22"/>
        </w:rPr>
        <w:t>Trends in Derivatives Segment</w:t>
      </w:r>
      <w:r w:rsidRPr="00D13863">
        <w:rPr>
          <w:rFonts w:ascii="Palatino Linotype" w:hAnsi="Palatino Linotype"/>
          <w:b/>
          <w:sz w:val="22"/>
          <w:szCs w:val="22"/>
        </w:rPr>
        <w:tab/>
      </w:r>
    </w:p>
    <w:p w14:paraId="258EC188" w14:textId="77777777" w:rsidR="00885921" w:rsidRPr="00D13863" w:rsidRDefault="00885921" w:rsidP="00885921">
      <w:pPr>
        <w:widowControl w:val="0"/>
        <w:jc w:val="both"/>
        <w:rPr>
          <w:rFonts w:ascii="Palatino Linotype" w:eastAsia="Times New Roman" w:hAnsi="Palatino Linotype"/>
          <w:sz w:val="22"/>
          <w:szCs w:val="22"/>
          <w:highlight w:val="lightGray"/>
        </w:rPr>
      </w:pPr>
    </w:p>
    <w:p w14:paraId="70A34A75" w14:textId="77777777" w:rsidR="00885921" w:rsidRPr="00D13863" w:rsidRDefault="00885921" w:rsidP="00885921">
      <w:pPr>
        <w:widowControl w:val="0"/>
        <w:numPr>
          <w:ilvl w:val="0"/>
          <w:numId w:val="3"/>
        </w:numPr>
        <w:contextualSpacing/>
        <w:jc w:val="both"/>
        <w:outlineLvl w:val="0"/>
        <w:rPr>
          <w:rFonts w:ascii="Palatino Linotype" w:hAnsi="Palatino Linotype"/>
          <w:b/>
          <w:sz w:val="22"/>
          <w:szCs w:val="22"/>
        </w:rPr>
      </w:pPr>
      <w:r w:rsidRPr="00D13863">
        <w:rPr>
          <w:rFonts w:ascii="Palatino Linotype" w:hAnsi="Palatino Linotype"/>
          <w:b/>
          <w:sz w:val="22"/>
          <w:szCs w:val="22"/>
        </w:rPr>
        <w:t>Equity Derivatives</w:t>
      </w:r>
    </w:p>
    <w:p w14:paraId="436C525B" w14:textId="77777777" w:rsidR="00885921" w:rsidRPr="00D13863" w:rsidRDefault="00885921" w:rsidP="00885921">
      <w:pPr>
        <w:jc w:val="both"/>
        <w:rPr>
          <w:rFonts w:ascii="Palatino Linotype" w:eastAsia="Times New Roman" w:hAnsi="Palatino Linotype"/>
          <w:sz w:val="22"/>
          <w:szCs w:val="22"/>
        </w:rPr>
      </w:pPr>
    </w:p>
    <w:p w14:paraId="2DA03D9C" w14:textId="77777777" w:rsidR="00885921" w:rsidRDefault="00885921" w:rsidP="00885921">
      <w:pPr>
        <w:jc w:val="both"/>
        <w:rPr>
          <w:rFonts w:ascii="Palatino Linotype" w:eastAsia="Times New Roman" w:hAnsi="Palatino Linotype"/>
          <w:sz w:val="22"/>
          <w:szCs w:val="22"/>
        </w:rPr>
      </w:pPr>
      <w:r>
        <w:rPr>
          <w:rFonts w:ascii="Palatino Linotype" w:eastAsia="Times New Roman" w:hAnsi="Palatino Linotype"/>
          <w:sz w:val="22"/>
          <w:szCs w:val="22"/>
        </w:rPr>
        <w:t>Over the years, t</w:t>
      </w:r>
      <w:r w:rsidRPr="00DD7BA3">
        <w:rPr>
          <w:rFonts w:ascii="Palatino Linotype" w:eastAsia="Times New Roman" w:hAnsi="Palatino Linotype"/>
          <w:sz w:val="22"/>
          <w:szCs w:val="22"/>
        </w:rPr>
        <w:t xml:space="preserve">he </w:t>
      </w:r>
      <w:r>
        <w:rPr>
          <w:rFonts w:ascii="Palatino Linotype" w:eastAsia="Times New Roman" w:hAnsi="Palatino Linotype"/>
          <w:sz w:val="22"/>
          <w:szCs w:val="22"/>
        </w:rPr>
        <w:t>Indian e</w:t>
      </w:r>
      <w:r w:rsidRPr="00DD7BA3">
        <w:rPr>
          <w:rFonts w:ascii="Palatino Linotype" w:eastAsia="Times New Roman" w:hAnsi="Palatino Linotype"/>
          <w:sz w:val="22"/>
          <w:szCs w:val="22"/>
        </w:rPr>
        <w:t xml:space="preserve">quity derivatives segment has grown exponentially and </w:t>
      </w:r>
      <w:r>
        <w:rPr>
          <w:rFonts w:ascii="Palatino Linotype" w:eastAsia="Times New Roman" w:hAnsi="Palatino Linotype"/>
          <w:sz w:val="22"/>
          <w:szCs w:val="22"/>
        </w:rPr>
        <w:t xml:space="preserve">is continuing to maintain </w:t>
      </w:r>
      <w:r w:rsidRPr="00DD7BA3">
        <w:rPr>
          <w:rFonts w:ascii="Palatino Linotype" w:eastAsia="Times New Roman" w:hAnsi="Palatino Linotype"/>
          <w:sz w:val="22"/>
          <w:szCs w:val="22"/>
        </w:rPr>
        <w:t xml:space="preserve">its momentum in </w:t>
      </w:r>
      <w:r>
        <w:rPr>
          <w:rFonts w:ascii="Palatino Linotype" w:eastAsia="Times New Roman" w:hAnsi="Palatino Linotype"/>
          <w:sz w:val="22"/>
          <w:szCs w:val="22"/>
        </w:rPr>
        <w:t>the current financial year</w:t>
      </w:r>
      <w:r w:rsidRPr="00DD7BA3">
        <w:rPr>
          <w:rFonts w:ascii="Palatino Linotype" w:eastAsia="Times New Roman" w:hAnsi="Palatino Linotype"/>
          <w:sz w:val="22"/>
          <w:szCs w:val="22"/>
        </w:rPr>
        <w:t xml:space="preserve"> as well. </w:t>
      </w:r>
      <w:r w:rsidRPr="0038777E">
        <w:rPr>
          <w:rFonts w:ascii="Palatino Linotype" w:eastAsia="Times New Roman" w:hAnsi="Palatino Linotype"/>
          <w:sz w:val="22"/>
          <w:szCs w:val="22"/>
        </w:rPr>
        <w:t xml:space="preserve"> </w:t>
      </w:r>
      <w:r w:rsidRPr="005D10C7">
        <w:rPr>
          <w:rFonts w:ascii="Palatino Linotype" w:eastAsia="Times New Roman" w:hAnsi="Palatino Linotype"/>
          <w:sz w:val="22"/>
          <w:szCs w:val="22"/>
        </w:rPr>
        <w:t xml:space="preserve">Among the three exchanges in the </w:t>
      </w:r>
      <w:r>
        <w:rPr>
          <w:rFonts w:ascii="Palatino Linotype" w:eastAsia="Times New Roman" w:hAnsi="Palatino Linotype"/>
          <w:sz w:val="22"/>
          <w:szCs w:val="22"/>
        </w:rPr>
        <w:t xml:space="preserve">derivative market ecosystem, viz., NSE, BSE and MSEI, NSE is </w:t>
      </w:r>
      <w:r w:rsidRPr="005D10C7">
        <w:rPr>
          <w:rFonts w:ascii="Palatino Linotype" w:eastAsia="Times New Roman" w:hAnsi="Palatino Linotype"/>
          <w:sz w:val="22"/>
          <w:szCs w:val="22"/>
        </w:rPr>
        <w:t>domina</w:t>
      </w:r>
      <w:r>
        <w:rPr>
          <w:rFonts w:ascii="Palatino Linotype" w:eastAsia="Times New Roman" w:hAnsi="Palatino Linotype"/>
          <w:sz w:val="22"/>
          <w:szCs w:val="22"/>
        </w:rPr>
        <w:t>ting the market with almost 100 per cent share in equity derivatives. There is negligible trading taking place at BSE and MSEI.</w:t>
      </w:r>
    </w:p>
    <w:p w14:paraId="77684743" w14:textId="77777777" w:rsidR="00885921" w:rsidRDefault="00885921" w:rsidP="00885921">
      <w:pPr>
        <w:jc w:val="both"/>
        <w:rPr>
          <w:rFonts w:ascii="Palatino Linotype" w:eastAsia="Times New Roman" w:hAnsi="Palatino Linotype"/>
          <w:sz w:val="22"/>
          <w:szCs w:val="22"/>
        </w:rPr>
      </w:pPr>
      <w:r>
        <w:rPr>
          <w:rFonts w:ascii="Palatino Linotype" w:eastAsia="Times New Roman" w:hAnsi="Palatino Linotype"/>
          <w:sz w:val="22"/>
          <w:szCs w:val="22"/>
        </w:rPr>
        <w:t xml:space="preserve"> </w:t>
      </w:r>
    </w:p>
    <w:p w14:paraId="7682BB04" w14:textId="77777777" w:rsidR="00885921" w:rsidRDefault="00885921" w:rsidP="00885921">
      <w:pPr>
        <w:jc w:val="both"/>
        <w:rPr>
          <w:rFonts w:ascii="Palatino Linotype" w:eastAsia="Times New Roman" w:hAnsi="Palatino Linotype"/>
          <w:sz w:val="22"/>
          <w:szCs w:val="22"/>
        </w:rPr>
      </w:pPr>
      <w:r>
        <w:rPr>
          <w:rFonts w:ascii="Palatino Linotype" w:eastAsia="Times New Roman" w:hAnsi="Palatino Linotype"/>
          <w:sz w:val="22"/>
          <w:szCs w:val="22"/>
        </w:rPr>
        <w:t>During September 2018, t</w:t>
      </w:r>
      <w:r w:rsidRPr="0038777E">
        <w:rPr>
          <w:rFonts w:ascii="Palatino Linotype" w:eastAsia="Times New Roman" w:hAnsi="Palatino Linotype"/>
          <w:sz w:val="22"/>
          <w:szCs w:val="22"/>
        </w:rPr>
        <w:t>he notional turnover at NSE in</w:t>
      </w:r>
      <w:r w:rsidRPr="0038777E">
        <w:rPr>
          <w:rFonts w:ascii="Palatino Linotype" w:eastAsia="Times New Roman" w:hAnsi="Palatino Linotype" w:cstheme="minorBidi"/>
          <w:sz w:val="22"/>
          <w:szCs w:val="22"/>
          <w:lang w:val="en-US" w:bidi="bn-IN"/>
        </w:rPr>
        <w:t>creased</w:t>
      </w:r>
      <w:r w:rsidRPr="0038777E">
        <w:rPr>
          <w:rFonts w:ascii="Palatino Linotype" w:eastAsia="Times New Roman" w:hAnsi="Palatino Linotype"/>
          <w:sz w:val="22"/>
          <w:szCs w:val="22"/>
        </w:rPr>
        <w:t xml:space="preserve"> to </w:t>
      </w:r>
      <w:r w:rsidRPr="0038777E">
        <w:rPr>
          <w:rFonts w:ascii="Tahoma" w:eastAsia="Times New Roman" w:hAnsi="Tahoma" w:cs="Tahoma"/>
          <w:sz w:val="22"/>
          <w:szCs w:val="22"/>
        </w:rPr>
        <w:t>₹</w:t>
      </w:r>
      <w:r w:rsidRPr="0038777E">
        <w:rPr>
          <w:rFonts w:ascii="Palatino Linotype" w:eastAsia="Times New Roman" w:hAnsi="Palatino Linotype"/>
          <w:sz w:val="22"/>
          <w:szCs w:val="22"/>
        </w:rPr>
        <w:t xml:space="preserve"> 2,24,58,641 crore</w:t>
      </w:r>
      <w:r>
        <w:rPr>
          <w:rFonts w:ascii="Palatino Linotype" w:eastAsia="Times New Roman" w:hAnsi="Palatino Linotype"/>
          <w:sz w:val="22"/>
          <w:szCs w:val="22"/>
        </w:rPr>
        <w:t>, up by 12 per cent from the previous month</w:t>
      </w:r>
      <w:r>
        <w:rPr>
          <w:rFonts w:ascii="Palatino Linotype" w:eastAsia="Times New Roman" w:hAnsi="Palatino Linotype"/>
          <w:bCs/>
          <w:sz w:val="22"/>
          <w:szCs w:val="22"/>
          <w:lang w:val="en-US"/>
        </w:rPr>
        <w:t>. I</w:t>
      </w:r>
      <w:r w:rsidRPr="0038777E">
        <w:rPr>
          <w:rFonts w:ascii="Palatino Linotype" w:eastAsia="Times New Roman" w:hAnsi="Palatino Linotype" w:cs="Garamond"/>
          <w:sz w:val="22"/>
          <w:szCs w:val="22"/>
        </w:rPr>
        <w:t xml:space="preserve">ndex </w:t>
      </w:r>
      <w:r>
        <w:rPr>
          <w:rFonts w:ascii="Palatino Linotype" w:eastAsia="Times New Roman" w:hAnsi="Palatino Linotype" w:cs="Garamond"/>
          <w:sz w:val="22"/>
          <w:szCs w:val="22"/>
        </w:rPr>
        <w:t xml:space="preserve">options </w:t>
      </w:r>
      <w:r w:rsidRPr="0038777E">
        <w:rPr>
          <w:rFonts w:ascii="Palatino Linotype" w:eastAsia="Times New Roman" w:hAnsi="Palatino Linotype" w:cs="Garamond"/>
          <w:sz w:val="22"/>
          <w:szCs w:val="22"/>
        </w:rPr>
        <w:t>accounted for 86.1 per cent of the total notional turnover in the F&amp;O segment at NSE.</w:t>
      </w:r>
      <w:r w:rsidRPr="0038777E">
        <w:rPr>
          <w:rFonts w:ascii="Palatino Linotype" w:eastAsia="Times New Roman" w:hAnsi="Palatino Linotype"/>
          <w:sz w:val="22"/>
          <w:szCs w:val="22"/>
        </w:rPr>
        <w:t xml:space="preserve"> </w:t>
      </w:r>
      <w:r>
        <w:rPr>
          <w:rFonts w:ascii="Palatino Linotype" w:eastAsia="Times New Roman" w:hAnsi="Palatino Linotype"/>
          <w:sz w:val="22"/>
          <w:szCs w:val="22"/>
        </w:rPr>
        <w:t xml:space="preserve">Although the </w:t>
      </w:r>
      <w:r w:rsidRPr="0038777E">
        <w:rPr>
          <w:rFonts w:ascii="Palatino Linotype" w:eastAsia="Times New Roman" w:hAnsi="Palatino Linotype"/>
          <w:sz w:val="22"/>
          <w:szCs w:val="22"/>
        </w:rPr>
        <w:t>notional turnover of index futures incr</w:t>
      </w:r>
      <w:r>
        <w:rPr>
          <w:rFonts w:ascii="Palatino Linotype" w:eastAsia="Times New Roman" w:hAnsi="Palatino Linotype"/>
          <w:sz w:val="22"/>
          <w:szCs w:val="22"/>
        </w:rPr>
        <w:t xml:space="preserve">eased by 37.0 per cent in September 2018, that of </w:t>
      </w:r>
      <w:r w:rsidRPr="0038777E">
        <w:rPr>
          <w:rFonts w:ascii="Palatino Linotype" w:eastAsia="Times New Roman" w:hAnsi="Palatino Linotype"/>
          <w:sz w:val="22"/>
          <w:szCs w:val="22"/>
        </w:rPr>
        <w:t xml:space="preserve">stock futures decreased by 5.2 per cent over </w:t>
      </w:r>
      <w:r>
        <w:rPr>
          <w:rFonts w:ascii="Palatino Linotype" w:eastAsia="Times New Roman" w:hAnsi="Palatino Linotype"/>
          <w:sz w:val="22"/>
          <w:szCs w:val="22"/>
        </w:rPr>
        <w:t xml:space="preserve">the </w:t>
      </w:r>
      <w:r w:rsidRPr="0038777E">
        <w:rPr>
          <w:rFonts w:ascii="Palatino Linotype" w:eastAsia="Times New Roman" w:hAnsi="Palatino Linotype"/>
          <w:sz w:val="22"/>
          <w:szCs w:val="22"/>
        </w:rPr>
        <w:t xml:space="preserve">previous month. </w:t>
      </w:r>
    </w:p>
    <w:p w14:paraId="104D7507" w14:textId="77777777" w:rsidR="00885921" w:rsidRDefault="00885921" w:rsidP="00885921">
      <w:pPr>
        <w:jc w:val="both"/>
        <w:rPr>
          <w:rFonts w:ascii="Palatino Linotype" w:hAnsi="Palatino Linotype"/>
          <w:b/>
          <w:sz w:val="22"/>
          <w:szCs w:val="22"/>
        </w:rPr>
      </w:pPr>
    </w:p>
    <w:p w14:paraId="068F48AA" w14:textId="77777777" w:rsidR="00885921" w:rsidRPr="00D13863" w:rsidRDefault="00885921" w:rsidP="00885921">
      <w:pPr>
        <w:jc w:val="both"/>
        <w:rPr>
          <w:rFonts w:ascii="Palatino Linotype" w:hAnsi="Palatino Linotype"/>
          <w:b/>
          <w:sz w:val="22"/>
          <w:szCs w:val="22"/>
        </w:rPr>
      </w:pPr>
      <w:r w:rsidRPr="00D13863">
        <w:rPr>
          <w:rFonts w:ascii="Palatino Linotype" w:hAnsi="Palatino Linotype"/>
          <w:b/>
          <w:sz w:val="22"/>
          <w:szCs w:val="22"/>
        </w:rPr>
        <w:t xml:space="preserve">Figure </w:t>
      </w:r>
      <w:r>
        <w:rPr>
          <w:rFonts w:ascii="Palatino Linotype" w:hAnsi="Palatino Linotype"/>
          <w:b/>
          <w:sz w:val="22"/>
          <w:szCs w:val="22"/>
        </w:rPr>
        <w:t>6</w:t>
      </w:r>
      <w:r w:rsidRPr="00D13863">
        <w:rPr>
          <w:rFonts w:ascii="Palatino Linotype" w:hAnsi="Palatino Linotype"/>
          <w:b/>
          <w:sz w:val="22"/>
          <w:szCs w:val="22"/>
        </w:rPr>
        <w:t xml:space="preserve">: Trends of Equity Derivatives Segment at NSE </w:t>
      </w:r>
      <w:r>
        <w:rPr>
          <w:rFonts w:ascii="Palatino Linotype" w:hAnsi="Palatino Linotype"/>
          <w:b/>
          <w:sz w:val="22"/>
          <w:szCs w:val="22"/>
        </w:rPr>
        <w:t>(</w:t>
      </w:r>
      <w:r>
        <w:rPr>
          <w:rFonts w:ascii="Times New Roman" w:hAnsi="Times New Roman"/>
          <w:b/>
          <w:sz w:val="22"/>
          <w:szCs w:val="22"/>
        </w:rPr>
        <w:t>₹</w:t>
      </w:r>
      <w:r w:rsidRPr="00D13863">
        <w:rPr>
          <w:rFonts w:ascii="Palatino Linotype" w:hAnsi="Palatino Linotype" w:cs="Garamond"/>
          <w:b/>
          <w:sz w:val="22"/>
          <w:szCs w:val="22"/>
        </w:rPr>
        <w:t xml:space="preserve"> </w:t>
      </w:r>
      <w:r w:rsidRPr="00D13863">
        <w:rPr>
          <w:rFonts w:ascii="Palatino Linotype" w:hAnsi="Palatino Linotype"/>
          <w:b/>
          <w:sz w:val="22"/>
          <w:szCs w:val="22"/>
        </w:rPr>
        <w:t>crore)</w:t>
      </w:r>
    </w:p>
    <w:p w14:paraId="41E3614C" w14:textId="77777777" w:rsidR="00885921" w:rsidRPr="00D13863" w:rsidRDefault="00885921" w:rsidP="00885921">
      <w:pPr>
        <w:jc w:val="both"/>
        <w:rPr>
          <w:rFonts w:ascii="Palatino Linotype" w:eastAsia="Times New Roman" w:hAnsi="Palatino Linotype"/>
          <w:b/>
          <w:sz w:val="22"/>
          <w:szCs w:val="22"/>
        </w:rPr>
      </w:pPr>
    </w:p>
    <w:p w14:paraId="4B187BA6" w14:textId="77777777" w:rsidR="00885921" w:rsidRPr="00D13863" w:rsidRDefault="00885921" w:rsidP="00885921">
      <w:pPr>
        <w:jc w:val="both"/>
        <w:rPr>
          <w:rFonts w:ascii="Palatino Linotype" w:eastAsia="Times New Roman" w:hAnsi="Palatino Linotype"/>
          <w:b/>
          <w:sz w:val="22"/>
          <w:szCs w:val="22"/>
        </w:rPr>
      </w:pPr>
      <w:r>
        <w:rPr>
          <w:noProof/>
          <w:lang w:val="en-IN" w:eastAsia="en-IN"/>
        </w:rPr>
        <w:drawing>
          <wp:inline distT="0" distB="0" distL="0" distR="0" wp14:anchorId="2FAD533D" wp14:editId="275F08D4">
            <wp:extent cx="5544230" cy="2448945"/>
            <wp:effectExtent l="0" t="0" r="18415" b="889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4C5D62" w14:textId="77777777" w:rsidR="00885921" w:rsidRPr="00D13863" w:rsidRDefault="00885921" w:rsidP="00885921">
      <w:pPr>
        <w:jc w:val="both"/>
        <w:rPr>
          <w:rFonts w:ascii="Palatino Linotype" w:eastAsia="Times New Roman" w:hAnsi="Palatino Linotype"/>
          <w:b/>
          <w:sz w:val="22"/>
          <w:szCs w:val="22"/>
        </w:rPr>
      </w:pPr>
    </w:p>
    <w:p w14:paraId="5DA7366A" w14:textId="77777777" w:rsidR="00885921" w:rsidRPr="00D13863" w:rsidRDefault="00885921" w:rsidP="00885921">
      <w:pPr>
        <w:jc w:val="both"/>
        <w:rPr>
          <w:rFonts w:ascii="Palatino Linotype" w:hAnsi="Palatino Linotype"/>
          <w:b/>
          <w:sz w:val="22"/>
          <w:szCs w:val="22"/>
        </w:rPr>
      </w:pPr>
      <w:r w:rsidRPr="0038777E">
        <w:rPr>
          <w:rFonts w:ascii="Palatino Linotype" w:eastAsia="Times New Roman" w:hAnsi="Palatino Linotype"/>
          <w:sz w:val="22"/>
          <w:szCs w:val="22"/>
        </w:rPr>
        <w:t>Further, monthly notional turnover of put options on index increased by 6.0</w:t>
      </w:r>
      <w:r>
        <w:rPr>
          <w:rFonts w:ascii="Palatino Linotype" w:eastAsia="Times New Roman" w:hAnsi="Palatino Linotype"/>
          <w:sz w:val="22"/>
          <w:szCs w:val="22"/>
        </w:rPr>
        <w:t xml:space="preserve"> </w:t>
      </w:r>
      <w:r w:rsidRPr="0038777E">
        <w:rPr>
          <w:rFonts w:ascii="Palatino Linotype" w:eastAsia="Times New Roman" w:hAnsi="Palatino Linotype"/>
          <w:sz w:val="22"/>
          <w:szCs w:val="22"/>
        </w:rPr>
        <w:t>per cent, and monthly notional turnover of call options on index also increased by 23.6 per cent. In addition, monthly notional turnover of put options on stock and call options on stock decreased by 7.9</w:t>
      </w:r>
      <w:r>
        <w:rPr>
          <w:rFonts w:ascii="Palatino Linotype" w:eastAsia="Times New Roman" w:hAnsi="Palatino Linotype"/>
          <w:sz w:val="22"/>
          <w:szCs w:val="22"/>
        </w:rPr>
        <w:t xml:space="preserve"> </w:t>
      </w:r>
      <w:r w:rsidRPr="0038777E">
        <w:rPr>
          <w:rFonts w:ascii="Palatino Linotype" w:eastAsia="Times New Roman" w:hAnsi="Palatino Linotype"/>
          <w:sz w:val="22"/>
          <w:szCs w:val="22"/>
        </w:rPr>
        <w:t>per cent and 16.4</w:t>
      </w:r>
      <w:r>
        <w:rPr>
          <w:rFonts w:ascii="Palatino Linotype" w:eastAsia="Times New Roman" w:hAnsi="Palatino Linotype"/>
          <w:sz w:val="22"/>
          <w:szCs w:val="22"/>
        </w:rPr>
        <w:t xml:space="preserve"> per cent </w:t>
      </w:r>
      <w:r w:rsidRPr="0038777E">
        <w:rPr>
          <w:rFonts w:ascii="Palatino Linotype" w:eastAsia="Times New Roman" w:hAnsi="Palatino Linotype"/>
          <w:sz w:val="22"/>
          <w:szCs w:val="22"/>
        </w:rPr>
        <w:t>respectively over previous month. The open interest in value terms in the equity derivative segment of NSE decreased by 16.7 per cent to</w:t>
      </w:r>
      <w:r>
        <w:rPr>
          <w:rFonts w:ascii="Palatino Linotype" w:eastAsia="Times New Roman" w:hAnsi="Palatino Linotype"/>
          <w:sz w:val="22"/>
          <w:szCs w:val="22"/>
        </w:rPr>
        <w:t xml:space="preserve"> </w:t>
      </w:r>
      <w:r w:rsidRPr="0038777E">
        <w:rPr>
          <w:rFonts w:ascii="Tahoma" w:eastAsia="Times New Roman" w:hAnsi="Tahoma" w:cs="Tahoma"/>
          <w:sz w:val="22"/>
          <w:szCs w:val="22"/>
        </w:rPr>
        <w:t>₹</w:t>
      </w:r>
      <w:r>
        <w:rPr>
          <w:rFonts w:ascii="Palatino Linotype" w:eastAsia="Times New Roman" w:hAnsi="Palatino Linotype"/>
          <w:sz w:val="22"/>
          <w:szCs w:val="22"/>
        </w:rPr>
        <w:t xml:space="preserve"> 2,</w:t>
      </w:r>
      <w:r w:rsidRPr="0038777E">
        <w:rPr>
          <w:rFonts w:ascii="Palatino Linotype" w:eastAsia="Times New Roman" w:hAnsi="Palatino Linotype"/>
          <w:sz w:val="22"/>
          <w:szCs w:val="22"/>
        </w:rPr>
        <w:t xml:space="preserve">84,743 crore at the end of September 2018 from </w:t>
      </w:r>
      <w:r w:rsidRPr="0038777E">
        <w:rPr>
          <w:rFonts w:ascii="Tahoma" w:eastAsia="Times New Roman" w:hAnsi="Tahoma" w:cs="Tahoma"/>
          <w:sz w:val="22"/>
          <w:szCs w:val="22"/>
        </w:rPr>
        <w:t>₹</w:t>
      </w:r>
      <w:r w:rsidRPr="0038777E">
        <w:rPr>
          <w:rFonts w:ascii="Palatino Linotype" w:eastAsia="Times New Roman" w:hAnsi="Palatino Linotype"/>
          <w:sz w:val="22"/>
          <w:szCs w:val="22"/>
        </w:rPr>
        <w:t xml:space="preserve"> </w:t>
      </w:r>
      <w:r w:rsidRPr="0038777E">
        <w:rPr>
          <w:rFonts w:ascii="Palatino Linotype" w:eastAsia="Times New Roman" w:hAnsi="Palatino Linotype"/>
          <w:bCs/>
          <w:sz w:val="22"/>
          <w:szCs w:val="22"/>
          <w:lang w:val="en-US"/>
        </w:rPr>
        <w:t>3, 41,915</w:t>
      </w:r>
      <w:r w:rsidRPr="0038777E">
        <w:rPr>
          <w:rFonts w:ascii="Palatino Linotype" w:eastAsia="Times New Roman" w:hAnsi="Palatino Linotype"/>
          <w:sz w:val="22"/>
          <w:szCs w:val="22"/>
        </w:rPr>
        <w:t xml:space="preserve"> crore at the end of August 2018.</w:t>
      </w:r>
    </w:p>
    <w:p w14:paraId="72DF7B16" w14:textId="77777777" w:rsidR="00885921" w:rsidRPr="00D13863" w:rsidRDefault="00885921" w:rsidP="00885921">
      <w:pPr>
        <w:jc w:val="both"/>
        <w:rPr>
          <w:rFonts w:ascii="Palatino Linotype" w:eastAsia="Times New Roman" w:hAnsi="Palatino Linotype"/>
          <w:b/>
          <w:sz w:val="22"/>
          <w:szCs w:val="22"/>
        </w:rPr>
      </w:pPr>
    </w:p>
    <w:p w14:paraId="0282017E" w14:textId="1286DD1A" w:rsidR="00885921" w:rsidRPr="00D13863" w:rsidRDefault="00885921" w:rsidP="00885921">
      <w:pPr>
        <w:jc w:val="both"/>
        <w:rPr>
          <w:rFonts w:ascii="Palatino Linotype" w:eastAsia="Times New Roman" w:hAnsi="Palatino Linotype"/>
          <w:sz w:val="22"/>
          <w:szCs w:val="22"/>
        </w:rPr>
      </w:pPr>
      <w:r w:rsidRPr="00243068">
        <w:rPr>
          <w:rFonts w:ascii="Palatino Linotype" w:eastAsia="Times New Roman" w:hAnsi="Palatino Linotype"/>
          <w:sz w:val="22"/>
          <w:szCs w:val="22"/>
        </w:rPr>
        <w:t xml:space="preserve">BSE’s share </w:t>
      </w:r>
      <w:r>
        <w:rPr>
          <w:rFonts w:ascii="Palatino Linotype" w:eastAsia="Times New Roman" w:hAnsi="Palatino Linotype"/>
          <w:sz w:val="22"/>
          <w:szCs w:val="22"/>
        </w:rPr>
        <w:t xml:space="preserve">in equity derivative segment </w:t>
      </w:r>
      <w:r w:rsidRPr="00243068">
        <w:rPr>
          <w:rFonts w:ascii="Palatino Linotype" w:eastAsia="Times New Roman" w:hAnsi="Palatino Linotype"/>
          <w:sz w:val="22"/>
          <w:szCs w:val="22"/>
        </w:rPr>
        <w:t xml:space="preserve">has waned </w:t>
      </w:r>
      <w:r>
        <w:rPr>
          <w:rFonts w:ascii="Palatino Linotype" w:eastAsia="Times New Roman" w:hAnsi="Palatino Linotype"/>
          <w:sz w:val="22"/>
          <w:szCs w:val="22"/>
        </w:rPr>
        <w:t xml:space="preserve">with the total notional turnover being mere </w:t>
      </w:r>
      <w:r w:rsidRPr="005F0012">
        <w:rPr>
          <w:rFonts w:ascii="Rupee Foradian" w:eastAsia="Times New Roman" w:hAnsi="Rupee Foradian"/>
          <w:sz w:val="22"/>
          <w:szCs w:val="22"/>
        </w:rPr>
        <w:t>`</w:t>
      </w:r>
      <w:r>
        <w:rPr>
          <w:rFonts w:ascii="Palatino Linotype" w:eastAsia="Times New Roman" w:hAnsi="Palatino Linotype"/>
          <w:sz w:val="22"/>
          <w:szCs w:val="22"/>
        </w:rPr>
        <w:t>42.5 crore in 2018-19 so far. In S</w:t>
      </w:r>
      <w:r w:rsidRPr="0038777E">
        <w:rPr>
          <w:rFonts w:ascii="Palatino Linotype" w:eastAsia="Times New Roman" w:hAnsi="Palatino Linotype"/>
          <w:sz w:val="22"/>
          <w:szCs w:val="22"/>
        </w:rPr>
        <w:t>eptember 2018, the equity derivatives segment</w:t>
      </w:r>
      <w:r>
        <w:rPr>
          <w:rFonts w:ascii="Palatino Linotype" w:eastAsia="Times New Roman" w:hAnsi="Palatino Linotype"/>
          <w:sz w:val="22"/>
          <w:szCs w:val="22"/>
        </w:rPr>
        <w:t xml:space="preserve"> turnover</w:t>
      </w:r>
      <w:r w:rsidRPr="0038777E">
        <w:rPr>
          <w:rFonts w:ascii="Palatino Linotype" w:eastAsia="Times New Roman" w:hAnsi="Palatino Linotype"/>
          <w:sz w:val="22"/>
          <w:szCs w:val="22"/>
        </w:rPr>
        <w:t xml:space="preserve"> of BSE was </w:t>
      </w:r>
      <w:r w:rsidRPr="0038777E">
        <w:rPr>
          <w:rFonts w:ascii="Times New Roman" w:eastAsia="Times New Roman" w:hAnsi="Times New Roman"/>
          <w:sz w:val="22"/>
          <w:szCs w:val="22"/>
        </w:rPr>
        <w:t>₹0.9 crore</w:t>
      </w:r>
      <w:r w:rsidRPr="0038777E">
        <w:rPr>
          <w:rFonts w:ascii="Palatino Linotype" w:eastAsia="Times New Roman" w:hAnsi="Palatino Linotype"/>
          <w:sz w:val="22"/>
          <w:szCs w:val="22"/>
        </w:rPr>
        <w:t xml:space="preserve"> compared to </w:t>
      </w:r>
      <w:r w:rsidRPr="0038777E">
        <w:rPr>
          <w:rFonts w:ascii="Tahoma" w:eastAsia="Times New Roman" w:hAnsi="Tahoma" w:cs="Tahoma"/>
          <w:sz w:val="22"/>
          <w:szCs w:val="22"/>
        </w:rPr>
        <w:t>₹</w:t>
      </w:r>
      <w:r>
        <w:rPr>
          <w:rFonts w:ascii="Tahoma" w:eastAsia="Times New Roman" w:hAnsi="Tahoma" w:cs="Tahoma"/>
          <w:sz w:val="22"/>
          <w:szCs w:val="22"/>
        </w:rPr>
        <w:t xml:space="preserve"> </w:t>
      </w:r>
      <w:r w:rsidRPr="0038777E">
        <w:rPr>
          <w:rFonts w:ascii="Palatino Linotype" w:eastAsia="Times New Roman" w:hAnsi="Palatino Linotype"/>
          <w:sz w:val="22"/>
          <w:szCs w:val="22"/>
        </w:rPr>
        <w:t>1 crore in August 2018</w:t>
      </w:r>
      <w:r>
        <w:rPr>
          <w:rFonts w:ascii="Palatino Linotype" w:eastAsia="Times New Roman" w:hAnsi="Palatino Linotype" w:cs="Calibri"/>
          <w:sz w:val="22"/>
          <w:szCs w:val="22"/>
        </w:rPr>
        <w:t>, while t</w:t>
      </w:r>
      <w:r w:rsidRPr="0038777E">
        <w:rPr>
          <w:rFonts w:ascii="Palatino Linotype" w:eastAsia="Times New Roman" w:hAnsi="Palatino Linotype"/>
          <w:sz w:val="22"/>
          <w:szCs w:val="22"/>
        </w:rPr>
        <w:t xml:space="preserve">he open interest in </w:t>
      </w:r>
      <w:r>
        <w:rPr>
          <w:rFonts w:ascii="Palatino Linotype" w:eastAsia="Times New Roman" w:hAnsi="Palatino Linotype"/>
          <w:sz w:val="22"/>
          <w:szCs w:val="22"/>
        </w:rPr>
        <w:t xml:space="preserve">terms of </w:t>
      </w:r>
      <w:r w:rsidRPr="0038777E">
        <w:rPr>
          <w:rFonts w:ascii="Palatino Linotype" w:eastAsia="Times New Roman" w:hAnsi="Palatino Linotype"/>
          <w:sz w:val="22"/>
          <w:szCs w:val="22"/>
        </w:rPr>
        <w:t xml:space="preserve">value stood at </w:t>
      </w:r>
      <w:r w:rsidRPr="0038777E">
        <w:rPr>
          <w:rFonts w:ascii="Times New Roman" w:eastAsia="Times New Roman" w:hAnsi="Times New Roman"/>
          <w:sz w:val="22"/>
          <w:szCs w:val="22"/>
        </w:rPr>
        <w:t>₹</w:t>
      </w:r>
      <w:r w:rsidRPr="0038777E">
        <w:rPr>
          <w:rFonts w:ascii="Palatino Linotype" w:eastAsia="Times New Roman" w:hAnsi="Palatino Linotype"/>
          <w:sz w:val="22"/>
          <w:szCs w:val="22"/>
        </w:rPr>
        <w:t xml:space="preserve">0.2 crore as on September </w:t>
      </w:r>
      <w:r w:rsidR="00C814A1">
        <w:rPr>
          <w:rFonts w:ascii="Palatino Linotype" w:eastAsia="Times New Roman" w:hAnsi="Palatino Linotype"/>
          <w:sz w:val="22"/>
          <w:szCs w:val="22"/>
        </w:rPr>
        <w:t>28</w:t>
      </w:r>
      <w:r w:rsidRPr="0038777E">
        <w:rPr>
          <w:rFonts w:ascii="Palatino Linotype" w:eastAsia="Times New Roman" w:hAnsi="Palatino Linotype"/>
          <w:sz w:val="22"/>
          <w:szCs w:val="22"/>
        </w:rPr>
        <w:t>, 2018</w:t>
      </w:r>
      <w:r w:rsidRPr="0038777E">
        <w:rPr>
          <w:rFonts w:ascii="Palatino Linotype" w:eastAsia="Times New Roman" w:hAnsi="Palatino Linotype" w:cs="Calibri"/>
          <w:sz w:val="22"/>
          <w:szCs w:val="22"/>
        </w:rPr>
        <w:t>.</w:t>
      </w:r>
    </w:p>
    <w:p w14:paraId="507FF40C" w14:textId="77777777" w:rsidR="00885921" w:rsidRDefault="00885921" w:rsidP="00885921">
      <w:pPr>
        <w:tabs>
          <w:tab w:val="left" w:pos="6100"/>
        </w:tabs>
        <w:rPr>
          <w:rFonts w:ascii="Palatino Linotype" w:eastAsia="Times New Roman" w:hAnsi="Palatino Linotype"/>
          <w:b/>
          <w:bCs/>
          <w:sz w:val="22"/>
          <w:szCs w:val="22"/>
        </w:rPr>
      </w:pPr>
    </w:p>
    <w:p w14:paraId="57C24FD2" w14:textId="77777777" w:rsidR="00885921" w:rsidRDefault="00885921" w:rsidP="00885921">
      <w:pPr>
        <w:rPr>
          <w:rFonts w:ascii="Palatino Linotype" w:eastAsia="Times New Roman" w:hAnsi="Palatino Linotype"/>
          <w:b/>
          <w:bCs/>
          <w:sz w:val="22"/>
          <w:szCs w:val="22"/>
        </w:rPr>
      </w:pPr>
      <w:r>
        <w:rPr>
          <w:rFonts w:ascii="Palatino Linotype" w:eastAsia="Times New Roman" w:hAnsi="Palatino Linotype"/>
          <w:b/>
          <w:bCs/>
          <w:sz w:val="22"/>
          <w:szCs w:val="22"/>
        </w:rPr>
        <w:br w:type="page"/>
      </w:r>
    </w:p>
    <w:p w14:paraId="547D0580" w14:textId="77777777" w:rsidR="00885921" w:rsidRDefault="00885921" w:rsidP="00885921">
      <w:pPr>
        <w:tabs>
          <w:tab w:val="left" w:pos="6100"/>
        </w:tabs>
        <w:rPr>
          <w:rFonts w:ascii="Palatino Linotype" w:eastAsia="Times New Roman" w:hAnsi="Palatino Linotype"/>
          <w:b/>
          <w:bCs/>
          <w:sz w:val="22"/>
          <w:szCs w:val="22"/>
        </w:rPr>
      </w:pPr>
      <w:r w:rsidRPr="00D13863">
        <w:rPr>
          <w:rFonts w:ascii="Palatino Linotype" w:eastAsia="Times New Roman" w:hAnsi="Palatino Linotype"/>
          <w:b/>
          <w:bCs/>
          <w:sz w:val="22"/>
          <w:szCs w:val="22"/>
        </w:rPr>
        <w:t xml:space="preserve">Exhibit </w:t>
      </w:r>
      <w:r>
        <w:rPr>
          <w:rFonts w:ascii="Palatino Linotype" w:eastAsia="Times New Roman" w:hAnsi="Palatino Linotype"/>
          <w:b/>
          <w:bCs/>
          <w:sz w:val="22"/>
          <w:szCs w:val="22"/>
        </w:rPr>
        <w:t>3</w:t>
      </w:r>
      <w:r w:rsidRPr="00D13863">
        <w:rPr>
          <w:rFonts w:ascii="Palatino Linotype" w:eastAsia="Times New Roman" w:hAnsi="Palatino Linotype"/>
          <w:b/>
          <w:bCs/>
          <w:sz w:val="22"/>
          <w:szCs w:val="22"/>
        </w:rPr>
        <w:t>: Trends in Equity Derivatives Market</w:t>
      </w:r>
    </w:p>
    <w:p w14:paraId="5B48F403" w14:textId="77777777" w:rsidR="00885921" w:rsidRPr="00D13863" w:rsidRDefault="00885921" w:rsidP="00885921">
      <w:pPr>
        <w:tabs>
          <w:tab w:val="left" w:pos="6100"/>
        </w:tabs>
        <w:rPr>
          <w:rFonts w:ascii="Palatino Linotype" w:eastAsia="Times New Roman" w:hAnsi="Palatino Linotype"/>
          <w:b/>
          <w:bCs/>
          <w:sz w:val="22"/>
          <w:szCs w:val="22"/>
        </w:rPr>
      </w:pPr>
      <w:r>
        <w:rPr>
          <w:rFonts w:ascii="Palatino Linotype" w:eastAsia="Times New Roman" w:hAnsi="Palatino Linotype"/>
          <w:b/>
          <w:bCs/>
          <w:sz w:val="22"/>
          <w:szCs w:val="22"/>
        </w:rPr>
        <w:tab/>
      </w:r>
    </w:p>
    <w:tbl>
      <w:tblPr>
        <w:tblW w:w="8300" w:type="dxa"/>
        <w:tblLook w:val="04A0" w:firstRow="1" w:lastRow="0" w:firstColumn="1" w:lastColumn="0" w:noHBand="0" w:noVBand="1"/>
      </w:tblPr>
      <w:tblGrid>
        <w:gridCol w:w="1960"/>
        <w:gridCol w:w="1216"/>
        <w:gridCol w:w="1216"/>
        <w:gridCol w:w="1287"/>
        <w:gridCol w:w="700"/>
        <w:gridCol w:w="720"/>
        <w:gridCol w:w="1280"/>
      </w:tblGrid>
      <w:tr w:rsidR="00885921" w:rsidRPr="00FA4546" w14:paraId="2C4B3F17" w14:textId="77777777" w:rsidTr="00560A50">
        <w:trPr>
          <w:trHeight w:val="255"/>
        </w:trPr>
        <w:tc>
          <w:tcPr>
            <w:tcW w:w="1960" w:type="dxa"/>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8C6023D" w14:textId="77777777" w:rsidR="00885921" w:rsidRPr="00FA4546" w:rsidRDefault="00885921" w:rsidP="00560A50">
            <w:pPr>
              <w:jc w:val="center"/>
              <w:rPr>
                <w:rFonts w:ascii="Garamond" w:eastAsia="Times New Roman" w:hAnsi="Garamond"/>
                <w:b/>
                <w:bCs/>
                <w:sz w:val="20"/>
                <w:szCs w:val="20"/>
                <w:lang w:val="en-US"/>
              </w:rPr>
            </w:pPr>
            <w:r>
              <w:rPr>
                <w:rFonts w:ascii="Garamond" w:eastAsia="Times New Roman" w:hAnsi="Garamond"/>
                <w:b/>
                <w:bCs/>
                <w:sz w:val="20"/>
                <w:szCs w:val="20"/>
                <w:lang w:val="en-US"/>
              </w:rPr>
              <w:t>Description</w:t>
            </w:r>
          </w:p>
        </w:tc>
        <w:tc>
          <w:tcPr>
            <w:tcW w:w="3640" w:type="dxa"/>
            <w:gridSpan w:val="3"/>
            <w:tcBorders>
              <w:top w:val="single" w:sz="4" w:space="0" w:color="auto"/>
              <w:left w:val="nil"/>
              <w:bottom w:val="single" w:sz="4" w:space="0" w:color="auto"/>
              <w:right w:val="single" w:sz="4" w:space="0" w:color="auto"/>
            </w:tcBorders>
            <w:shd w:val="clear" w:color="000000" w:fill="8DB4E2"/>
            <w:noWrap/>
            <w:vAlign w:val="center"/>
            <w:hideMark/>
          </w:tcPr>
          <w:p w14:paraId="7F50AE41" w14:textId="77777777" w:rsidR="00885921" w:rsidRPr="00FA4546" w:rsidRDefault="00885921" w:rsidP="00560A50">
            <w:pPr>
              <w:jc w:val="center"/>
              <w:rPr>
                <w:rFonts w:ascii="Garamond" w:eastAsia="Times New Roman" w:hAnsi="Garamond"/>
                <w:b/>
                <w:bCs/>
                <w:sz w:val="20"/>
                <w:szCs w:val="20"/>
                <w:lang w:val="en-US"/>
              </w:rPr>
            </w:pPr>
            <w:r w:rsidRPr="00FA4546">
              <w:rPr>
                <w:rFonts w:ascii="Garamond" w:eastAsia="Times New Roman" w:hAnsi="Garamond"/>
                <w:b/>
                <w:bCs/>
                <w:sz w:val="20"/>
                <w:szCs w:val="20"/>
                <w:lang w:val="en-US"/>
              </w:rPr>
              <w:t>NSE</w:t>
            </w:r>
          </w:p>
        </w:tc>
        <w:tc>
          <w:tcPr>
            <w:tcW w:w="2700" w:type="dxa"/>
            <w:gridSpan w:val="3"/>
            <w:tcBorders>
              <w:top w:val="single" w:sz="4" w:space="0" w:color="auto"/>
              <w:left w:val="nil"/>
              <w:bottom w:val="single" w:sz="4" w:space="0" w:color="auto"/>
              <w:right w:val="single" w:sz="4" w:space="0" w:color="auto"/>
            </w:tcBorders>
            <w:shd w:val="clear" w:color="000000" w:fill="8DB4E2"/>
            <w:noWrap/>
            <w:vAlign w:val="center"/>
            <w:hideMark/>
          </w:tcPr>
          <w:p w14:paraId="5539FA7C" w14:textId="77777777" w:rsidR="00885921" w:rsidRPr="00FA4546" w:rsidRDefault="00885921" w:rsidP="00560A50">
            <w:pPr>
              <w:jc w:val="center"/>
              <w:rPr>
                <w:rFonts w:ascii="Garamond" w:eastAsia="Times New Roman" w:hAnsi="Garamond"/>
                <w:b/>
                <w:bCs/>
                <w:sz w:val="20"/>
                <w:szCs w:val="20"/>
                <w:lang w:val="en-US"/>
              </w:rPr>
            </w:pPr>
            <w:r w:rsidRPr="00FA4546">
              <w:rPr>
                <w:rFonts w:ascii="Garamond" w:eastAsia="Times New Roman" w:hAnsi="Garamond"/>
                <w:b/>
                <w:bCs/>
                <w:sz w:val="20"/>
                <w:szCs w:val="20"/>
                <w:lang w:val="en-US"/>
              </w:rPr>
              <w:t>BSE</w:t>
            </w:r>
          </w:p>
        </w:tc>
      </w:tr>
      <w:tr w:rsidR="00885921" w:rsidRPr="00FA4546" w14:paraId="0B53900B" w14:textId="77777777" w:rsidTr="00560A50">
        <w:trPr>
          <w:trHeight w:val="765"/>
        </w:trPr>
        <w:tc>
          <w:tcPr>
            <w:tcW w:w="1960" w:type="dxa"/>
            <w:vMerge/>
            <w:tcBorders>
              <w:top w:val="single" w:sz="4" w:space="0" w:color="auto"/>
              <w:left w:val="single" w:sz="4" w:space="0" w:color="auto"/>
              <w:bottom w:val="single" w:sz="4" w:space="0" w:color="auto"/>
              <w:right w:val="single" w:sz="4" w:space="0" w:color="auto"/>
            </w:tcBorders>
            <w:vAlign w:val="center"/>
            <w:hideMark/>
          </w:tcPr>
          <w:p w14:paraId="5DC0193D" w14:textId="77777777" w:rsidR="00885921" w:rsidRPr="00FA4546" w:rsidRDefault="00885921" w:rsidP="00560A50">
            <w:pPr>
              <w:rPr>
                <w:rFonts w:ascii="Garamond" w:eastAsia="Times New Roman" w:hAnsi="Garamond"/>
                <w:b/>
                <w:bCs/>
                <w:sz w:val="20"/>
                <w:szCs w:val="20"/>
                <w:lang w:val="en-US"/>
              </w:rPr>
            </w:pPr>
          </w:p>
        </w:tc>
        <w:tc>
          <w:tcPr>
            <w:tcW w:w="1177" w:type="dxa"/>
            <w:tcBorders>
              <w:top w:val="nil"/>
              <w:left w:val="nil"/>
              <w:bottom w:val="nil"/>
              <w:right w:val="single" w:sz="4" w:space="0" w:color="auto"/>
            </w:tcBorders>
            <w:shd w:val="clear" w:color="000000" w:fill="8DB4E2"/>
            <w:noWrap/>
            <w:vAlign w:val="center"/>
            <w:hideMark/>
          </w:tcPr>
          <w:p w14:paraId="2D9528BB" w14:textId="77777777" w:rsidR="00885921" w:rsidRPr="00FA4546" w:rsidRDefault="00885921" w:rsidP="00560A50">
            <w:pPr>
              <w:jc w:val="center"/>
              <w:rPr>
                <w:rFonts w:ascii="Garamond" w:eastAsia="Times New Roman" w:hAnsi="Garamond"/>
                <w:b/>
                <w:bCs/>
                <w:sz w:val="20"/>
                <w:szCs w:val="20"/>
                <w:lang w:val="en-US"/>
              </w:rPr>
            </w:pPr>
            <w:r w:rsidRPr="00FA4546">
              <w:rPr>
                <w:rFonts w:ascii="Garamond" w:eastAsia="Times New Roman" w:hAnsi="Garamond"/>
                <w:b/>
                <w:bCs/>
                <w:sz w:val="20"/>
                <w:szCs w:val="20"/>
                <w:lang w:val="en-US"/>
              </w:rPr>
              <w:t>Aug-18</w:t>
            </w:r>
          </w:p>
        </w:tc>
        <w:tc>
          <w:tcPr>
            <w:tcW w:w="1176" w:type="dxa"/>
            <w:tcBorders>
              <w:top w:val="nil"/>
              <w:left w:val="nil"/>
              <w:bottom w:val="nil"/>
              <w:right w:val="single" w:sz="4" w:space="0" w:color="auto"/>
            </w:tcBorders>
            <w:shd w:val="clear" w:color="000000" w:fill="8DB4E2"/>
            <w:noWrap/>
            <w:vAlign w:val="center"/>
            <w:hideMark/>
          </w:tcPr>
          <w:p w14:paraId="4E48532B" w14:textId="77777777" w:rsidR="00885921" w:rsidRPr="00FA4546" w:rsidRDefault="00885921" w:rsidP="00560A50">
            <w:pPr>
              <w:jc w:val="center"/>
              <w:rPr>
                <w:rFonts w:ascii="Garamond" w:eastAsia="Times New Roman" w:hAnsi="Garamond"/>
                <w:b/>
                <w:bCs/>
                <w:sz w:val="20"/>
                <w:szCs w:val="20"/>
                <w:lang w:val="en-US"/>
              </w:rPr>
            </w:pPr>
            <w:r w:rsidRPr="00FA4546">
              <w:rPr>
                <w:rFonts w:ascii="Garamond" w:eastAsia="Times New Roman" w:hAnsi="Garamond"/>
                <w:b/>
                <w:bCs/>
                <w:sz w:val="20"/>
                <w:szCs w:val="20"/>
                <w:lang w:val="en-US"/>
              </w:rPr>
              <w:t>Sep-18</w:t>
            </w:r>
          </w:p>
        </w:tc>
        <w:tc>
          <w:tcPr>
            <w:tcW w:w="1287" w:type="dxa"/>
            <w:tcBorders>
              <w:top w:val="nil"/>
              <w:left w:val="nil"/>
              <w:bottom w:val="nil"/>
              <w:right w:val="single" w:sz="4" w:space="0" w:color="auto"/>
            </w:tcBorders>
            <w:shd w:val="clear" w:color="000000" w:fill="8DB4E2"/>
            <w:vAlign w:val="center"/>
            <w:hideMark/>
          </w:tcPr>
          <w:p w14:paraId="47AB6C2A" w14:textId="77777777" w:rsidR="00885921" w:rsidRPr="00FA4546" w:rsidRDefault="00885921" w:rsidP="00560A50">
            <w:pPr>
              <w:jc w:val="center"/>
              <w:rPr>
                <w:rFonts w:ascii="Garamond" w:eastAsia="Times New Roman" w:hAnsi="Garamond"/>
                <w:b/>
                <w:bCs/>
                <w:sz w:val="20"/>
                <w:szCs w:val="20"/>
                <w:lang w:val="en-US"/>
              </w:rPr>
            </w:pPr>
            <w:r w:rsidRPr="00FA4546">
              <w:rPr>
                <w:rFonts w:ascii="Garamond" w:eastAsia="Times New Roman" w:hAnsi="Garamond"/>
                <w:b/>
                <w:bCs/>
                <w:sz w:val="20"/>
                <w:szCs w:val="20"/>
                <w:lang w:val="en-US"/>
              </w:rPr>
              <w:t>Percentage Change Over Month</w:t>
            </w:r>
          </w:p>
        </w:tc>
        <w:tc>
          <w:tcPr>
            <w:tcW w:w="700" w:type="dxa"/>
            <w:tcBorders>
              <w:top w:val="nil"/>
              <w:left w:val="nil"/>
              <w:bottom w:val="nil"/>
              <w:right w:val="single" w:sz="4" w:space="0" w:color="auto"/>
            </w:tcBorders>
            <w:shd w:val="clear" w:color="000000" w:fill="8DB4E2"/>
            <w:noWrap/>
            <w:vAlign w:val="center"/>
            <w:hideMark/>
          </w:tcPr>
          <w:p w14:paraId="16617568" w14:textId="77777777" w:rsidR="00885921" w:rsidRPr="00FA4546" w:rsidRDefault="00885921" w:rsidP="00560A50">
            <w:pPr>
              <w:jc w:val="center"/>
              <w:rPr>
                <w:rFonts w:ascii="Garamond" w:eastAsia="Times New Roman" w:hAnsi="Garamond"/>
                <w:b/>
                <w:bCs/>
                <w:sz w:val="20"/>
                <w:szCs w:val="20"/>
                <w:lang w:val="en-US"/>
              </w:rPr>
            </w:pPr>
            <w:r w:rsidRPr="00FA4546">
              <w:rPr>
                <w:rFonts w:ascii="Garamond" w:eastAsia="Times New Roman" w:hAnsi="Garamond"/>
                <w:b/>
                <w:bCs/>
                <w:sz w:val="20"/>
                <w:szCs w:val="20"/>
                <w:lang w:val="en-US"/>
              </w:rPr>
              <w:t>Aug-18</w:t>
            </w:r>
          </w:p>
        </w:tc>
        <w:tc>
          <w:tcPr>
            <w:tcW w:w="720" w:type="dxa"/>
            <w:tcBorders>
              <w:top w:val="nil"/>
              <w:left w:val="nil"/>
              <w:bottom w:val="nil"/>
              <w:right w:val="single" w:sz="4" w:space="0" w:color="auto"/>
            </w:tcBorders>
            <w:shd w:val="clear" w:color="000000" w:fill="8DB4E2"/>
            <w:noWrap/>
            <w:vAlign w:val="center"/>
            <w:hideMark/>
          </w:tcPr>
          <w:p w14:paraId="33E1CAB5" w14:textId="77777777" w:rsidR="00885921" w:rsidRPr="00FA4546" w:rsidRDefault="00885921" w:rsidP="00560A50">
            <w:pPr>
              <w:jc w:val="center"/>
              <w:rPr>
                <w:rFonts w:ascii="Garamond" w:eastAsia="Times New Roman" w:hAnsi="Garamond"/>
                <w:b/>
                <w:bCs/>
                <w:sz w:val="20"/>
                <w:szCs w:val="20"/>
                <w:lang w:val="en-US"/>
              </w:rPr>
            </w:pPr>
            <w:r w:rsidRPr="00FA4546">
              <w:rPr>
                <w:rFonts w:ascii="Garamond" w:eastAsia="Times New Roman" w:hAnsi="Garamond"/>
                <w:b/>
                <w:bCs/>
                <w:sz w:val="20"/>
                <w:szCs w:val="20"/>
                <w:lang w:val="en-US"/>
              </w:rPr>
              <w:t>Sep-18</w:t>
            </w:r>
          </w:p>
        </w:tc>
        <w:tc>
          <w:tcPr>
            <w:tcW w:w="1280" w:type="dxa"/>
            <w:tcBorders>
              <w:top w:val="nil"/>
              <w:left w:val="nil"/>
              <w:bottom w:val="nil"/>
              <w:right w:val="single" w:sz="4" w:space="0" w:color="auto"/>
            </w:tcBorders>
            <w:shd w:val="clear" w:color="000000" w:fill="8DB4E2"/>
            <w:vAlign w:val="center"/>
            <w:hideMark/>
          </w:tcPr>
          <w:p w14:paraId="782A56DF" w14:textId="77777777" w:rsidR="00885921" w:rsidRPr="00FA4546" w:rsidRDefault="00885921" w:rsidP="00560A50">
            <w:pPr>
              <w:jc w:val="center"/>
              <w:rPr>
                <w:rFonts w:ascii="Garamond" w:eastAsia="Times New Roman" w:hAnsi="Garamond"/>
                <w:b/>
                <w:bCs/>
                <w:sz w:val="20"/>
                <w:szCs w:val="20"/>
                <w:lang w:val="en-US"/>
              </w:rPr>
            </w:pPr>
            <w:r w:rsidRPr="00FA4546">
              <w:rPr>
                <w:rFonts w:ascii="Garamond" w:eastAsia="Times New Roman" w:hAnsi="Garamond"/>
                <w:b/>
                <w:bCs/>
                <w:sz w:val="20"/>
                <w:szCs w:val="20"/>
                <w:lang w:val="en-US"/>
              </w:rPr>
              <w:t>Percentage Change Over Month</w:t>
            </w:r>
          </w:p>
        </w:tc>
      </w:tr>
      <w:tr w:rsidR="00885921" w:rsidRPr="00FA4546" w14:paraId="1512E8AB" w14:textId="77777777" w:rsidTr="00560A50">
        <w:trPr>
          <w:trHeight w:val="255"/>
        </w:trPr>
        <w:tc>
          <w:tcPr>
            <w:tcW w:w="8300" w:type="dxa"/>
            <w:gridSpan w:val="7"/>
            <w:tcBorders>
              <w:top w:val="single" w:sz="4" w:space="0" w:color="auto"/>
              <w:left w:val="single" w:sz="4" w:space="0" w:color="auto"/>
              <w:bottom w:val="single" w:sz="4" w:space="0" w:color="auto"/>
              <w:right w:val="single" w:sz="4" w:space="0" w:color="000000"/>
            </w:tcBorders>
            <w:shd w:val="clear" w:color="000000" w:fill="FFFFCC"/>
            <w:vAlign w:val="center"/>
            <w:hideMark/>
          </w:tcPr>
          <w:p w14:paraId="1FC9A02F" w14:textId="77777777" w:rsidR="00885921" w:rsidRPr="00FA4546" w:rsidRDefault="00885921" w:rsidP="00560A50">
            <w:pPr>
              <w:rPr>
                <w:rFonts w:ascii="Garamond" w:eastAsia="Times New Roman" w:hAnsi="Garamond"/>
                <w:b/>
                <w:bCs/>
                <w:sz w:val="20"/>
                <w:szCs w:val="20"/>
                <w:lang w:val="en-US"/>
              </w:rPr>
            </w:pPr>
            <w:r w:rsidRPr="00FA4546">
              <w:rPr>
                <w:rFonts w:ascii="Garamond" w:eastAsia="Times New Roman" w:hAnsi="Garamond"/>
                <w:b/>
                <w:bCs/>
                <w:sz w:val="20"/>
                <w:szCs w:val="20"/>
                <w:lang w:val="en-US"/>
              </w:rPr>
              <w:t xml:space="preserve">A. Turnover  </w:t>
            </w:r>
            <w:r w:rsidRPr="00FA4546">
              <w:rPr>
                <w:rFonts w:ascii="Rupee" w:eastAsia="Times New Roman" w:hAnsi="Rupee"/>
                <w:b/>
                <w:bCs/>
                <w:sz w:val="20"/>
                <w:szCs w:val="20"/>
                <w:lang w:val="en-US"/>
              </w:rPr>
              <w:t>(</w:t>
            </w:r>
            <w:r w:rsidRPr="00FA4546">
              <w:rPr>
                <w:rFonts w:ascii="Rupee Foradian" w:eastAsia="Times New Roman" w:hAnsi="Rupee Foradian"/>
                <w:b/>
                <w:bCs/>
                <w:sz w:val="20"/>
                <w:szCs w:val="20"/>
                <w:lang w:val="en-US"/>
              </w:rPr>
              <w:t>`</w:t>
            </w:r>
            <w:r w:rsidRPr="00FA4546">
              <w:rPr>
                <w:rFonts w:ascii="Rupee" w:eastAsia="Times New Roman" w:hAnsi="Rupee"/>
                <w:b/>
                <w:bCs/>
                <w:sz w:val="20"/>
                <w:szCs w:val="20"/>
                <w:lang w:val="en-US"/>
              </w:rPr>
              <w:t xml:space="preserve"> </w:t>
            </w:r>
            <w:r w:rsidRPr="00FA4546">
              <w:rPr>
                <w:rFonts w:ascii="Garamond" w:eastAsia="Times New Roman" w:hAnsi="Garamond"/>
                <w:b/>
                <w:bCs/>
                <w:sz w:val="20"/>
                <w:szCs w:val="20"/>
                <w:lang w:val="en-US"/>
              </w:rPr>
              <w:t>crore)</w:t>
            </w:r>
          </w:p>
        </w:tc>
      </w:tr>
      <w:tr w:rsidR="00885921" w:rsidRPr="00FA4546" w14:paraId="65B1E1E1"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1174A770"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 Index  Futures</w:t>
            </w:r>
          </w:p>
        </w:tc>
        <w:tc>
          <w:tcPr>
            <w:tcW w:w="1177" w:type="dxa"/>
            <w:tcBorders>
              <w:top w:val="nil"/>
              <w:left w:val="nil"/>
              <w:bottom w:val="nil"/>
              <w:right w:val="single" w:sz="4" w:space="0" w:color="auto"/>
            </w:tcBorders>
            <w:shd w:val="clear" w:color="auto" w:fill="auto"/>
            <w:noWrap/>
            <w:vAlign w:val="center"/>
            <w:hideMark/>
          </w:tcPr>
          <w:p w14:paraId="434839D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3,94,229</w:t>
            </w:r>
          </w:p>
        </w:tc>
        <w:tc>
          <w:tcPr>
            <w:tcW w:w="1176" w:type="dxa"/>
            <w:tcBorders>
              <w:top w:val="nil"/>
              <w:left w:val="nil"/>
              <w:bottom w:val="nil"/>
              <w:right w:val="single" w:sz="4" w:space="0" w:color="auto"/>
            </w:tcBorders>
            <w:shd w:val="clear" w:color="auto" w:fill="auto"/>
            <w:noWrap/>
            <w:vAlign w:val="center"/>
            <w:hideMark/>
          </w:tcPr>
          <w:p w14:paraId="44DF07B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5,40,040</w:t>
            </w:r>
          </w:p>
        </w:tc>
        <w:tc>
          <w:tcPr>
            <w:tcW w:w="1287" w:type="dxa"/>
            <w:tcBorders>
              <w:top w:val="nil"/>
              <w:left w:val="nil"/>
              <w:bottom w:val="nil"/>
              <w:right w:val="nil"/>
            </w:tcBorders>
            <w:shd w:val="clear" w:color="auto" w:fill="auto"/>
            <w:noWrap/>
            <w:vAlign w:val="center"/>
            <w:hideMark/>
          </w:tcPr>
          <w:p w14:paraId="3B384DA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37.0</w:t>
            </w:r>
          </w:p>
        </w:tc>
        <w:tc>
          <w:tcPr>
            <w:tcW w:w="700" w:type="dxa"/>
            <w:tcBorders>
              <w:top w:val="nil"/>
              <w:left w:val="single" w:sz="4" w:space="0" w:color="auto"/>
              <w:bottom w:val="nil"/>
              <w:right w:val="single" w:sz="4" w:space="0" w:color="auto"/>
            </w:tcBorders>
            <w:shd w:val="clear" w:color="auto" w:fill="auto"/>
            <w:noWrap/>
            <w:hideMark/>
          </w:tcPr>
          <w:p w14:paraId="7A06D1E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nil"/>
              <w:right w:val="single" w:sz="4" w:space="0" w:color="auto"/>
            </w:tcBorders>
            <w:shd w:val="clear" w:color="auto" w:fill="auto"/>
            <w:noWrap/>
            <w:hideMark/>
          </w:tcPr>
          <w:p w14:paraId="72AFA8D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nil"/>
              <w:right w:val="single" w:sz="4" w:space="0" w:color="auto"/>
            </w:tcBorders>
            <w:shd w:val="clear" w:color="auto" w:fill="auto"/>
            <w:noWrap/>
            <w:vAlign w:val="center"/>
            <w:hideMark/>
          </w:tcPr>
          <w:p w14:paraId="57EE2297"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7D1ECF36"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74336B92"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(ii) Options on Index</w:t>
            </w:r>
          </w:p>
        </w:tc>
        <w:tc>
          <w:tcPr>
            <w:tcW w:w="1177" w:type="dxa"/>
            <w:tcBorders>
              <w:top w:val="nil"/>
              <w:left w:val="nil"/>
              <w:bottom w:val="nil"/>
              <w:right w:val="single" w:sz="4" w:space="0" w:color="auto"/>
            </w:tcBorders>
            <w:shd w:val="clear" w:color="auto" w:fill="auto"/>
            <w:noWrap/>
            <w:vAlign w:val="center"/>
            <w:hideMark/>
          </w:tcPr>
          <w:p w14:paraId="73B2C36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176" w:type="dxa"/>
            <w:tcBorders>
              <w:top w:val="nil"/>
              <w:left w:val="nil"/>
              <w:bottom w:val="nil"/>
              <w:right w:val="single" w:sz="4" w:space="0" w:color="auto"/>
            </w:tcBorders>
            <w:shd w:val="clear" w:color="auto" w:fill="auto"/>
            <w:noWrap/>
            <w:vAlign w:val="center"/>
            <w:hideMark/>
          </w:tcPr>
          <w:p w14:paraId="2BFE96D7"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7" w:type="dxa"/>
            <w:tcBorders>
              <w:top w:val="nil"/>
              <w:left w:val="nil"/>
              <w:bottom w:val="nil"/>
              <w:right w:val="nil"/>
            </w:tcBorders>
            <w:shd w:val="clear" w:color="auto" w:fill="auto"/>
            <w:noWrap/>
            <w:vAlign w:val="center"/>
            <w:hideMark/>
          </w:tcPr>
          <w:p w14:paraId="60ED82E8" w14:textId="77777777" w:rsidR="00885921" w:rsidRPr="00FA4546" w:rsidRDefault="00885921" w:rsidP="00560A50">
            <w:pPr>
              <w:jc w:val="right"/>
              <w:rPr>
                <w:rFonts w:ascii="Garamond" w:eastAsia="Times New Roman" w:hAnsi="Garamond"/>
                <w:sz w:val="20"/>
                <w:szCs w:val="20"/>
                <w:lang w:val="en-US"/>
              </w:rPr>
            </w:pPr>
          </w:p>
        </w:tc>
        <w:tc>
          <w:tcPr>
            <w:tcW w:w="700" w:type="dxa"/>
            <w:tcBorders>
              <w:top w:val="nil"/>
              <w:left w:val="single" w:sz="4" w:space="0" w:color="auto"/>
              <w:bottom w:val="nil"/>
              <w:right w:val="single" w:sz="4" w:space="0" w:color="auto"/>
            </w:tcBorders>
            <w:shd w:val="clear" w:color="auto" w:fill="auto"/>
            <w:noWrap/>
            <w:vAlign w:val="center"/>
            <w:hideMark/>
          </w:tcPr>
          <w:p w14:paraId="12C3DF17"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20" w:type="dxa"/>
            <w:tcBorders>
              <w:top w:val="nil"/>
              <w:left w:val="nil"/>
              <w:bottom w:val="nil"/>
              <w:right w:val="single" w:sz="4" w:space="0" w:color="auto"/>
            </w:tcBorders>
            <w:shd w:val="clear" w:color="auto" w:fill="auto"/>
            <w:noWrap/>
            <w:vAlign w:val="center"/>
            <w:hideMark/>
          </w:tcPr>
          <w:p w14:paraId="7F5242E7"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0" w:type="dxa"/>
            <w:tcBorders>
              <w:top w:val="nil"/>
              <w:left w:val="nil"/>
              <w:bottom w:val="nil"/>
              <w:right w:val="single" w:sz="4" w:space="0" w:color="auto"/>
            </w:tcBorders>
            <w:shd w:val="clear" w:color="auto" w:fill="auto"/>
            <w:noWrap/>
            <w:vAlign w:val="center"/>
            <w:hideMark/>
          </w:tcPr>
          <w:p w14:paraId="11DD980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r>
      <w:tr w:rsidR="00885921" w:rsidRPr="00FA4546" w14:paraId="118231FC"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22003611"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Put</w:t>
            </w:r>
          </w:p>
        </w:tc>
        <w:tc>
          <w:tcPr>
            <w:tcW w:w="1177" w:type="dxa"/>
            <w:tcBorders>
              <w:top w:val="nil"/>
              <w:left w:val="nil"/>
              <w:bottom w:val="nil"/>
              <w:right w:val="single" w:sz="4" w:space="0" w:color="auto"/>
            </w:tcBorders>
            <w:shd w:val="clear" w:color="auto" w:fill="auto"/>
            <w:noWrap/>
            <w:vAlign w:val="center"/>
            <w:hideMark/>
          </w:tcPr>
          <w:p w14:paraId="7D26EFEE"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81,84,551</w:t>
            </w:r>
          </w:p>
        </w:tc>
        <w:tc>
          <w:tcPr>
            <w:tcW w:w="1176" w:type="dxa"/>
            <w:tcBorders>
              <w:top w:val="nil"/>
              <w:left w:val="nil"/>
              <w:bottom w:val="nil"/>
              <w:right w:val="single" w:sz="4" w:space="0" w:color="auto"/>
            </w:tcBorders>
            <w:shd w:val="clear" w:color="auto" w:fill="auto"/>
            <w:noWrap/>
            <w:vAlign w:val="center"/>
            <w:hideMark/>
          </w:tcPr>
          <w:p w14:paraId="59CF81C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86,75,528</w:t>
            </w:r>
          </w:p>
        </w:tc>
        <w:tc>
          <w:tcPr>
            <w:tcW w:w="1287" w:type="dxa"/>
            <w:tcBorders>
              <w:top w:val="nil"/>
              <w:left w:val="nil"/>
              <w:bottom w:val="nil"/>
              <w:right w:val="nil"/>
            </w:tcBorders>
            <w:shd w:val="clear" w:color="auto" w:fill="auto"/>
            <w:noWrap/>
            <w:vAlign w:val="center"/>
            <w:hideMark/>
          </w:tcPr>
          <w:p w14:paraId="08B2CD7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6.0</w:t>
            </w:r>
          </w:p>
        </w:tc>
        <w:tc>
          <w:tcPr>
            <w:tcW w:w="700" w:type="dxa"/>
            <w:tcBorders>
              <w:top w:val="nil"/>
              <w:left w:val="single" w:sz="4" w:space="0" w:color="auto"/>
              <w:bottom w:val="nil"/>
              <w:right w:val="single" w:sz="4" w:space="0" w:color="auto"/>
            </w:tcBorders>
            <w:shd w:val="clear" w:color="auto" w:fill="auto"/>
            <w:noWrap/>
            <w:hideMark/>
          </w:tcPr>
          <w:p w14:paraId="4E81391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nil"/>
              <w:right w:val="single" w:sz="4" w:space="0" w:color="auto"/>
            </w:tcBorders>
            <w:shd w:val="clear" w:color="auto" w:fill="auto"/>
            <w:noWrap/>
            <w:hideMark/>
          </w:tcPr>
          <w:p w14:paraId="4E778ED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nil"/>
              <w:right w:val="single" w:sz="4" w:space="0" w:color="auto"/>
            </w:tcBorders>
            <w:shd w:val="clear" w:color="auto" w:fill="auto"/>
            <w:noWrap/>
            <w:vAlign w:val="center"/>
            <w:hideMark/>
          </w:tcPr>
          <w:p w14:paraId="5BB0323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3C9C8ED8"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4AC43C28"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Call</w:t>
            </w:r>
          </w:p>
        </w:tc>
        <w:tc>
          <w:tcPr>
            <w:tcW w:w="1177" w:type="dxa"/>
            <w:tcBorders>
              <w:top w:val="nil"/>
              <w:left w:val="nil"/>
              <w:bottom w:val="nil"/>
              <w:right w:val="single" w:sz="4" w:space="0" w:color="auto"/>
            </w:tcBorders>
            <w:shd w:val="clear" w:color="auto" w:fill="auto"/>
            <w:noWrap/>
            <w:vAlign w:val="center"/>
            <w:hideMark/>
          </w:tcPr>
          <w:p w14:paraId="6544996E"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86,26,841</w:t>
            </w:r>
          </w:p>
        </w:tc>
        <w:tc>
          <w:tcPr>
            <w:tcW w:w="1176" w:type="dxa"/>
            <w:tcBorders>
              <w:top w:val="nil"/>
              <w:left w:val="nil"/>
              <w:bottom w:val="nil"/>
              <w:right w:val="single" w:sz="4" w:space="0" w:color="auto"/>
            </w:tcBorders>
            <w:shd w:val="clear" w:color="auto" w:fill="auto"/>
            <w:noWrap/>
            <w:vAlign w:val="center"/>
            <w:hideMark/>
          </w:tcPr>
          <w:p w14:paraId="13BEF51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1,06,62,247</w:t>
            </w:r>
          </w:p>
        </w:tc>
        <w:tc>
          <w:tcPr>
            <w:tcW w:w="1287" w:type="dxa"/>
            <w:tcBorders>
              <w:top w:val="nil"/>
              <w:left w:val="nil"/>
              <w:bottom w:val="nil"/>
              <w:right w:val="nil"/>
            </w:tcBorders>
            <w:shd w:val="clear" w:color="auto" w:fill="auto"/>
            <w:noWrap/>
            <w:vAlign w:val="center"/>
            <w:hideMark/>
          </w:tcPr>
          <w:p w14:paraId="1FCC5A6E"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23.6</w:t>
            </w:r>
          </w:p>
        </w:tc>
        <w:tc>
          <w:tcPr>
            <w:tcW w:w="700" w:type="dxa"/>
            <w:tcBorders>
              <w:top w:val="nil"/>
              <w:left w:val="single" w:sz="4" w:space="0" w:color="auto"/>
              <w:bottom w:val="nil"/>
              <w:right w:val="single" w:sz="4" w:space="0" w:color="auto"/>
            </w:tcBorders>
            <w:shd w:val="clear" w:color="auto" w:fill="auto"/>
            <w:noWrap/>
            <w:hideMark/>
          </w:tcPr>
          <w:p w14:paraId="7DB5EBD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nil"/>
              <w:right w:val="single" w:sz="4" w:space="0" w:color="auto"/>
            </w:tcBorders>
            <w:shd w:val="clear" w:color="auto" w:fill="auto"/>
            <w:noWrap/>
            <w:hideMark/>
          </w:tcPr>
          <w:p w14:paraId="4725E56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nil"/>
              <w:right w:val="single" w:sz="4" w:space="0" w:color="auto"/>
            </w:tcBorders>
            <w:shd w:val="clear" w:color="auto" w:fill="auto"/>
            <w:noWrap/>
            <w:vAlign w:val="center"/>
            <w:hideMark/>
          </w:tcPr>
          <w:p w14:paraId="13DDBCB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2AB8D602"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5D20C551"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(iii) Stock Futures</w:t>
            </w:r>
          </w:p>
        </w:tc>
        <w:tc>
          <w:tcPr>
            <w:tcW w:w="1177" w:type="dxa"/>
            <w:tcBorders>
              <w:top w:val="nil"/>
              <w:left w:val="nil"/>
              <w:bottom w:val="nil"/>
              <w:right w:val="single" w:sz="4" w:space="0" w:color="auto"/>
            </w:tcBorders>
            <w:shd w:val="clear" w:color="auto" w:fill="auto"/>
            <w:noWrap/>
            <w:vAlign w:val="center"/>
            <w:hideMark/>
          </w:tcPr>
          <w:p w14:paraId="4D3E8DE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15,44,987</w:t>
            </w:r>
          </w:p>
        </w:tc>
        <w:tc>
          <w:tcPr>
            <w:tcW w:w="1176" w:type="dxa"/>
            <w:tcBorders>
              <w:top w:val="nil"/>
              <w:left w:val="nil"/>
              <w:bottom w:val="nil"/>
              <w:right w:val="single" w:sz="4" w:space="0" w:color="auto"/>
            </w:tcBorders>
            <w:shd w:val="clear" w:color="auto" w:fill="auto"/>
            <w:noWrap/>
            <w:vAlign w:val="center"/>
            <w:hideMark/>
          </w:tcPr>
          <w:p w14:paraId="73D6390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14,64,394</w:t>
            </w:r>
          </w:p>
        </w:tc>
        <w:tc>
          <w:tcPr>
            <w:tcW w:w="1287" w:type="dxa"/>
            <w:tcBorders>
              <w:top w:val="nil"/>
              <w:left w:val="nil"/>
              <w:bottom w:val="nil"/>
              <w:right w:val="nil"/>
            </w:tcBorders>
            <w:shd w:val="clear" w:color="auto" w:fill="auto"/>
            <w:noWrap/>
            <w:vAlign w:val="center"/>
            <w:hideMark/>
          </w:tcPr>
          <w:p w14:paraId="7C5662C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-5.2</w:t>
            </w:r>
          </w:p>
        </w:tc>
        <w:tc>
          <w:tcPr>
            <w:tcW w:w="700" w:type="dxa"/>
            <w:tcBorders>
              <w:top w:val="nil"/>
              <w:left w:val="single" w:sz="4" w:space="0" w:color="auto"/>
              <w:bottom w:val="nil"/>
              <w:right w:val="single" w:sz="4" w:space="0" w:color="auto"/>
            </w:tcBorders>
            <w:shd w:val="clear" w:color="auto" w:fill="auto"/>
            <w:vAlign w:val="center"/>
            <w:hideMark/>
          </w:tcPr>
          <w:p w14:paraId="191991EB" w14:textId="77777777" w:rsidR="00885921" w:rsidRPr="00FA4546" w:rsidRDefault="00885921" w:rsidP="00560A50">
            <w:pPr>
              <w:jc w:val="right"/>
              <w:rPr>
                <w:rFonts w:ascii="Calibri" w:eastAsia="Times New Roman" w:hAnsi="Calibri" w:cs="Calibri"/>
                <w:color w:val="000000"/>
                <w:sz w:val="20"/>
                <w:szCs w:val="20"/>
                <w:lang w:val="en-US"/>
              </w:rPr>
            </w:pPr>
            <w:r w:rsidRPr="00FA4546">
              <w:rPr>
                <w:rFonts w:ascii="Calibri" w:eastAsia="Times New Roman" w:hAnsi="Calibri" w:cs="Calibri"/>
                <w:color w:val="000000"/>
                <w:sz w:val="20"/>
                <w:szCs w:val="20"/>
                <w:lang w:val="en-US"/>
              </w:rPr>
              <w:t>1.0</w:t>
            </w:r>
          </w:p>
        </w:tc>
        <w:tc>
          <w:tcPr>
            <w:tcW w:w="720" w:type="dxa"/>
            <w:tcBorders>
              <w:top w:val="nil"/>
              <w:left w:val="nil"/>
              <w:bottom w:val="nil"/>
              <w:right w:val="single" w:sz="4" w:space="0" w:color="auto"/>
            </w:tcBorders>
            <w:shd w:val="clear" w:color="auto" w:fill="auto"/>
            <w:vAlign w:val="center"/>
            <w:hideMark/>
          </w:tcPr>
          <w:p w14:paraId="04FF9B73" w14:textId="77777777" w:rsidR="00885921" w:rsidRPr="00FA4546" w:rsidRDefault="00885921" w:rsidP="00560A50">
            <w:pPr>
              <w:jc w:val="right"/>
              <w:rPr>
                <w:rFonts w:ascii="Calibri" w:eastAsia="Times New Roman" w:hAnsi="Calibri" w:cs="Calibri"/>
                <w:color w:val="000000"/>
                <w:sz w:val="20"/>
                <w:szCs w:val="20"/>
                <w:lang w:val="en-US"/>
              </w:rPr>
            </w:pPr>
            <w:r w:rsidRPr="00FA4546">
              <w:rPr>
                <w:rFonts w:ascii="Calibri" w:eastAsia="Times New Roman" w:hAnsi="Calibri" w:cs="Calibri"/>
                <w:color w:val="000000"/>
                <w:sz w:val="20"/>
                <w:szCs w:val="20"/>
                <w:lang w:val="en-US"/>
              </w:rPr>
              <w:t>0.9</w:t>
            </w:r>
          </w:p>
        </w:tc>
        <w:tc>
          <w:tcPr>
            <w:tcW w:w="1280" w:type="dxa"/>
            <w:tcBorders>
              <w:top w:val="nil"/>
              <w:left w:val="nil"/>
              <w:bottom w:val="nil"/>
              <w:right w:val="single" w:sz="4" w:space="0" w:color="auto"/>
            </w:tcBorders>
            <w:shd w:val="clear" w:color="auto" w:fill="auto"/>
            <w:noWrap/>
            <w:vAlign w:val="center"/>
            <w:hideMark/>
          </w:tcPr>
          <w:p w14:paraId="5CFB2B4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-7.1</w:t>
            </w:r>
          </w:p>
        </w:tc>
      </w:tr>
      <w:tr w:rsidR="00885921" w:rsidRPr="00FA4546" w14:paraId="28143E23"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0FF6C493"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(iv) Options on Stock</w:t>
            </w:r>
          </w:p>
        </w:tc>
        <w:tc>
          <w:tcPr>
            <w:tcW w:w="1177" w:type="dxa"/>
            <w:tcBorders>
              <w:top w:val="nil"/>
              <w:left w:val="nil"/>
              <w:bottom w:val="nil"/>
              <w:right w:val="single" w:sz="4" w:space="0" w:color="auto"/>
            </w:tcBorders>
            <w:shd w:val="clear" w:color="auto" w:fill="auto"/>
            <w:noWrap/>
            <w:vAlign w:val="center"/>
            <w:hideMark/>
          </w:tcPr>
          <w:p w14:paraId="08DFF79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176" w:type="dxa"/>
            <w:tcBorders>
              <w:top w:val="nil"/>
              <w:left w:val="nil"/>
              <w:bottom w:val="nil"/>
              <w:right w:val="single" w:sz="4" w:space="0" w:color="auto"/>
            </w:tcBorders>
            <w:shd w:val="clear" w:color="auto" w:fill="auto"/>
            <w:noWrap/>
            <w:vAlign w:val="center"/>
            <w:hideMark/>
          </w:tcPr>
          <w:p w14:paraId="1329706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7" w:type="dxa"/>
            <w:tcBorders>
              <w:top w:val="nil"/>
              <w:left w:val="nil"/>
              <w:bottom w:val="nil"/>
              <w:right w:val="nil"/>
            </w:tcBorders>
            <w:shd w:val="clear" w:color="auto" w:fill="auto"/>
            <w:noWrap/>
            <w:vAlign w:val="center"/>
            <w:hideMark/>
          </w:tcPr>
          <w:p w14:paraId="37CA33D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00" w:type="dxa"/>
            <w:tcBorders>
              <w:top w:val="nil"/>
              <w:left w:val="single" w:sz="4" w:space="0" w:color="auto"/>
              <w:bottom w:val="nil"/>
              <w:right w:val="single" w:sz="4" w:space="0" w:color="auto"/>
            </w:tcBorders>
            <w:shd w:val="clear" w:color="auto" w:fill="auto"/>
            <w:noWrap/>
            <w:vAlign w:val="center"/>
            <w:hideMark/>
          </w:tcPr>
          <w:p w14:paraId="6334058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20" w:type="dxa"/>
            <w:tcBorders>
              <w:top w:val="nil"/>
              <w:left w:val="nil"/>
              <w:bottom w:val="nil"/>
              <w:right w:val="single" w:sz="4" w:space="0" w:color="auto"/>
            </w:tcBorders>
            <w:shd w:val="clear" w:color="auto" w:fill="auto"/>
            <w:noWrap/>
            <w:vAlign w:val="center"/>
            <w:hideMark/>
          </w:tcPr>
          <w:p w14:paraId="5DC4723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0" w:type="dxa"/>
            <w:tcBorders>
              <w:top w:val="nil"/>
              <w:left w:val="nil"/>
              <w:bottom w:val="nil"/>
              <w:right w:val="single" w:sz="4" w:space="0" w:color="auto"/>
            </w:tcBorders>
            <w:shd w:val="clear" w:color="auto" w:fill="auto"/>
            <w:noWrap/>
            <w:vAlign w:val="center"/>
            <w:hideMark/>
          </w:tcPr>
          <w:p w14:paraId="545DA87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r>
      <w:tr w:rsidR="00885921" w:rsidRPr="00FA4546" w14:paraId="59257183"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2BA08FF2"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Put</w:t>
            </w:r>
          </w:p>
        </w:tc>
        <w:tc>
          <w:tcPr>
            <w:tcW w:w="1177" w:type="dxa"/>
            <w:tcBorders>
              <w:top w:val="nil"/>
              <w:left w:val="nil"/>
              <w:bottom w:val="nil"/>
              <w:right w:val="single" w:sz="4" w:space="0" w:color="auto"/>
            </w:tcBorders>
            <w:shd w:val="clear" w:color="auto" w:fill="auto"/>
            <w:noWrap/>
            <w:vAlign w:val="center"/>
            <w:hideMark/>
          </w:tcPr>
          <w:p w14:paraId="49BEF87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3,93,971</w:t>
            </w:r>
          </w:p>
        </w:tc>
        <w:tc>
          <w:tcPr>
            <w:tcW w:w="1176" w:type="dxa"/>
            <w:tcBorders>
              <w:top w:val="nil"/>
              <w:left w:val="nil"/>
              <w:bottom w:val="nil"/>
              <w:right w:val="single" w:sz="4" w:space="0" w:color="auto"/>
            </w:tcBorders>
            <w:shd w:val="clear" w:color="auto" w:fill="auto"/>
            <w:noWrap/>
            <w:vAlign w:val="center"/>
            <w:hideMark/>
          </w:tcPr>
          <w:p w14:paraId="3E4F37B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3,62,772</w:t>
            </w:r>
          </w:p>
        </w:tc>
        <w:tc>
          <w:tcPr>
            <w:tcW w:w="1287" w:type="dxa"/>
            <w:tcBorders>
              <w:top w:val="nil"/>
              <w:left w:val="nil"/>
              <w:bottom w:val="nil"/>
              <w:right w:val="nil"/>
            </w:tcBorders>
            <w:shd w:val="clear" w:color="auto" w:fill="auto"/>
            <w:noWrap/>
            <w:vAlign w:val="center"/>
            <w:hideMark/>
          </w:tcPr>
          <w:p w14:paraId="00182CD7"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-7.9</w:t>
            </w:r>
          </w:p>
        </w:tc>
        <w:tc>
          <w:tcPr>
            <w:tcW w:w="700" w:type="dxa"/>
            <w:tcBorders>
              <w:top w:val="nil"/>
              <w:left w:val="single" w:sz="4" w:space="0" w:color="auto"/>
              <w:bottom w:val="nil"/>
              <w:right w:val="single" w:sz="4" w:space="0" w:color="auto"/>
            </w:tcBorders>
            <w:shd w:val="clear" w:color="auto" w:fill="auto"/>
            <w:noWrap/>
            <w:hideMark/>
          </w:tcPr>
          <w:p w14:paraId="3A7CD5A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nil"/>
              <w:right w:val="single" w:sz="4" w:space="0" w:color="auto"/>
            </w:tcBorders>
            <w:shd w:val="clear" w:color="auto" w:fill="auto"/>
            <w:noWrap/>
            <w:hideMark/>
          </w:tcPr>
          <w:p w14:paraId="621E0FB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nil"/>
              <w:right w:val="single" w:sz="4" w:space="0" w:color="auto"/>
            </w:tcBorders>
            <w:shd w:val="clear" w:color="auto" w:fill="auto"/>
            <w:noWrap/>
            <w:vAlign w:val="center"/>
            <w:hideMark/>
          </w:tcPr>
          <w:p w14:paraId="364D93A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1941BE96" w14:textId="77777777" w:rsidTr="00560A50">
        <w:trPr>
          <w:trHeight w:val="255"/>
        </w:trPr>
        <w:tc>
          <w:tcPr>
            <w:tcW w:w="1960" w:type="dxa"/>
            <w:tcBorders>
              <w:top w:val="nil"/>
              <w:left w:val="single" w:sz="4" w:space="0" w:color="auto"/>
              <w:bottom w:val="single" w:sz="4" w:space="0" w:color="auto"/>
              <w:right w:val="single" w:sz="4" w:space="0" w:color="auto"/>
            </w:tcBorders>
            <w:shd w:val="clear" w:color="000000" w:fill="C5D9F1"/>
            <w:noWrap/>
            <w:vAlign w:val="center"/>
            <w:hideMark/>
          </w:tcPr>
          <w:p w14:paraId="0C808942"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Call</w:t>
            </w:r>
          </w:p>
        </w:tc>
        <w:tc>
          <w:tcPr>
            <w:tcW w:w="1177" w:type="dxa"/>
            <w:tcBorders>
              <w:top w:val="nil"/>
              <w:left w:val="nil"/>
              <w:bottom w:val="single" w:sz="4" w:space="0" w:color="auto"/>
              <w:right w:val="single" w:sz="4" w:space="0" w:color="auto"/>
            </w:tcBorders>
            <w:shd w:val="clear" w:color="auto" w:fill="auto"/>
            <w:noWrap/>
            <w:vAlign w:val="center"/>
            <w:hideMark/>
          </w:tcPr>
          <w:p w14:paraId="3A1E543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9,01,553</w:t>
            </w:r>
          </w:p>
        </w:tc>
        <w:tc>
          <w:tcPr>
            <w:tcW w:w="1176" w:type="dxa"/>
            <w:tcBorders>
              <w:top w:val="nil"/>
              <w:left w:val="nil"/>
              <w:bottom w:val="single" w:sz="4" w:space="0" w:color="auto"/>
              <w:right w:val="single" w:sz="4" w:space="0" w:color="auto"/>
            </w:tcBorders>
            <w:shd w:val="clear" w:color="auto" w:fill="auto"/>
            <w:noWrap/>
            <w:vAlign w:val="center"/>
            <w:hideMark/>
          </w:tcPr>
          <w:p w14:paraId="38916E0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7,53,661</w:t>
            </w:r>
          </w:p>
        </w:tc>
        <w:tc>
          <w:tcPr>
            <w:tcW w:w="1287" w:type="dxa"/>
            <w:tcBorders>
              <w:top w:val="nil"/>
              <w:left w:val="nil"/>
              <w:bottom w:val="nil"/>
              <w:right w:val="nil"/>
            </w:tcBorders>
            <w:shd w:val="clear" w:color="auto" w:fill="auto"/>
            <w:noWrap/>
            <w:vAlign w:val="center"/>
            <w:hideMark/>
          </w:tcPr>
          <w:p w14:paraId="3E3747F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-16.4</w:t>
            </w:r>
          </w:p>
        </w:tc>
        <w:tc>
          <w:tcPr>
            <w:tcW w:w="700" w:type="dxa"/>
            <w:tcBorders>
              <w:top w:val="nil"/>
              <w:left w:val="single" w:sz="4" w:space="0" w:color="auto"/>
              <w:bottom w:val="single" w:sz="4" w:space="0" w:color="auto"/>
              <w:right w:val="single" w:sz="4" w:space="0" w:color="auto"/>
            </w:tcBorders>
            <w:shd w:val="clear" w:color="auto" w:fill="auto"/>
            <w:noWrap/>
            <w:hideMark/>
          </w:tcPr>
          <w:p w14:paraId="69D1338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single" w:sz="4" w:space="0" w:color="auto"/>
              <w:right w:val="single" w:sz="4" w:space="0" w:color="auto"/>
            </w:tcBorders>
            <w:shd w:val="clear" w:color="auto" w:fill="auto"/>
            <w:noWrap/>
            <w:hideMark/>
          </w:tcPr>
          <w:p w14:paraId="19B3EAD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single" w:sz="4" w:space="0" w:color="auto"/>
              <w:right w:val="single" w:sz="4" w:space="0" w:color="auto"/>
            </w:tcBorders>
            <w:shd w:val="clear" w:color="auto" w:fill="auto"/>
            <w:noWrap/>
            <w:vAlign w:val="center"/>
            <w:hideMark/>
          </w:tcPr>
          <w:p w14:paraId="2643FCB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642DB5C4" w14:textId="77777777" w:rsidTr="00560A50">
        <w:trPr>
          <w:trHeight w:val="255"/>
        </w:trPr>
        <w:tc>
          <w:tcPr>
            <w:tcW w:w="1960" w:type="dxa"/>
            <w:tcBorders>
              <w:top w:val="nil"/>
              <w:left w:val="single" w:sz="4" w:space="0" w:color="auto"/>
              <w:bottom w:val="single" w:sz="4" w:space="0" w:color="auto"/>
              <w:right w:val="single" w:sz="4" w:space="0" w:color="auto"/>
            </w:tcBorders>
            <w:shd w:val="clear" w:color="000000" w:fill="C5D9F1"/>
            <w:noWrap/>
            <w:vAlign w:val="center"/>
            <w:hideMark/>
          </w:tcPr>
          <w:p w14:paraId="0A394162" w14:textId="77777777" w:rsidR="00885921" w:rsidRPr="00FA4546" w:rsidRDefault="00885921" w:rsidP="00560A50">
            <w:pPr>
              <w:rPr>
                <w:rFonts w:ascii="Garamond" w:eastAsia="Times New Roman" w:hAnsi="Garamond"/>
                <w:b/>
                <w:bCs/>
                <w:sz w:val="20"/>
                <w:szCs w:val="20"/>
                <w:lang w:val="en-US"/>
              </w:rPr>
            </w:pPr>
            <w:r w:rsidRPr="00FA4546">
              <w:rPr>
                <w:rFonts w:ascii="Garamond" w:eastAsia="Times New Roman" w:hAnsi="Garamond"/>
                <w:b/>
                <w:bCs/>
                <w:sz w:val="20"/>
                <w:szCs w:val="20"/>
                <w:lang w:val="en-US"/>
              </w:rPr>
              <w:t xml:space="preserve">         Total</w:t>
            </w:r>
          </w:p>
        </w:tc>
        <w:tc>
          <w:tcPr>
            <w:tcW w:w="1177" w:type="dxa"/>
            <w:tcBorders>
              <w:top w:val="nil"/>
              <w:left w:val="nil"/>
              <w:bottom w:val="single" w:sz="4" w:space="0" w:color="auto"/>
              <w:right w:val="single" w:sz="4" w:space="0" w:color="auto"/>
            </w:tcBorders>
            <w:shd w:val="clear" w:color="000000" w:fill="C5D9F1"/>
            <w:noWrap/>
            <w:vAlign w:val="center"/>
            <w:hideMark/>
          </w:tcPr>
          <w:p w14:paraId="518E0B9E"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2,00,46,132</w:t>
            </w:r>
          </w:p>
        </w:tc>
        <w:tc>
          <w:tcPr>
            <w:tcW w:w="1176" w:type="dxa"/>
            <w:tcBorders>
              <w:top w:val="nil"/>
              <w:left w:val="nil"/>
              <w:bottom w:val="single" w:sz="4" w:space="0" w:color="auto"/>
              <w:right w:val="single" w:sz="4" w:space="0" w:color="auto"/>
            </w:tcBorders>
            <w:shd w:val="clear" w:color="000000" w:fill="C5D9F1"/>
            <w:noWrap/>
            <w:vAlign w:val="center"/>
            <w:hideMark/>
          </w:tcPr>
          <w:p w14:paraId="51607D05"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2,24,58,641</w:t>
            </w:r>
          </w:p>
        </w:tc>
        <w:tc>
          <w:tcPr>
            <w:tcW w:w="1287" w:type="dxa"/>
            <w:tcBorders>
              <w:top w:val="single" w:sz="4" w:space="0" w:color="auto"/>
              <w:left w:val="nil"/>
              <w:bottom w:val="single" w:sz="4" w:space="0" w:color="auto"/>
              <w:right w:val="single" w:sz="4" w:space="0" w:color="auto"/>
            </w:tcBorders>
            <w:shd w:val="clear" w:color="000000" w:fill="C5D9F1"/>
            <w:noWrap/>
            <w:vAlign w:val="center"/>
            <w:hideMark/>
          </w:tcPr>
          <w:p w14:paraId="7DA913BC"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12.0</w:t>
            </w:r>
          </w:p>
        </w:tc>
        <w:tc>
          <w:tcPr>
            <w:tcW w:w="700" w:type="dxa"/>
            <w:tcBorders>
              <w:top w:val="nil"/>
              <w:left w:val="nil"/>
              <w:bottom w:val="single" w:sz="4" w:space="0" w:color="auto"/>
              <w:right w:val="single" w:sz="4" w:space="0" w:color="auto"/>
            </w:tcBorders>
            <w:shd w:val="clear" w:color="000000" w:fill="C5D9F1"/>
            <w:noWrap/>
            <w:vAlign w:val="center"/>
            <w:hideMark/>
          </w:tcPr>
          <w:p w14:paraId="5A671B37"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1.0</w:t>
            </w:r>
          </w:p>
        </w:tc>
        <w:tc>
          <w:tcPr>
            <w:tcW w:w="720" w:type="dxa"/>
            <w:tcBorders>
              <w:top w:val="nil"/>
              <w:left w:val="nil"/>
              <w:bottom w:val="single" w:sz="4" w:space="0" w:color="auto"/>
              <w:right w:val="single" w:sz="4" w:space="0" w:color="auto"/>
            </w:tcBorders>
            <w:shd w:val="clear" w:color="000000" w:fill="C5D9F1"/>
            <w:noWrap/>
            <w:vAlign w:val="center"/>
            <w:hideMark/>
          </w:tcPr>
          <w:p w14:paraId="408BFA00"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0.9</w:t>
            </w:r>
          </w:p>
        </w:tc>
        <w:tc>
          <w:tcPr>
            <w:tcW w:w="1280" w:type="dxa"/>
            <w:tcBorders>
              <w:top w:val="nil"/>
              <w:left w:val="nil"/>
              <w:bottom w:val="single" w:sz="4" w:space="0" w:color="auto"/>
              <w:right w:val="single" w:sz="4" w:space="0" w:color="auto"/>
            </w:tcBorders>
            <w:shd w:val="clear" w:color="000000" w:fill="C5D9F1"/>
            <w:noWrap/>
            <w:vAlign w:val="center"/>
            <w:hideMark/>
          </w:tcPr>
          <w:p w14:paraId="5502B6DA"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-7.1</w:t>
            </w:r>
          </w:p>
        </w:tc>
      </w:tr>
      <w:tr w:rsidR="00885921" w:rsidRPr="00FA4546" w14:paraId="30819C9B" w14:textId="77777777" w:rsidTr="00560A50">
        <w:trPr>
          <w:trHeight w:val="255"/>
        </w:trPr>
        <w:tc>
          <w:tcPr>
            <w:tcW w:w="8300" w:type="dxa"/>
            <w:gridSpan w:val="7"/>
            <w:tcBorders>
              <w:top w:val="single" w:sz="4" w:space="0" w:color="auto"/>
              <w:left w:val="single" w:sz="4" w:space="0" w:color="auto"/>
              <w:bottom w:val="single" w:sz="4" w:space="0" w:color="auto"/>
              <w:right w:val="single" w:sz="4" w:space="0" w:color="000000"/>
            </w:tcBorders>
            <w:shd w:val="clear" w:color="000000" w:fill="FFFFCC"/>
            <w:vAlign w:val="center"/>
            <w:hideMark/>
          </w:tcPr>
          <w:p w14:paraId="48A3019C" w14:textId="77777777" w:rsidR="00885921" w:rsidRPr="00FA4546" w:rsidRDefault="00885921" w:rsidP="00560A50">
            <w:pPr>
              <w:rPr>
                <w:rFonts w:ascii="Garamond" w:eastAsia="Times New Roman" w:hAnsi="Garamond"/>
                <w:b/>
                <w:bCs/>
                <w:sz w:val="20"/>
                <w:szCs w:val="20"/>
                <w:lang w:val="en-US"/>
              </w:rPr>
            </w:pPr>
            <w:r w:rsidRPr="00FA4546">
              <w:rPr>
                <w:rFonts w:ascii="Garamond" w:eastAsia="Times New Roman" w:hAnsi="Garamond"/>
                <w:b/>
                <w:bCs/>
                <w:sz w:val="20"/>
                <w:szCs w:val="20"/>
                <w:lang w:val="en-US"/>
              </w:rPr>
              <w:t xml:space="preserve">B. No. of Contracts </w:t>
            </w:r>
          </w:p>
        </w:tc>
      </w:tr>
      <w:tr w:rsidR="00885921" w:rsidRPr="00FA4546" w14:paraId="1BED0A9E"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7761C577"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 Index  Futures</w:t>
            </w:r>
          </w:p>
        </w:tc>
        <w:tc>
          <w:tcPr>
            <w:tcW w:w="1177" w:type="dxa"/>
            <w:tcBorders>
              <w:top w:val="nil"/>
              <w:left w:val="nil"/>
              <w:bottom w:val="nil"/>
              <w:right w:val="single" w:sz="4" w:space="0" w:color="auto"/>
            </w:tcBorders>
            <w:shd w:val="clear" w:color="000000" w:fill="F2F2F2"/>
            <w:noWrap/>
            <w:vAlign w:val="center"/>
            <w:hideMark/>
          </w:tcPr>
          <w:p w14:paraId="7CE15A4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40,86,103</w:t>
            </w:r>
          </w:p>
        </w:tc>
        <w:tc>
          <w:tcPr>
            <w:tcW w:w="1176" w:type="dxa"/>
            <w:tcBorders>
              <w:top w:val="nil"/>
              <w:left w:val="nil"/>
              <w:bottom w:val="nil"/>
              <w:right w:val="single" w:sz="4" w:space="0" w:color="auto"/>
            </w:tcBorders>
            <w:shd w:val="clear" w:color="000000" w:fill="F2F2F2"/>
            <w:noWrap/>
            <w:vAlign w:val="center"/>
            <w:hideMark/>
          </w:tcPr>
          <w:p w14:paraId="6C51D70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58,32,447</w:t>
            </w:r>
          </w:p>
        </w:tc>
        <w:tc>
          <w:tcPr>
            <w:tcW w:w="1287" w:type="dxa"/>
            <w:tcBorders>
              <w:top w:val="nil"/>
              <w:left w:val="nil"/>
              <w:bottom w:val="nil"/>
              <w:right w:val="single" w:sz="4" w:space="0" w:color="auto"/>
            </w:tcBorders>
            <w:shd w:val="clear" w:color="000000" w:fill="F2F2F2"/>
            <w:noWrap/>
            <w:vAlign w:val="center"/>
            <w:hideMark/>
          </w:tcPr>
          <w:p w14:paraId="1AB2CAB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42.7</w:t>
            </w:r>
          </w:p>
        </w:tc>
        <w:tc>
          <w:tcPr>
            <w:tcW w:w="700" w:type="dxa"/>
            <w:tcBorders>
              <w:top w:val="nil"/>
              <w:left w:val="nil"/>
              <w:bottom w:val="nil"/>
              <w:right w:val="single" w:sz="4" w:space="0" w:color="auto"/>
            </w:tcBorders>
            <w:shd w:val="clear" w:color="auto" w:fill="auto"/>
            <w:noWrap/>
            <w:vAlign w:val="center"/>
            <w:hideMark/>
          </w:tcPr>
          <w:p w14:paraId="58167CC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nil"/>
              <w:right w:val="single" w:sz="4" w:space="0" w:color="auto"/>
            </w:tcBorders>
            <w:shd w:val="clear" w:color="auto" w:fill="auto"/>
            <w:noWrap/>
            <w:vAlign w:val="center"/>
            <w:hideMark/>
          </w:tcPr>
          <w:p w14:paraId="71BCE88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nil"/>
              <w:right w:val="single" w:sz="4" w:space="0" w:color="auto"/>
            </w:tcBorders>
            <w:shd w:val="clear" w:color="auto" w:fill="auto"/>
            <w:noWrap/>
            <w:vAlign w:val="center"/>
            <w:hideMark/>
          </w:tcPr>
          <w:p w14:paraId="7730886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4D220D0F"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6FBD2257"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(ii) Options on Index</w:t>
            </w:r>
          </w:p>
        </w:tc>
        <w:tc>
          <w:tcPr>
            <w:tcW w:w="1177" w:type="dxa"/>
            <w:tcBorders>
              <w:top w:val="nil"/>
              <w:left w:val="nil"/>
              <w:bottom w:val="nil"/>
              <w:right w:val="single" w:sz="4" w:space="0" w:color="auto"/>
            </w:tcBorders>
            <w:shd w:val="clear" w:color="000000" w:fill="F2F2F2"/>
            <w:noWrap/>
            <w:vAlign w:val="center"/>
            <w:hideMark/>
          </w:tcPr>
          <w:p w14:paraId="45DB66B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176" w:type="dxa"/>
            <w:tcBorders>
              <w:top w:val="nil"/>
              <w:left w:val="nil"/>
              <w:bottom w:val="nil"/>
              <w:right w:val="single" w:sz="4" w:space="0" w:color="auto"/>
            </w:tcBorders>
            <w:shd w:val="clear" w:color="000000" w:fill="F2F2F2"/>
            <w:noWrap/>
            <w:vAlign w:val="center"/>
            <w:hideMark/>
          </w:tcPr>
          <w:p w14:paraId="0D00E8F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7" w:type="dxa"/>
            <w:tcBorders>
              <w:top w:val="nil"/>
              <w:left w:val="nil"/>
              <w:bottom w:val="nil"/>
              <w:right w:val="single" w:sz="4" w:space="0" w:color="auto"/>
            </w:tcBorders>
            <w:shd w:val="clear" w:color="000000" w:fill="F2F2F2"/>
            <w:noWrap/>
            <w:vAlign w:val="center"/>
            <w:hideMark/>
          </w:tcPr>
          <w:p w14:paraId="76F69EE0"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00" w:type="dxa"/>
            <w:tcBorders>
              <w:top w:val="nil"/>
              <w:left w:val="nil"/>
              <w:bottom w:val="nil"/>
              <w:right w:val="single" w:sz="4" w:space="0" w:color="auto"/>
            </w:tcBorders>
            <w:shd w:val="clear" w:color="auto" w:fill="auto"/>
            <w:noWrap/>
            <w:vAlign w:val="center"/>
            <w:hideMark/>
          </w:tcPr>
          <w:p w14:paraId="6E39F25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20" w:type="dxa"/>
            <w:tcBorders>
              <w:top w:val="nil"/>
              <w:left w:val="nil"/>
              <w:bottom w:val="nil"/>
              <w:right w:val="single" w:sz="4" w:space="0" w:color="auto"/>
            </w:tcBorders>
            <w:shd w:val="clear" w:color="auto" w:fill="auto"/>
            <w:noWrap/>
            <w:vAlign w:val="center"/>
            <w:hideMark/>
          </w:tcPr>
          <w:p w14:paraId="4012839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0" w:type="dxa"/>
            <w:tcBorders>
              <w:top w:val="nil"/>
              <w:left w:val="nil"/>
              <w:bottom w:val="nil"/>
              <w:right w:val="single" w:sz="4" w:space="0" w:color="auto"/>
            </w:tcBorders>
            <w:shd w:val="clear" w:color="auto" w:fill="auto"/>
            <w:noWrap/>
            <w:vAlign w:val="center"/>
            <w:hideMark/>
          </w:tcPr>
          <w:p w14:paraId="214E1FAE"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r>
      <w:tr w:rsidR="00885921" w:rsidRPr="00FA4546" w14:paraId="22963950"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2E5BD0CB"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Put</w:t>
            </w:r>
          </w:p>
        </w:tc>
        <w:tc>
          <w:tcPr>
            <w:tcW w:w="1177" w:type="dxa"/>
            <w:tcBorders>
              <w:top w:val="nil"/>
              <w:left w:val="nil"/>
              <w:bottom w:val="nil"/>
              <w:right w:val="single" w:sz="4" w:space="0" w:color="auto"/>
            </w:tcBorders>
            <w:shd w:val="clear" w:color="000000" w:fill="F2F2F2"/>
            <w:noWrap/>
            <w:vAlign w:val="center"/>
            <w:hideMark/>
          </w:tcPr>
          <w:p w14:paraId="1365B52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7,81,61,817</w:t>
            </w:r>
          </w:p>
        </w:tc>
        <w:tc>
          <w:tcPr>
            <w:tcW w:w="1176" w:type="dxa"/>
            <w:tcBorders>
              <w:top w:val="nil"/>
              <w:left w:val="nil"/>
              <w:bottom w:val="nil"/>
              <w:right w:val="single" w:sz="4" w:space="0" w:color="auto"/>
            </w:tcBorders>
            <w:shd w:val="clear" w:color="000000" w:fill="F2F2F2"/>
            <w:noWrap/>
            <w:vAlign w:val="center"/>
            <w:hideMark/>
          </w:tcPr>
          <w:p w14:paraId="3FE3052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8,71,33,996</w:t>
            </w:r>
          </w:p>
        </w:tc>
        <w:tc>
          <w:tcPr>
            <w:tcW w:w="1287" w:type="dxa"/>
            <w:tcBorders>
              <w:top w:val="nil"/>
              <w:left w:val="nil"/>
              <w:bottom w:val="nil"/>
              <w:right w:val="single" w:sz="4" w:space="0" w:color="auto"/>
            </w:tcBorders>
            <w:shd w:val="clear" w:color="000000" w:fill="F2F2F2"/>
            <w:noWrap/>
            <w:vAlign w:val="center"/>
            <w:hideMark/>
          </w:tcPr>
          <w:p w14:paraId="0349E2F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11.5</w:t>
            </w:r>
          </w:p>
        </w:tc>
        <w:tc>
          <w:tcPr>
            <w:tcW w:w="700" w:type="dxa"/>
            <w:tcBorders>
              <w:top w:val="nil"/>
              <w:left w:val="nil"/>
              <w:bottom w:val="nil"/>
              <w:right w:val="single" w:sz="4" w:space="0" w:color="auto"/>
            </w:tcBorders>
            <w:shd w:val="clear" w:color="auto" w:fill="auto"/>
            <w:noWrap/>
            <w:vAlign w:val="center"/>
            <w:hideMark/>
          </w:tcPr>
          <w:p w14:paraId="4495EFB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nil"/>
              <w:right w:val="single" w:sz="4" w:space="0" w:color="auto"/>
            </w:tcBorders>
            <w:shd w:val="clear" w:color="auto" w:fill="auto"/>
            <w:noWrap/>
            <w:vAlign w:val="center"/>
            <w:hideMark/>
          </w:tcPr>
          <w:p w14:paraId="471AC16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nil"/>
              <w:right w:val="single" w:sz="4" w:space="0" w:color="auto"/>
            </w:tcBorders>
            <w:shd w:val="clear" w:color="auto" w:fill="auto"/>
            <w:noWrap/>
            <w:vAlign w:val="center"/>
            <w:hideMark/>
          </w:tcPr>
          <w:p w14:paraId="6879C56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32F1D51B"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78217D70"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Call</w:t>
            </w:r>
          </w:p>
        </w:tc>
        <w:tc>
          <w:tcPr>
            <w:tcW w:w="1177" w:type="dxa"/>
            <w:tcBorders>
              <w:top w:val="nil"/>
              <w:left w:val="nil"/>
              <w:bottom w:val="nil"/>
              <w:right w:val="single" w:sz="4" w:space="0" w:color="auto"/>
            </w:tcBorders>
            <w:shd w:val="clear" w:color="000000" w:fill="F2F2F2"/>
            <w:noWrap/>
            <w:vAlign w:val="center"/>
            <w:hideMark/>
          </w:tcPr>
          <w:p w14:paraId="37D6278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8,02,37,798</w:t>
            </w:r>
          </w:p>
        </w:tc>
        <w:tc>
          <w:tcPr>
            <w:tcW w:w="1176" w:type="dxa"/>
            <w:tcBorders>
              <w:top w:val="nil"/>
              <w:left w:val="nil"/>
              <w:bottom w:val="nil"/>
              <w:right w:val="single" w:sz="4" w:space="0" w:color="auto"/>
            </w:tcBorders>
            <w:shd w:val="clear" w:color="000000" w:fill="F2F2F2"/>
            <w:noWrap/>
            <w:vAlign w:val="center"/>
            <w:hideMark/>
          </w:tcPr>
          <w:p w14:paraId="2DB81B6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10,41,42,054</w:t>
            </w:r>
          </w:p>
        </w:tc>
        <w:tc>
          <w:tcPr>
            <w:tcW w:w="1287" w:type="dxa"/>
            <w:tcBorders>
              <w:top w:val="nil"/>
              <w:left w:val="nil"/>
              <w:bottom w:val="nil"/>
              <w:right w:val="single" w:sz="4" w:space="0" w:color="auto"/>
            </w:tcBorders>
            <w:shd w:val="clear" w:color="000000" w:fill="F2F2F2"/>
            <w:noWrap/>
            <w:vAlign w:val="center"/>
            <w:hideMark/>
          </w:tcPr>
          <w:p w14:paraId="0B00D7D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29.8</w:t>
            </w:r>
          </w:p>
        </w:tc>
        <w:tc>
          <w:tcPr>
            <w:tcW w:w="700" w:type="dxa"/>
            <w:tcBorders>
              <w:top w:val="nil"/>
              <w:left w:val="nil"/>
              <w:bottom w:val="nil"/>
              <w:right w:val="single" w:sz="4" w:space="0" w:color="auto"/>
            </w:tcBorders>
            <w:shd w:val="clear" w:color="auto" w:fill="auto"/>
            <w:noWrap/>
            <w:vAlign w:val="center"/>
            <w:hideMark/>
          </w:tcPr>
          <w:p w14:paraId="3A6582F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nil"/>
              <w:right w:val="single" w:sz="4" w:space="0" w:color="auto"/>
            </w:tcBorders>
            <w:shd w:val="clear" w:color="auto" w:fill="auto"/>
            <w:noWrap/>
            <w:vAlign w:val="center"/>
            <w:hideMark/>
          </w:tcPr>
          <w:p w14:paraId="635DFD1E"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nil"/>
              <w:right w:val="single" w:sz="4" w:space="0" w:color="auto"/>
            </w:tcBorders>
            <w:shd w:val="clear" w:color="auto" w:fill="auto"/>
            <w:noWrap/>
            <w:vAlign w:val="center"/>
            <w:hideMark/>
          </w:tcPr>
          <w:p w14:paraId="27C45B5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305F16D6"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028929E1"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(iii) Stock Futures</w:t>
            </w:r>
          </w:p>
        </w:tc>
        <w:tc>
          <w:tcPr>
            <w:tcW w:w="1177" w:type="dxa"/>
            <w:tcBorders>
              <w:top w:val="nil"/>
              <w:left w:val="nil"/>
              <w:bottom w:val="nil"/>
              <w:right w:val="single" w:sz="4" w:space="0" w:color="auto"/>
            </w:tcBorders>
            <w:shd w:val="clear" w:color="000000" w:fill="F2F2F2"/>
            <w:noWrap/>
            <w:vAlign w:val="center"/>
            <w:hideMark/>
          </w:tcPr>
          <w:p w14:paraId="631851A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2,15,81,854</w:t>
            </w:r>
          </w:p>
        </w:tc>
        <w:tc>
          <w:tcPr>
            <w:tcW w:w="1176" w:type="dxa"/>
            <w:tcBorders>
              <w:top w:val="nil"/>
              <w:left w:val="nil"/>
              <w:bottom w:val="nil"/>
              <w:right w:val="single" w:sz="4" w:space="0" w:color="auto"/>
            </w:tcBorders>
            <w:shd w:val="clear" w:color="000000" w:fill="F2F2F2"/>
            <w:noWrap/>
            <w:vAlign w:val="center"/>
            <w:hideMark/>
          </w:tcPr>
          <w:p w14:paraId="3700BD3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2,16,40,734</w:t>
            </w:r>
          </w:p>
        </w:tc>
        <w:tc>
          <w:tcPr>
            <w:tcW w:w="1287" w:type="dxa"/>
            <w:tcBorders>
              <w:top w:val="nil"/>
              <w:left w:val="nil"/>
              <w:bottom w:val="nil"/>
              <w:right w:val="single" w:sz="4" w:space="0" w:color="auto"/>
            </w:tcBorders>
            <w:shd w:val="clear" w:color="000000" w:fill="F2F2F2"/>
            <w:noWrap/>
            <w:vAlign w:val="center"/>
            <w:hideMark/>
          </w:tcPr>
          <w:p w14:paraId="326715F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0.3</w:t>
            </w:r>
          </w:p>
        </w:tc>
        <w:tc>
          <w:tcPr>
            <w:tcW w:w="700" w:type="dxa"/>
            <w:tcBorders>
              <w:top w:val="nil"/>
              <w:left w:val="nil"/>
              <w:bottom w:val="nil"/>
              <w:right w:val="single" w:sz="4" w:space="0" w:color="auto"/>
            </w:tcBorders>
            <w:shd w:val="clear" w:color="auto" w:fill="auto"/>
            <w:noWrap/>
            <w:vAlign w:val="center"/>
            <w:hideMark/>
          </w:tcPr>
          <w:p w14:paraId="37C330D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16</w:t>
            </w:r>
          </w:p>
        </w:tc>
        <w:tc>
          <w:tcPr>
            <w:tcW w:w="720" w:type="dxa"/>
            <w:tcBorders>
              <w:top w:val="nil"/>
              <w:left w:val="nil"/>
              <w:bottom w:val="nil"/>
              <w:right w:val="single" w:sz="4" w:space="0" w:color="auto"/>
            </w:tcBorders>
            <w:shd w:val="clear" w:color="auto" w:fill="auto"/>
            <w:noWrap/>
            <w:vAlign w:val="center"/>
            <w:hideMark/>
          </w:tcPr>
          <w:p w14:paraId="5634E50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14</w:t>
            </w:r>
          </w:p>
        </w:tc>
        <w:tc>
          <w:tcPr>
            <w:tcW w:w="1280" w:type="dxa"/>
            <w:tcBorders>
              <w:top w:val="nil"/>
              <w:left w:val="nil"/>
              <w:bottom w:val="nil"/>
              <w:right w:val="single" w:sz="4" w:space="0" w:color="auto"/>
            </w:tcBorders>
            <w:shd w:val="clear" w:color="auto" w:fill="auto"/>
            <w:noWrap/>
            <w:vAlign w:val="center"/>
            <w:hideMark/>
          </w:tcPr>
          <w:p w14:paraId="4643C16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-12.5</w:t>
            </w:r>
          </w:p>
        </w:tc>
      </w:tr>
      <w:tr w:rsidR="00885921" w:rsidRPr="00FA4546" w14:paraId="029C423D"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4AFBCCBC"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(iv) Options on Stock</w:t>
            </w:r>
          </w:p>
        </w:tc>
        <w:tc>
          <w:tcPr>
            <w:tcW w:w="1177" w:type="dxa"/>
            <w:tcBorders>
              <w:top w:val="nil"/>
              <w:left w:val="nil"/>
              <w:bottom w:val="nil"/>
              <w:right w:val="single" w:sz="4" w:space="0" w:color="auto"/>
            </w:tcBorders>
            <w:shd w:val="clear" w:color="000000" w:fill="F2F2F2"/>
            <w:noWrap/>
            <w:vAlign w:val="center"/>
            <w:hideMark/>
          </w:tcPr>
          <w:p w14:paraId="38EA1C9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176" w:type="dxa"/>
            <w:tcBorders>
              <w:top w:val="nil"/>
              <w:left w:val="nil"/>
              <w:bottom w:val="nil"/>
              <w:right w:val="single" w:sz="4" w:space="0" w:color="auto"/>
            </w:tcBorders>
            <w:shd w:val="clear" w:color="000000" w:fill="F2F2F2"/>
            <w:noWrap/>
            <w:vAlign w:val="center"/>
            <w:hideMark/>
          </w:tcPr>
          <w:p w14:paraId="0857B3F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7" w:type="dxa"/>
            <w:tcBorders>
              <w:top w:val="nil"/>
              <w:left w:val="nil"/>
              <w:bottom w:val="nil"/>
              <w:right w:val="single" w:sz="4" w:space="0" w:color="auto"/>
            </w:tcBorders>
            <w:shd w:val="clear" w:color="000000" w:fill="F2F2F2"/>
            <w:noWrap/>
            <w:vAlign w:val="center"/>
            <w:hideMark/>
          </w:tcPr>
          <w:p w14:paraId="279F957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00" w:type="dxa"/>
            <w:tcBorders>
              <w:top w:val="nil"/>
              <w:left w:val="nil"/>
              <w:bottom w:val="nil"/>
              <w:right w:val="single" w:sz="4" w:space="0" w:color="auto"/>
            </w:tcBorders>
            <w:shd w:val="clear" w:color="auto" w:fill="auto"/>
            <w:noWrap/>
            <w:vAlign w:val="center"/>
            <w:hideMark/>
          </w:tcPr>
          <w:p w14:paraId="30350F4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20" w:type="dxa"/>
            <w:tcBorders>
              <w:top w:val="nil"/>
              <w:left w:val="nil"/>
              <w:bottom w:val="nil"/>
              <w:right w:val="single" w:sz="4" w:space="0" w:color="auto"/>
            </w:tcBorders>
            <w:shd w:val="clear" w:color="auto" w:fill="auto"/>
            <w:noWrap/>
            <w:vAlign w:val="center"/>
            <w:hideMark/>
          </w:tcPr>
          <w:p w14:paraId="7E9800F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0" w:type="dxa"/>
            <w:tcBorders>
              <w:top w:val="nil"/>
              <w:left w:val="nil"/>
              <w:bottom w:val="nil"/>
              <w:right w:val="single" w:sz="4" w:space="0" w:color="auto"/>
            </w:tcBorders>
            <w:shd w:val="clear" w:color="auto" w:fill="auto"/>
            <w:noWrap/>
            <w:vAlign w:val="center"/>
            <w:hideMark/>
          </w:tcPr>
          <w:p w14:paraId="2869EC5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r>
      <w:tr w:rsidR="00885921" w:rsidRPr="00FA4546" w14:paraId="59C9D531"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3FA5CAF8"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Put</w:t>
            </w:r>
          </w:p>
        </w:tc>
        <w:tc>
          <w:tcPr>
            <w:tcW w:w="1177" w:type="dxa"/>
            <w:tcBorders>
              <w:top w:val="nil"/>
              <w:left w:val="nil"/>
              <w:bottom w:val="nil"/>
              <w:right w:val="single" w:sz="4" w:space="0" w:color="auto"/>
            </w:tcBorders>
            <w:shd w:val="clear" w:color="000000" w:fill="F2F2F2"/>
            <w:noWrap/>
            <w:vAlign w:val="center"/>
            <w:hideMark/>
          </w:tcPr>
          <w:p w14:paraId="5668576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52,49,072</w:t>
            </w:r>
          </w:p>
        </w:tc>
        <w:tc>
          <w:tcPr>
            <w:tcW w:w="1176" w:type="dxa"/>
            <w:tcBorders>
              <w:top w:val="nil"/>
              <w:left w:val="nil"/>
              <w:bottom w:val="nil"/>
              <w:right w:val="single" w:sz="4" w:space="0" w:color="auto"/>
            </w:tcBorders>
            <w:shd w:val="clear" w:color="000000" w:fill="F2F2F2"/>
            <w:noWrap/>
            <w:vAlign w:val="center"/>
            <w:hideMark/>
          </w:tcPr>
          <w:p w14:paraId="7BEDC39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50,36,142</w:t>
            </w:r>
          </w:p>
        </w:tc>
        <w:tc>
          <w:tcPr>
            <w:tcW w:w="1287" w:type="dxa"/>
            <w:tcBorders>
              <w:top w:val="nil"/>
              <w:left w:val="nil"/>
              <w:bottom w:val="nil"/>
              <w:right w:val="single" w:sz="4" w:space="0" w:color="auto"/>
            </w:tcBorders>
            <w:shd w:val="clear" w:color="000000" w:fill="F2F2F2"/>
            <w:noWrap/>
            <w:vAlign w:val="center"/>
            <w:hideMark/>
          </w:tcPr>
          <w:p w14:paraId="6B75420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-4.1</w:t>
            </w:r>
          </w:p>
        </w:tc>
        <w:tc>
          <w:tcPr>
            <w:tcW w:w="700" w:type="dxa"/>
            <w:tcBorders>
              <w:top w:val="nil"/>
              <w:left w:val="nil"/>
              <w:bottom w:val="nil"/>
              <w:right w:val="single" w:sz="4" w:space="0" w:color="auto"/>
            </w:tcBorders>
            <w:shd w:val="clear" w:color="auto" w:fill="auto"/>
            <w:noWrap/>
            <w:vAlign w:val="center"/>
            <w:hideMark/>
          </w:tcPr>
          <w:p w14:paraId="0C73268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nil"/>
              <w:right w:val="single" w:sz="4" w:space="0" w:color="auto"/>
            </w:tcBorders>
            <w:shd w:val="clear" w:color="auto" w:fill="auto"/>
            <w:noWrap/>
            <w:vAlign w:val="center"/>
            <w:hideMark/>
          </w:tcPr>
          <w:p w14:paraId="3899684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nil"/>
              <w:right w:val="single" w:sz="4" w:space="0" w:color="auto"/>
            </w:tcBorders>
            <w:shd w:val="clear" w:color="auto" w:fill="auto"/>
            <w:noWrap/>
            <w:vAlign w:val="center"/>
            <w:hideMark/>
          </w:tcPr>
          <w:p w14:paraId="70431D5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3138BE69" w14:textId="77777777" w:rsidTr="00560A50">
        <w:trPr>
          <w:trHeight w:val="255"/>
        </w:trPr>
        <w:tc>
          <w:tcPr>
            <w:tcW w:w="1960" w:type="dxa"/>
            <w:tcBorders>
              <w:top w:val="nil"/>
              <w:left w:val="single" w:sz="4" w:space="0" w:color="auto"/>
              <w:bottom w:val="single" w:sz="4" w:space="0" w:color="auto"/>
              <w:right w:val="single" w:sz="4" w:space="0" w:color="auto"/>
            </w:tcBorders>
            <w:shd w:val="clear" w:color="000000" w:fill="C5D9F1"/>
            <w:noWrap/>
            <w:vAlign w:val="center"/>
            <w:hideMark/>
          </w:tcPr>
          <w:p w14:paraId="2F04AE5D"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Call</w:t>
            </w:r>
          </w:p>
        </w:tc>
        <w:tc>
          <w:tcPr>
            <w:tcW w:w="1177" w:type="dxa"/>
            <w:tcBorders>
              <w:top w:val="nil"/>
              <w:left w:val="nil"/>
              <w:bottom w:val="single" w:sz="4" w:space="0" w:color="auto"/>
              <w:right w:val="single" w:sz="4" w:space="0" w:color="auto"/>
            </w:tcBorders>
            <w:shd w:val="clear" w:color="000000" w:fill="F2F2F2"/>
            <w:noWrap/>
            <w:vAlign w:val="center"/>
            <w:hideMark/>
          </w:tcPr>
          <w:p w14:paraId="61A1FF6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1,13,69,088</w:t>
            </w:r>
          </w:p>
        </w:tc>
        <w:tc>
          <w:tcPr>
            <w:tcW w:w="1176" w:type="dxa"/>
            <w:tcBorders>
              <w:top w:val="nil"/>
              <w:left w:val="nil"/>
              <w:bottom w:val="single" w:sz="4" w:space="0" w:color="auto"/>
              <w:right w:val="single" w:sz="4" w:space="0" w:color="auto"/>
            </w:tcBorders>
            <w:shd w:val="clear" w:color="000000" w:fill="F2F2F2"/>
            <w:noWrap/>
            <w:vAlign w:val="center"/>
            <w:hideMark/>
          </w:tcPr>
          <w:p w14:paraId="1ECFCF3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98,97,504</w:t>
            </w:r>
          </w:p>
        </w:tc>
        <w:tc>
          <w:tcPr>
            <w:tcW w:w="1287" w:type="dxa"/>
            <w:tcBorders>
              <w:top w:val="nil"/>
              <w:left w:val="nil"/>
              <w:bottom w:val="nil"/>
              <w:right w:val="single" w:sz="4" w:space="0" w:color="auto"/>
            </w:tcBorders>
            <w:shd w:val="clear" w:color="000000" w:fill="F2F2F2"/>
            <w:noWrap/>
            <w:vAlign w:val="center"/>
            <w:hideMark/>
          </w:tcPr>
          <w:p w14:paraId="254C23D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-12.9</w:t>
            </w:r>
          </w:p>
        </w:tc>
        <w:tc>
          <w:tcPr>
            <w:tcW w:w="700" w:type="dxa"/>
            <w:tcBorders>
              <w:top w:val="nil"/>
              <w:left w:val="nil"/>
              <w:bottom w:val="nil"/>
              <w:right w:val="single" w:sz="4" w:space="0" w:color="auto"/>
            </w:tcBorders>
            <w:shd w:val="clear" w:color="auto" w:fill="auto"/>
            <w:noWrap/>
            <w:vAlign w:val="center"/>
            <w:hideMark/>
          </w:tcPr>
          <w:p w14:paraId="7507491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nil"/>
              <w:right w:val="single" w:sz="4" w:space="0" w:color="auto"/>
            </w:tcBorders>
            <w:shd w:val="clear" w:color="auto" w:fill="auto"/>
            <w:noWrap/>
            <w:vAlign w:val="center"/>
            <w:hideMark/>
          </w:tcPr>
          <w:p w14:paraId="338CDA3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single" w:sz="4" w:space="0" w:color="auto"/>
              <w:right w:val="single" w:sz="4" w:space="0" w:color="auto"/>
            </w:tcBorders>
            <w:shd w:val="clear" w:color="auto" w:fill="auto"/>
            <w:noWrap/>
            <w:vAlign w:val="center"/>
            <w:hideMark/>
          </w:tcPr>
          <w:p w14:paraId="3D9C536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529C74A3" w14:textId="77777777" w:rsidTr="00560A50">
        <w:trPr>
          <w:trHeight w:val="255"/>
        </w:trPr>
        <w:tc>
          <w:tcPr>
            <w:tcW w:w="1960" w:type="dxa"/>
            <w:tcBorders>
              <w:top w:val="nil"/>
              <w:left w:val="single" w:sz="4" w:space="0" w:color="auto"/>
              <w:bottom w:val="single" w:sz="4" w:space="0" w:color="auto"/>
              <w:right w:val="single" w:sz="4" w:space="0" w:color="auto"/>
            </w:tcBorders>
            <w:shd w:val="clear" w:color="000000" w:fill="C5D9F1"/>
            <w:noWrap/>
            <w:vAlign w:val="center"/>
            <w:hideMark/>
          </w:tcPr>
          <w:p w14:paraId="68ED7EC2" w14:textId="77777777" w:rsidR="00885921" w:rsidRPr="00FA4546" w:rsidRDefault="00885921" w:rsidP="00560A50">
            <w:pPr>
              <w:rPr>
                <w:rFonts w:ascii="Garamond" w:eastAsia="Times New Roman" w:hAnsi="Garamond"/>
                <w:b/>
                <w:bCs/>
                <w:sz w:val="20"/>
                <w:szCs w:val="20"/>
                <w:lang w:val="en-US"/>
              </w:rPr>
            </w:pPr>
            <w:r w:rsidRPr="00FA4546">
              <w:rPr>
                <w:rFonts w:ascii="Garamond" w:eastAsia="Times New Roman" w:hAnsi="Garamond"/>
                <w:b/>
                <w:bCs/>
                <w:sz w:val="20"/>
                <w:szCs w:val="20"/>
                <w:lang w:val="en-US"/>
              </w:rPr>
              <w:t xml:space="preserve">         Total</w:t>
            </w:r>
          </w:p>
        </w:tc>
        <w:tc>
          <w:tcPr>
            <w:tcW w:w="1177" w:type="dxa"/>
            <w:tcBorders>
              <w:top w:val="nil"/>
              <w:left w:val="nil"/>
              <w:bottom w:val="single" w:sz="4" w:space="0" w:color="auto"/>
              <w:right w:val="single" w:sz="4" w:space="0" w:color="auto"/>
            </w:tcBorders>
            <w:shd w:val="clear" w:color="000000" w:fill="C5D9F1"/>
            <w:noWrap/>
            <w:vAlign w:val="center"/>
            <w:hideMark/>
          </w:tcPr>
          <w:p w14:paraId="7A24D6A7"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20,06,85,732</w:t>
            </w:r>
          </w:p>
        </w:tc>
        <w:tc>
          <w:tcPr>
            <w:tcW w:w="1176" w:type="dxa"/>
            <w:tcBorders>
              <w:top w:val="nil"/>
              <w:left w:val="nil"/>
              <w:bottom w:val="single" w:sz="4" w:space="0" w:color="auto"/>
              <w:right w:val="single" w:sz="4" w:space="0" w:color="auto"/>
            </w:tcBorders>
            <w:shd w:val="clear" w:color="000000" w:fill="C5D9F1"/>
            <w:noWrap/>
            <w:vAlign w:val="center"/>
            <w:hideMark/>
          </w:tcPr>
          <w:p w14:paraId="724BC05F"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23,36,82,877</w:t>
            </w:r>
          </w:p>
        </w:tc>
        <w:tc>
          <w:tcPr>
            <w:tcW w:w="1287" w:type="dxa"/>
            <w:tcBorders>
              <w:top w:val="single" w:sz="4" w:space="0" w:color="auto"/>
              <w:left w:val="nil"/>
              <w:bottom w:val="single" w:sz="4" w:space="0" w:color="auto"/>
              <w:right w:val="single" w:sz="4" w:space="0" w:color="auto"/>
            </w:tcBorders>
            <w:shd w:val="clear" w:color="000000" w:fill="C5D9F1"/>
            <w:noWrap/>
            <w:vAlign w:val="center"/>
            <w:hideMark/>
          </w:tcPr>
          <w:p w14:paraId="5F1FF884"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16.4</w:t>
            </w:r>
          </w:p>
        </w:tc>
        <w:tc>
          <w:tcPr>
            <w:tcW w:w="700" w:type="dxa"/>
            <w:tcBorders>
              <w:top w:val="single" w:sz="4" w:space="0" w:color="auto"/>
              <w:left w:val="nil"/>
              <w:bottom w:val="single" w:sz="4" w:space="0" w:color="auto"/>
              <w:right w:val="single" w:sz="4" w:space="0" w:color="auto"/>
            </w:tcBorders>
            <w:shd w:val="clear" w:color="000000" w:fill="C5D9F1"/>
            <w:noWrap/>
            <w:vAlign w:val="center"/>
            <w:hideMark/>
          </w:tcPr>
          <w:p w14:paraId="688DD178"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16</w:t>
            </w:r>
          </w:p>
        </w:tc>
        <w:tc>
          <w:tcPr>
            <w:tcW w:w="720" w:type="dxa"/>
            <w:tcBorders>
              <w:top w:val="single" w:sz="4" w:space="0" w:color="auto"/>
              <w:left w:val="nil"/>
              <w:bottom w:val="single" w:sz="4" w:space="0" w:color="auto"/>
              <w:right w:val="single" w:sz="4" w:space="0" w:color="auto"/>
            </w:tcBorders>
            <w:shd w:val="clear" w:color="000000" w:fill="C5D9F1"/>
            <w:noWrap/>
            <w:vAlign w:val="center"/>
            <w:hideMark/>
          </w:tcPr>
          <w:p w14:paraId="23A9C98E"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14</w:t>
            </w:r>
          </w:p>
        </w:tc>
        <w:tc>
          <w:tcPr>
            <w:tcW w:w="1280" w:type="dxa"/>
            <w:tcBorders>
              <w:top w:val="nil"/>
              <w:left w:val="nil"/>
              <w:bottom w:val="single" w:sz="4" w:space="0" w:color="auto"/>
              <w:right w:val="single" w:sz="4" w:space="0" w:color="auto"/>
            </w:tcBorders>
            <w:shd w:val="clear" w:color="000000" w:fill="C5D9F1"/>
            <w:noWrap/>
            <w:vAlign w:val="center"/>
            <w:hideMark/>
          </w:tcPr>
          <w:p w14:paraId="43A601B6"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-12.5</w:t>
            </w:r>
          </w:p>
        </w:tc>
      </w:tr>
      <w:tr w:rsidR="00885921" w:rsidRPr="00FA4546" w14:paraId="6E36A05F" w14:textId="77777777" w:rsidTr="00560A50">
        <w:trPr>
          <w:trHeight w:val="255"/>
        </w:trPr>
        <w:tc>
          <w:tcPr>
            <w:tcW w:w="8300" w:type="dxa"/>
            <w:gridSpan w:val="7"/>
            <w:tcBorders>
              <w:top w:val="single" w:sz="4" w:space="0" w:color="auto"/>
              <w:left w:val="single" w:sz="4" w:space="0" w:color="auto"/>
              <w:bottom w:val="single" w:sz="4" w:space="0" w:color="auto"/>
              <w:right w:val="single" w:sz="4" w:space="0" w:color="000000"/>
            </w:tcBorders>
            <w:shd w:val="clear" w:color="000000" w:fill="FFFFCC"/>
            <w:vAlign w:val="center"/>
            <w:hideMark/>
          </w:tcPr>
          <w:p w14:paraId="57338308" w14:textId="77777777" w:rsidR="00885921" w:rsidRPr="00FA4546" w:rsidRDefault="00885921" w:rsidP="00560A50">
            <w:pPr>
              <w:rPr>
                <w:rFonts w:ascii="Garamond" w:eastAsia="Times New Roman" w:hAnsi="Garamond"/>
                <w:b/>
                <w:bCs/>
                <w:sz w:val="20"/>
                <w:szCs w:val="20"/>
                <w:lang w:val="en-US"/>
              </w:rPr>
            </w:pPr>
            <w:r w:rsidRPr="00FA4546">
              <w:rPr>
                <w:rFonts w:ascii="Garamond" w:eastAsia="Times New Roman" w:hAnsi="Garamond"/>
                <w:b/>
                <w:bCs/>
                <w:sz w:val="20"/>
                <w:szCs w:val="20"/>
                <w:lang w:val="en-US"/>
              </w:rPr>
              <w:t xml:space="preserve">C.  Open Interest in </w:t>
            </w:r>
            <w:r>
              <w:rPr>
                <w:rFonts w:ascii="Garamond" w:eastAsia="Times New Roman" w:hAnsi="Garamond"/>
                <w:b/>
                <w:bCs/>
                <w:sz w:val="20"/>
                <w:szCs w:val="20"/>
                <w:lang w:val="en-US"/>
              </w:rPr>
              <w:t>T</w:t>
            </w:r>
            <w:r w:rsidRPr="00FA4546">
              <w:rPr>
                <w:rFonts w:ascii="Garamond" w:eastAsia="Times New Roman" w:hAnsi="Garamond"/>
                <w:b/>
                <w:bCs/>
                <w:sz w:val="20"/>
                <w:szCs w:val="20"/>
                <w:lang w:val="en-US"/>
              </w:rPr>
              <w:t xml:space="preserve">erms of Value ( </w:t>
            </w:r>
            <w:r w:rsidRPr="00FA4546">
              <w:rPr>
                <w:rFonts w:ascii="Rupee Foradian" w:eastAsia="Times New Roman" w:hAnsi="Rupee Foradian"/>
                <w:b/>
                <w:bCs/>
                <w:sz w:val="20"/>
                <w:szCs w:val="20"/>
                <w:lang w:val="en-US"/>
              </w:rPr>
              <w:t>`</w:t>
            </w:r>
            <w:r w:rsidRPr="00FA4546">
              <w:rPr>
                <w:rFonts w:ascii="Garamond" w:eastAsia="Times New Roman" w:hAnsi="Garamond"/>
                <w:b/>
                <w:bCs/>
                <w:sz w:val="20"/>
                <w:szCs w:val="20"/>
                <w:lang w:val="en-US"/>
              </w:rPr>
              <w:t xml:space="preserve"> crore)</w:t>
            </w:r>
          </w:p>
        </w:tc>
      </w:tr>
      <w:tr w:rsidR="00885921" w:rsidRPr="00FA4546" w14:paraId="58293F4E"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40B34DE1"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 Index  Futures</w:t>
            </w:r>
          </w:p>
        </w:tc>
        <w:tc>
          <w:tcPr>
            <w:tcW w:w="1177" w:type="dxa"/>
            <w:tcBorders>
              <w:top w:val="nil"/>
              <w:left w:val="nil"/>
              <w:bottom w:val="nil"/>
              <w:right w:val="single" w:sz="4" w:space="0" w:color="auto"/>
            </w:tcBorders>
            <w:shd w:val="clear" w:color="000000" w:fill="F2F2F2"/>
            <w:noWrap/>
            <w:vAlign w:val="center"/>
            <w:hideMark/>
          </w:tcPr>
          <w:p w14:paraId="39BF83D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35,080</w:t>
            </w:r>
          </w:p>
        </w:tc>
        <w:tc>
          <w:tcPr>
            <w:tcW w:w="1176" w:type="dxa"/>
            <w:tcBorders>
              <w:top w:val="nil"/>
              <w:left w:val="nil"/>
              <w:bottom w:val="nil"/>
              <w:right w:val="single" w:sz="4" w:space="0" w:color="auto"/>
            </w:tcBorders>
            <w:shd w:val="clear" w:color="000000" w:fill="F2F2F2"/>
            <w:noWrap/>
            <w:vAlign w:val="center"/>
            <w:hideMark/>
          </w:tcPr>
          <w:p w14:paraId="03316D1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23,666</w:t>
            </w:r>
          </w:p>
        </w:tc>
        <w:tc>
          <w:tcPr>
            <w:tcW w:w="1287" w:type="dxa"/>
            <w:tcBorders>
              <w:top w:val="nil"/>
              <w:left w:val="nil"/>
              <w:bottom w:val="nil"/>
              <w:right w:val="single" w:sz="4" w:space="0" w:color="auto"/>
            </w:tcBorders>
            <w:shd w:val="clear" w:color="000000" w:fill="F2F2F2"/>
            <w:noWrap/>
            <w:vAlign w:val="center"/>
            <w:hideMark/>
          </w:tcPr>
          <w:p w14:paraId="1A3264E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-32.5</w:t>
            </w:r>
          </w:p>
        </w:tc>
        <w:tc>
          <w:tcPr>
            <w:tcW w:w="700" w:type="dxa"/>
            <w:tcBorders>
              <w:top w:val="nil"/>
              <w:left w:val="nil"/>
              <w:bottom w:val="nil"/>
              <w:right w:val="single" w:sz="4" w:space="0" w:color="auto"/>
            </w:tcBorders>
            <w:shd w:val="clear" w:color="auto" w:fill="auto"/>
            <w:noWrap/>
            <w:vAlign w:val="center"/>
            <w:hideMark/>
          </w:tcPr>
          <w:p w14:paraId="1A565E3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nil"/>
              <w:right w:val="single" w:sz="4" w:space="0" w:color="auto"/>
            </w:tcBorders>
            <w:shd w:val="clear" w:color="auto" w:fill="auto"/>
            <w:noWrap/>
            <w:vAlign w:val="center"/>
            <w:hideMark/>
          </w:tcPr>
          <w:p w14:paraId="7E6A5D5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nil"/>
              <w:right w:val="single" w:sz="4" w:space="0" w:color="auto"/>
            </w:tcBorders>
            <w:shd w:val="clear" w:color="auto" w:fill="auto"/>
            <w:noWrap/>
            <w:vAlign w:val="center"/>
            <w:hideMark/>
          </w:tcPr>
          <w:p w14:paraId="518AE2B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1325EE56"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416E7A96"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(ii) Options on Index</w:t>
            </w:r>
          </w:p>
        </w:tc>
        <w:tc>
          <w:tcPr>
            <w:tcW w:w="1177" w:type="dxa"/>
            <w:tcBorders>
              <w:top w:val="nil"/>
              <w:left w:val="nil"/>
              <w:bottom w:val="nil"/>
              <w:right w:val="single" w:sz="4" w:space="0" w:color="auto"/>
            </w:tcBorders>
            <w:shd w:val="clear" w:color="000000" w:fill="F2F2F2"/>
            <w:noWrap/>
            <w:vAlign w:val="center"/>
            <w:hideMark/>
          </w:tcPr>
          <w:p w14:paraId="4661B1D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176" w:type="dxa"/>
            <w:tcBorders>
              <w:top w:val="nil"/>
              <w:left w:val="nil"/>
              <w:bottom w:val="nil"/>
              <w:right w:val="single" w:sz="4" w:space="0" w:color="auto"/>
            </w:tcBorders>
            <w:shd w:val="clear" w:color="000000" w:fill="F2F2F2"/>
            <w:noWrap/>
            <w:vAlign w:val="center"/>
            <w:hideMark/>
          </w:tcPr>
          <w:p w14:paraId="2CF188A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7" w:type="dxa"/>
            <w:tcBorders>
              <w:top w:val="nil"/>
              <w:left w:val="nil"/>
              <w:bottom w:val="nil"/>
              <w:right w:val="single" w:sz="4" w:space="0" w:color="auto"/>
            </w:tcBorders>
            <w:shd w:val="clear" w:color="000000" w:fill="F2F2F2"/>
            <w:noWrap/>
            <w:vAlign w:val="center"/>
            <w:hideMark/>
          </w:tcPr>
          <w:p w14:paraId="491399C6"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00" w:type="dxa"/>
            <w:tcBorders>
              <w:top w:val="nil"/>
              <w:left w:val="nil"/>
              <w:bottom w:val="nil"/>
              <w:right w:val="single" w:sz="4" w:space="0" w:color="auto"/>
            </w:tcBorders>
            <w:shd w:val="clear" w:color="auto" w:fill="auto"/>
            <w:noWrap/>
            <w:vAlign w:val="center"/>
            <w:hideMark/>
          </w:tcPr>
          <w:p w14:paraId="0FFF227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20" w:type="dxa"/>
            <w:tcBorders>
              <w:top w:val="nil"/>
              <w:left w:val="nil"/>
              <w:bottom w:val="nil"/>
              <w:right w:val="single" w:sz="4" w:space="0" w:color="auto"/>
            </w:tcBorders>
            <w:shd w:val="clear" w:color="auto" w:fill="auto"/>
            <w:noWrap/>
            <w:vAlign w:val="center"/>
            <w:hideMark/>
          </w:tcPr>
          <w:p w14:paraId="49DADBE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0" w:type="dxa"/>
            <w:tcBorders>
              <w:top w:val="nil"/>
              <w:left w:val="nil"/>
              <w:bottom w:val="nil"/>
              <w:right w:val="single" w:sz="4" w:space="0" w:color="auto"/>
            </w:tcBorders>
            <w:shd w:val="clear" w:color="auto" w:fill="auto"/>
            <w:noWrap/>
            <w:vAlign w:val="center"/>
            <w:hideMark/>
          </w:tcPr>
          <w:p w14:paraId="6C339D4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r>
      <w:tr w:rsidR="00885921" w:rsidRPr="00FA4546" w14:paraId="0FD9256E"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3135139D"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Put</w:t>
            </w:r>
          </w:p>
        </w:tc>
        <w:tc>
          <w:tcPr>
            <w:tcW w:w="1177" w:type="dxa"/>
            <w:tcBorders>
              <w:top w:val="nil"/>
              <w:left w:val="nil"/>
              <w:bottom w:val="nil"/>
              <w:right w:val="single" w:sz="4" w:space="0" w:color="auto"/>
            </w:tcBorders>
            <w:shd w:val="clear" w:color="000000" w:fill="F2F2F2"/>
            <w:noWrap/>
            <w:vAlign w:val="center"/>
            <w:hideMark/>
          </w:tcPr>
          <w:p w14:paraId="5C3E349E"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87,500</w:t>
            </w:r>
          </w:p>
        </w:tc>
        <w:tc>
          <w:tcPr>
            <w:tcW w:w="1176" w:type="dxa"/>
            <w:tcBorders>
              <w:top w:val="nil"/>
              <w:left w:val="nil"/>
              <w:bottom w:val="nil"/>
              <w:right w:val="single" w:sz="4" w:space="0" w:color="auto"/>
            </w:tcBorders>
            <w:shd w:val="clear" w:color="000000" w:fill="F2F2F2"/>
            <w:noWrap/>
            <w:vAlign w:val="center"/>
            <w:hideMark/>
          </w:tcPr>
          <w:p w14:paraId="59756F4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75,624</w:t>
            </w:r>
          </w:p>
        </w:tc>
        <w:tc>
          <w:tcPr>
            <w:tcW w:w="1287" w:type="dxa"/>
            <w:tcBorders>
              <w:top w:val="nil"/>
              <w:left w:val="nil"/>
              <w:bottom w:val="nil"/>
              <w:right w:val="single" w:sz="4" w:space="0" w:color="auto"/>
            </w:tcBorders>
            <w:shd w:val="clear" w:color="000000" w:fill="F2F2F2"/>
            <w:noWrap/>
            <w:vAlign w:val="center"/>
            <w:hideMark/>
          </w:tcPr>
          <w:p w14:paraId="093B0DD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-13.6</w:t>
            </w:r>
          </w:p>
        </w:tc>
        <w:tc>
          <w:tcPr>
            <w:tcW w:w="700" w:type="dxa"/>
            <w:tcBorders>
              <w:top w:val="nil"/>
              <w:left w:val="nil"/>
              <w:bottom w:val="nil"/>
              <w:right w:val="single" w:sz="4" w:space="0" w:color="auto"/>
            </w:tcBorders>
            <w:shd w:val="clear" w:color="auto" w:fill="auto"/>
            <w:noWrap/>
            <w:vAlign w:val="center"/>
            <w:hideMark/>
          </w:tcPr>
          <w:p w14:paraId="398F1ED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nil"/>
              <w:right w:val="single" w:sz="4" w:space="0" w:color="auto"/>
            </w:tcBorders>
            <w:shd w:val="clear" w:color="auto" w:fill="auto"/>
            <w:noWrap/>
            <w:vAlign w:val="center"/>
            <w:hideMark/>
          </w:tcPr>
          <w:p w14:paraId="429FE6BE"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nil"/>
              <w:right w:val="single" w:sz="4" w:space="0" w:color="auto"/>
            </w:tcBorders>
            <w:shd w:val="clear" w:color="auto" w:fill="auto"/>
            <w:noWrap/>
            <w:vAlign w:val="center"/>
            <w:hideMark/>
          </w:tcPr>
          <w:p w14:paraId="0B63D46E"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4F1EC1AB"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187D998C"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Call</w:t>
            </w:r>
          </w:p>
        </w:tc>
        <w:tc>
          <w:tcPr>
            <w:tcW w:w="1177" w:type="dxa"/>
            <w:tcBorders>
              <w:top w:val="nil"/>
              <w:left w:val="nil"/>
              <w:bottom w:val="nil"/>
              <w:right w:val="single" w:sz="4" w:space="0" w:color="auto"/>
            </w:tcBorders>
            <w:shd w:val="clear" w:color="000000" w:fill="F2F2F2"/>
            <w:noWrap/>
            <w:vAlign w:val="center"/>
            <w:hideMark/>
          </w:tcPr>
          <w:p w14:paraId="2578464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64,252</w:t>
            </w:r>
          </w:p>
        </w:tc>
        <w:tc>
          <w:tcPr>
            <w:tcW w:w="1176" w:type="dxa"/>
            <w:tcBorders>
              <w:top w:val="nil"/>
              <w:left w:val="nil"/>
              <w:bottom w:val="nil"/>
              <w:right w:val="single" w:sz="4" w:space="0" w:color="auto"/>
            </w:tcBorders>
            <w:shd w:val="clear" w:color="000000" w:fill="F2F2F2"/>
            <w:noWrap/>
            <w:vAlign w:val="center"/>
            <w:hideMark/>
          </w:tcPr>
          <w:p w14:paraId="122C26E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63,796</w:t>
            </w:r>
          </w:p>
        </w:tc>
        <w:tc>
          <w:tcPr>
            <w:tcW w:w="1287" w:type="dxa"/>
            <w:tcBorders>
              <w:top w:val="nil"/>
              <w:left w:val="nil"/>
              <w:bottom w:val="nil"/>
              <w:right w:val="single" w:sz="4" w:space="0" w:color="auto"/>
            </w:tcBorders>
            <w:shd w:val="clear" w:color="000000" w:fill="F2F2F2"/>
            <w:noWrap/>
            <w:vAlign w:val="center"/>
            <w:hideMark/>
          </w:tcPr>
          <w:p w14:paraId="42DC0B2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-0.7</w:t>
            </w:r>
          </w:p>
        </w:tc>
        <w:tc>
          <w:tcPr>
            <w:tcW w:w="700" w:type="dxa"/>
            <w:tcBorders>
              <w:top w:val="nil"/>
              <w:left w:val="nil"/>
              <w:bottom w:val="nil"/>
              <w:right w:val="single" w:sz="4" w:space="0" w:color="auto"/>
            </w:tcBorders>
            <w:shd w:val="clear" w:color="auto" w:fill="auto"/>
            <w:noWrap/>
            <w:vAlign w:val="center"/>
            <w:hideMark/>
          </w:tcPr>
          <w:p w14:paraId="0EA3F43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nil"/>
              <w:right w:val="single" w:sz="4" w:space="0" w:color="auto"/>
            </w:tcBorders>
            <w:shd w:val="clear" w:color="auto" w:fill="auto"/>
            <w:noWrap/>
            <w:vAlign w:val="center"/>
            <w:hideMark/>
          </w:tcPr>
          <w:p w14:paraId="42DBB14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nil"/>
              <w:right w:val="single" w:sz="4" w:space="0" w:color="auto"/>
            </w:tcBorders>
            <w:shd w:val="clear" w:color="auto" w:fill="auto"/>
            <w:noWrap/>
            <w:vAlign w:val="center"/>
            <w:hideMark/>
          </w:tcPr>
          <w:p w14:paraId="012DA4F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4DB3BDC7"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69F89576"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(iii) Stock Futures</w:t>
            </w:r>
          </w:p>
        </w:tc>
        <w:tc>
          <w:tcPr>
            <w:tcW w:w="1177" w:type="dxa"/>
            <w:tcBorders>
              <w:top w:val="nil"/>
              <w:left w:val="nil"/>
              <w:bottom w:val="nil"/>
              <w:right w:val="single" w:sz="4" w:space="0" w:color="auto"/>
            </w:tcBorders>
            <w:shd w:val="clear" w:color="000000" w:fill="F2F2F2"/>
            <w:noWrap/>
            <w:vAlign w:val="center"/>
            <w:hideMark/>
          </w:tcPr>
          <w:p w14:paraId="008ABB1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1,30,521</w:t>
            </w:r>
          </w:p>
        </w:tc>
        <w:tc>
          <w:tcPr>
            <w:tcW w:w="1176" w:type="dxa"/>
            <w:tcBorders>
              <w:top w:val="nil"/>
              <w:left w:val="nil"/>
              <w:bottom w:val="nil"/>
              <w:right w:val="single" w:sz="4" w:space="0" w:color="auto"/>
            </w:tcBorders>
            <w:shd w:val="clear" w:color="000000" w:fill="F2F2F2"/>
            <w:noWrap/>
            <w:vAlign w:val="center"/>
            <w:hideMark/>
          </w:tcPr>
          <w:p w14:paraId="6538386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1,04,528</w:t>
            </w:r>
          </w:p>
        </w:tc>
        <w:tc>
          <w:tcPr>
            <w:tcW w:w="1287" w:type="dxa"/>
            <w:tcBorders>
              <w:top w:val="nil"/>
              <w:left w:val="nil"/>
              <w:bottom w:val="nil"/>
              <w:right w:val="single" w:sz="4" w:space="0" w:color="auto"/>
            </w:tcBorders>
            <w:shd w:val="clear" w:color="000000" w:fill="F2F2F2"/>
            <w:noWrap/>
            <w:vAlign w:val="center"/>
            <w:hideMark/>
          </w:tcPr>
          <w:p w14:paraId="38D9639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-19.9</w:t>
            </w:r>
          </w:p>
        </w:tc>
        <w:tc>
          <w:tcPr>
            <w:tcW w:w="700" w:type="dxa"/>
            <w:tcBorders>
              <w:top w:val="nil"/>
              <w:left w:val="nil"/>
              <w:bottom w:val="nil"/>
              <w:right w:val="single" w:sz="4" w:space="0" w:color="auto"/>
            </w:tcBorders>
            <w:shd w:val="clear" w:color="auto" w:fill="auto"/>
            <w:noWrap/>
            <w:vAlign w:val="center"/>
            <w:hideMark/>
          </w:tcPr>
          <w:p w14:paraId="06CFAEA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0.2</w:t>
            </w:r>
          </w:p>
        </w:tc>
        <w:tc>
          <w:tcPr>
            <w:tcW w:w="720" w:type="dxa"/>
            <w:tcBorders>
              <w:top w:val="nil"/>
              <w:left w:val="nil"/>
              <w:bottom w:val="nil"/>
              <w:right w:val="single" w:sz="4" w:space="0" w:color="auto"/>
            </w:tcBorders>
            <w:shd w:val="clear" w:color="auto" w:fill="auto"/>
            <w:noWrap/>
            <w:vAlign w:val="center"/>
            <w:hideMark/>
          </w:tcPr>
          <w:p w14:paraId="686BA84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0.2</w:t>
            </w:r>
          </w:p>
        </w:tc>
        <w:tc>
          <w:tcPr>
            <w:tcW w:w="1280" w:type="dxa"/>
            <w:tcBorders>
              <w:top w:val="nil"/>
              <w:left w:val="nil"/>
              <w:bottom w:val="nil"/>
              <w:right w:val="single" w:sz="4" w:space="0" w:color="auto"/>
            </w:tcBorders>
            <w:shd w:val="clear" w:color="auto" w:fill="auto"/>
            <w:noWrap/>
            <w:vAlign w:val="center"/>
            <w:hideMark/>
          </w:tcPr>
          <w:p w14:paraId="0523E92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-9.0</w:t>
            </w:r>
          </w:p>
        </w:tc>
      </w:tr>
      <w:tr w:rsidR="00885921" w:rsidRPr="00FA4546" w14:paraId="55797C1F"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038461E0"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(iv) Options on Stock</w:t>
            </w:r>
          </w:p>
        </w:tc>
        <w:tc>
          <w:tcPr>
            <w:tcW w:w="1177" w:type="dxa"/>
            <w:tcBorders>
              <w:top w:val="nil"/>
              <w:left w:val="nil"/>
              <w:bottom w:val="nil"/>
              <w:right w:val="single" w:sz="4" w:space="0" w:color="auto"/>
            </w:tcBorders>
            <w:shd w:val="clear" w:color="000000" w:fill="F2F2F2"/>
            <w:noWrap/>
            <w:vAlign w:val="center"/>
            <w:hideMark/>
          </w:tcPr>
          <w:p w14:paraId="08AB750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176" w:type="dxa"/>
            <w:tcBorders>
              <w:top w:val="nil"/>
              <w:left w:val="nil"/>
              <w:bottom w:val="nil"/>
              <w:right w:val="single" w:sz="4" w:space="0" w:color="auto"/>
            </w:tcBorders>
            <w:shd w:val="clear" w:color="000000" w:fill="F2F2F2"/>
            <w:noWrap/>
            <w:vAlign w:val="center"/>
            <w:hideMark/>
          </w:tcPr>
          <w:p w14:paraId="34B5CFF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7" w:type="dxa"/>
            <w:tcBorders>
              <w:top w:val="nil"/>
              <w:left w:val="nil"/>
              <w:bottom w:val="nil"/>
              <w:right w:val="single" w:sz="4" w:space="0" w:color="auto"/>
            </w:tcBorders>
            <w:shd w:val="clear" w:color="000000" w:fill="F2F2F2"/>
            <w:noWrap/>
            <w:vAlign w:val="center"/>
            <w:hideMark/>
          </w:tcPr>
          <w:p w14:paraId="3DF8B7B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00" w:type="dxa"/>
            <w:tcBorders>
              <w:top w:val="nil"/>
              <w:left w:val="nil"/>
              <w:bottom w:val="nil"/>
              <w:right w:val="single" w:sz="4" w:space="0" w:color="auto"/>
            </w:tcBorders>
            <w:shd w:val="clear" w:color="auto" w:fill="auto"/>
            <w:noWrap/>
            <w:vAlign w:val="center"/>
            <w:hideMark/>
          </w:tcPr>
          <w:p w14:paraId="09AD823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20" w:type="dxa"/>
            <w:tcBorders>
              <w:top w:val="nil"/>
              <w:left w:val="nil"/>
              <w:bottom w:val="nil"/>
              <w:right w:val="single" w:sz="4" w:space="0" w:color="auto"/>
            </w:tcBorders>
            <w:shd w:val="clear" w:color="auto" w:fill="auto"/>
            <w:noWrap/>
            <w:vAlign w:val="center"/>
            <w:hideMark/>
          </w:tcPr>
          <w:p w14:paraId="60682B9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0" w:type="dxa"/>
            <w:tcBorders>
              <w:top w:val="nil"/>
              <w:left w:val="nil"/>
              <w:bottom w:val="nil"/>
              <w:right w:val="single" w:sz="4" w:space="0" w:color="auto"/>
            </w:tcBorders>
            <w:shd w:val="clear" w:color="auto" w:fill="auto"/>
            <w:noWrap/>
            <w:vAlign w:val="center"/>
            <w:hideMark/>
          </w:tcPr>
          <w:p w14:paraId="175C92D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r>
      <w:tr w:rsidR="00885921" w:rsidRPr="00FA4546" w14:paraId="2CCC42BE"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309B9870"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Put</w:t>
            </w:r>
          </w:p>
        </w:tc>
        <w:tc>
          <w:tcPr>
            <w:tcW w:w="1177" w:type="dxa"/>
            <w:tcBorders>
              <w:top w:val="nil"/>
              <w:left w:val="nil"/>
              <w:bottom w:val="nil"/>
              <w:right w:val="single" w:sz="4" w:space="0" w:color="auto"/>
            </w:tcBorders>
            <w:shd w:val="clear" w:color="000000" w:fill="F2F2F2"/>
            <w:noWrap/>
            <w:vAlign w:val="center"/>
            <w:hideMark/>
          </w:tcPr>
          <w:p w14:paraId="5C33DF1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8,396</w:t>
            </w:r>
          </w:p>
        </w:tc>
        <w:tc>
          <w:tcPr>
            <w:tcW w:w="1176" w:type="dxa"/>
            <w:tcBorders>
              <w:top w:val="nil"/>
              <w:left w:val="nil"/>
              <w:bottom w:val="nil"/>
              <w:right w:val="single" w:sz="4" w:space="0" w:color="auto"/>
            </w:tcBorders>
            <w:shd w:val="clear" w:color="000000" w:fill="F2F2F2"/>
            <w:noWrap/>
            <w:vAlign w:val="center"/>
            <w:hideMark/>
          </w:tcPr>
          <w:p w14:paraId="4D0296D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6,328</w:t>
            </w:r>
          </w:p>
        </w:tc>
        <w:tc>
          <w:tcPr>
            <w:tcW w:w="1287" w:type="dxa"/>
            <w:tcBorders>
              <w:top w:val="nil"/>
              <w:left w:val="nil"/>
              <w:bottom w:val="nil"/>
              <w:right w:val="single" w:sz="4" w:space="0" w:color="auto"/>
            </w:tcBorders>
            <w:shd w:val="clear" w:color="000000" w:fill="F2F2F2"/>
            <w:noWrap/>
            <w:vAlign w:val="center"/>
            <w:hideMark/>
          </w:tcPr>
          <w:p w14:paraId="7761073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-24.6</w:t>
            </w:r>
          </w:p>
        </w:tc>
        <w:tc>
          <w:tcPr>
            <w:tcW w:w="700" w:type="dxa"/>
            <w:tcBorders>
              <w:top w:val="nil"/>
              <w:left w:val="nil"/>
              <w:bottom w:val="nil"/>
              <w:right w:val="single" w:sz="4" w:space="0" w:color="auto"/>
            </w:tcBorders>
            <w:shd w:val="clear" w:color="auto" w:fill="auto"/>
            <w:noWrap/>
            <w:vAlign w:val="center"/>
            <w:hideMark/>
          </w:tcPr>
          <w:p w14:paraId="605E149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nil"/>
              <w:right w:val="single" w:sz="4" w:space="0" w:color="auto"/>
            </w:tcBorders>
            <w:shd w:val="clear" w:color="auto" w:fill="auto"/>
            <w:noWrap/>
            <w:vAlign w:val="center"/>
            <w:hideMark/>
          </w:tcPr>
          <w:p w14:paraId="1449598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nil"/>
              <w:right w:val="single" w:sz="4" w:space="0" w:color="auto"/>
            </w:tcBorders>
            <w:shd w:val="clear" w:color="auto" w:fill="auto"/>
            <w:noWrap/>
            <w:vAlign w:val="center"/>
            <w:hideMark/>
          </w:tcPr>
          <w:p w14:paraId="5CFB392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6C1D9A50" w14:textId="77777777" w:rsidTr="00560A50">
        <w:trPr>
          <w:trHeight w:val="255"/>
        </w:trPr>
        <w:tc>
          <w:tcPr>
            <w:tcW w:w="1960" w:type="dxa"/>
            <w:tcBorders>
              <w:top w:val="nil"/>
              <w:left w:val="single" w:sz="4" w:space="0" w:color="auto"/>
              <w:bottom w:val="single" w:sz="4" w:space="0" w:color="auto"/>
              <w:right w:val="single" w:sz="4" w:space="0" w:color="auto"/>
            </w:tcBorders>
            <w:shd w:val="clear" w:color="000000" w:fill="C5D9F1"/>
            <w:noWrap/>
            <w:vAlign w:val="center"/>
            <w:hideMark/>
          </w:tcPr>
          <w:p w14:paraId="332947FE"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Call</w:t>
            </w:r>
          </w:p>
        </w:tc>
        <w:tc>
          <w:tcPr>
            <w:tcW w:w="1177" w:type="dxa"/>
            <w:tcBorders>
              <w:top w:val="nil"/>
              <w:left w:val="nil"/>
              <w:bottom w:val="single" w:sz="4" w:space="0" w:color="auto"/>
              <w:right w:val="single" w:sz="4" w:space="0" w:color="auto"/>
            </w:tcBorders>
            <w:shd w:val="clear" w:color="000000" w:fill="F2F2F2"/>
            <w:noWrap/>
            <w:vAlign w:val="center"/>
            <w:hideMark/>
          </w:tcPr>
          <w:p w14:paraId="51BBB45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16,166</w:t>
            </w:r>
          </w:p>
        </w:tc>
        <w:tc>
          <w:tcPr>
            <w:tcW w:w="1176" w:type="dxa"/>
            <w:tcBorders>
              <w:top w:val="nil"/>
              <w:left w:val="nil"/>
              <w:bottom w:val="single" w:sz="4" w:space="0" w:color="auto"/>
              <w:right w:val="single" w:sz="4" w:space="0" w:color="auto"/>
            </w:tcBorders>
            <w:shd w:val="clear" w:color="000000" w:fill="F2F2F2"/>
            <w:noWrap/>
            <w:vAlign w:val="center"/>
            <w:hideMark/>
          </w:tcPr>
          <w:p w14:paraId="29032C8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10,800</w:t>
            </w:r>
          </w:p>
        </w:tc>
        <w:tc>
          <w:tcPr>
            <w:tcW w:w="1287" w:type="dxa"/>
            <w:tcBorders>
              <w:top w:val="nil"/>
              <w:left w:val="nil"/>
              <w:bottom w:val="nil"/>
              <w:right w:val="single" w:sz="4" w:space="0" w:color="auto"/>
            </w:tcBorders>
            <w:shd w:val="clear" w:color="000000" w:fill="F2F2F2"/>
            <w:noWrap/>
            <w:vAlign w:val="center"/>
            <w:hideMark/>
          </w:tcPr>
          <w:p w14:paraId="79CF06B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-33.2</w:t>
            </w:r>
          </w:p>
        </w:tc>
        <w:tc>
          <w:tcPr>
            <w:tcW w:w="700" w:type="dxa"/>
            <w:tcBorders>
              <w:top w:val="nil"/>
              <w:left w:val="nil"/>
              <w:bottom w:val="single" w:sz="4" w:space="0" w:color="auto"/>
              <w:right w:val="single" w:sz="4" w:space="0" w:color="auto"/>
            </w:tcBorders>
            <w:shd w:val="clear" w:color="auto" w:fill="auto"/>
            <w:noWrap/>
            <w:vAlign w:val="center"/>
            <w:hideMark/>
          </w:tcPr>
          <w:p w14:paraId="16424B2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720" w:type="dxa"/>
            <w:tcBorders>
              <w:top w:val="nil"/>
              <w:left w:val="nil"/>
              <w:bottom w:val="single" w:sz="4" w:space="0" w:color="auto"/>
              <w:right w:val="single" w:sz="4" w:space="0" w:color="auto"/>
            </w:tcBorders>
            <w:shd w:val="clear" w:color="auto" w:fill="auto"/>
            <w:noWrap/>
            <w:vAlign w:val="center"/>
            <w:hideMark/>
          </w:tcPr>
          <w:p w14:paraId="08496CD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c>
          <w:tcPr>
            <w:tcW w:w="1280" w:type="dxa"/>
            <w:tcBorders>
              <w:top w:val="nil"/>
              <w:left w:val="nil"/>
              <w:bottom w:val="single" w:sz="4" w:space="0" w:color="auto"/>
              <w:right w:val="single" w:sz="4" w:space="0" w:color="auto"/>
            </w:tcBorders>
            <w:shd w:val="clear" w:color="auto" w:fill="auto"/>
            <w:noWrap/>
            <w:vAlign w:val="center"/>
            <w:hideMark/>
          </w:tcPr>
          <w:p w14:paraId="03E10F8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5C1D9BB1" w14:textId="77777777" w:rsidTr="00560A50">
        <w:trPr>
          <w:trHeight w:val="255"/>
        </w:trPr>
        <w:tc>
          <w:tcPr>
            <w:tcW w:w="1960" w:type="dxa"/>
            <w:tcBorders>
              <w:top w:val="nil"/>
              <w:left w:val="single" w:sz="4" w:space="0" w:color="auto"/>
              <w:bottom w:val="single" w:sz="4" w:space="0" w:color="auto"/>
              <w:right w:val="single" w:sz="4" w:space="0" w:color="auto"/>
            </w:tcBorders>
            <w:shd w:val="clear" w:color="000000" w:fill="C5D9F1"/>
            <w:noWrap/>
            <w:vAlign w:val="center"/>
            <w:hideMark/>
          </w:tcPr>
          <w:p w14:paraId="46B5DAF6" w14:textId="77777777" w:rsidR="00885921" w:rsidRPr="00FA4546" w:rsidRDefault="00885921" w:rsidP="00560A50">
            <w:pPr>
              <w:rPr>
                <w:rFonts w:ascii="Garamond" w:eastAsia="Times New Roman" w:hAnsi="Garamond"/>
                <w:b/>
                <w:bCs/>
                <w:sz w:val="20"/>
                <w:szCs w:val="20"/>
                <w:lang w:val="en-US"/>
              </w:rPr>
            </w:pPr>
            <w:r w:rsidRPr="00FA4546">
              <w:rPr>
                <w:rFonts w:ascii="Garamond" w:eastAsia="Times New Roman" w:hAnsi="Garamond"/>
                <w:b/>
                <w:bCs/>
                <w:sz w:val="20"/>
                <w:szCs w:val="20"/>
                <w:lang w:val="en-US"/>
              </w:rPr>
              <w:t xml:space="preserve">         Total</w:t>
            </w:r>
          </w:p>
        </w:tc>
        <w:tc>
          <w:tcPr>
            <w:tcW w:w="1177" w:type="dxa"/>
            <w:tcBorders>
              <w:top w:val="nil"/>
              <w:left w:val="nil"/>
              <w:bottom w:val="single" w:sz="4" w:space="0" w:color="auto"/>
              <w:right w:val="single" w:sz="4" w:space="0" w:color="auto"/>
            </w:tcBorders>
            <w:shd w:val="clear" w:color="000000" w:fill="C5D9F1"/>
            <w:noWrap/>
            <w:vAlign w:val="center"/>
            <w:hideMark/>
          </w:tcPr>
          <w:p w14:paraId="499DD86C"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3,41,915</w:t>
            </w:r>
          </w:p>
        </w:tc>
        <w:tc>
          <w:tcPr>
            <w:tcW w:w="1176" w:type="dxa"/>
            <w:tcBorders>
              <w:top w:val="nil"/>
              <w:left w:val="nil"/>
              <w:bottom w:val="single" w:sz="4" w:space="0" w:color="auto"/>
              <w:right w:val="single" w:sz="4" w:space="0" w:color="auto"/>
            </w:tcBorders>
            <w:shd w:val="clear" w:color="000000" w:fill="C5D9F1"/>
            <w:noWrap/>
            <w:vAlign w:val="center"/>
            <w:hideMark/>
          </w:tcPr>
          <w:p w14:paraId="478484E5"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2,84,743</w:t>
            </w:r>
          </w:p>
        </w:tc>
        <w:tc>
          <w:tcPr>
            <w:tcW w:w="1287" w:type="dxa"/>
            <w:tcBorders>
              <w:top w:val="single" w:sz="4" w:space="0" w:color="auto"/>
              <w:left w:val="nil"/>
              <w:bottom w:val="single" w:sz="4" w:space="0" w:color="auto"/>
              <w:right w:val="single" w:sz="4" w:space="0" w:color="auto"/>
            </w:tcBorders>
            <w:shd w:val="clear" w:color="000000" w:fill="C5D9F1"/>
            <w:noWrap/>
            <w:vAlign w:val="center"/>
            <w:hideMark/>
          </w:tcPr>
          <w:p w14:paraId="41EB20FB"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-16.7</w:t>
            </w:r>
          </w:p>
        </w:tc>
        <w:tc>
          <w:tcPr>
            <w:tcW w:w="700" w:type="dxa"/>
            <w:tcBorders>
              <w:top w:val="nil"/>
              <w:left w:val="nil"/>
              <w:bottom w:val="single" w:sz="4" w:space="0" w:color="auto"/>
              <w:right w:val="single" w:sz="4" w:space="0" w:color="auto"/>
            </w:tcBorders>
            <w:shd w:val="clear" w:color="000000" w:fill="C5D9F1"/>
            <w:noWrap/>
            <w:vAlign w:val="center"/>
            <w:hideMark/>
          </w:tcPr>
          <w:p w14:paraId="745D0436"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0.2</w:t>
            </w:r>
          </w:p>
        </w:tc>
        <w:tc>
          <w:tcPr>
            <w:tcW w:w="720" w:type="dxa"/>
            <w:tcBorders>
              <w:top w:val="nil"/>
              <w:left w:val="nil"/>
              <w:bottom w:val="single" w:sz="4" w:space="0" w:color="auto"/>
              <w:right w:val="single" w:sz="4" w:space="0" w:color="auto"/>
            </w:tcBorders>
            <w:shd w:val="clear" w:color="000000" w:fill="C5D9F1"/>
            <w:noWrap/>
            <w:vAlign w:val="center"/>
            <w:hideMark/>
          </w:tcPr>
          <w:p w14:paraId="2F779350"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0.2</w:t>
            </w:r>
          </w:p>
        </w:tc>
        <w:tc>
          <w:tcPr>
            <w:tcW w:w="1280" w:type="dxa"/>
            <w:tcBorders>
              <w:top w:val="nil"/>
              <w:left w:val="nil"/>
              <w:bottom w:val="single" w:sz="4" w:space="0" w:color="auto"/>
              <w:right w:val="single" w:sz="4" w:space="0" w:color="auto"/>
            </w:tcBorders>
            <w:shd w:val="clear" w:color="000000" w:fill="C5D9F1"/>
            <w:noWrap/>
            <w:vAlign w:val="center"/>
            <w:hideMark/>
          </w:tcPr>
          <w:p w14:paraId="195B3C1B"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-9.0</w:t>
            </w:r>
          </w:p>
        </w:tc>
      </w:tr>
      <w:tr w:rsidR="00885921" w:rsidRPr="00FA4546" w14:paraId="278F643F" w14:textId="77777777" w:rsidTr="00560A50">
        <w:trPr>
          <w:trHeight w:val="255"/>
        </w:trPr>
        <w:tc>
          <w:tcPr>
            <w:tcW w:w="8300" w:type="dxa"/>
            <w:gridSpan w:val="7"/>
            <w:tcBorders>
              <w:top w:val="single" w:sz="4" w:space="0" w:color="auto"/>
              <w:left w:val="single" w:sz="4" w:space="0" w:color="auto"/>
              <w:bottom w:val="single" w:sz="4" w:space="0" w:color="auto"/>
              <w:right w:val="single" w:sz="4" w:space="0" w:color="000000"/>
            </w:tcBorders>
            <w:shd w:val="clear" w:color="000000" w:fill="FFFFCC"/>
            <w:vAlign w:val="center"/>
            <w:hideMark/>
          </w:tcPr>
          <w:p w14:paraId="76EAC4DE" w14:textId="77777777" w:rsidR="00885921" w:rsidRPr="00FA4546" w:rsidRDefault="00885921" w:rsidP="00560A50">
            <w:pPr>
              <w:rPr>
                <w:rFonts w:ascii="Garamond" w:eastAsia="Times New Roman" w:hAnsi="Garamond"/>
                <w:b/>
                <w:bCs/>
                <w:sz w:val="20"/>
                <w:szCs w:val="20"/>
                <w:lang w:val="en-US"/>
              </w:rPr>
            </w:pPr>
            <w:r w:rsidRPr="00FA4546">
              <w:rPr>
                <w:rFonts w:ascii="Garamond" w:eastAsia="Times New Roman" w:hAnsi="Garamond"/>
                <w:b/>
                <w:bCs/>
                <w:sz w:val="20"/>
                <w:szCs w:val="20"/>
                <w:lang w:val="en-US"/>
              </w:rPr>
              <w:t xml:space="preserve">D.  Open Interest in </w:t>
            </w:r>
            <w:r>
              <w:rPr>
                <w:rFonts w:ascii="Garamond" w:eastAsia="Times New Roman" w:hAnsi="Garamond"/>
                <w:b/>
                <w:bCs/>
                <w:sz w:val="20"/>
                <w:szCs w:val="20"/>
                <w:lang w:val="en-US"/>
              </w:rPr>
              <w:t>T</w:t>
            </w:r>
            <w:r w:rsidRPr="00FA4546">
              <w:rPr>
                <w:rFonts w:ascii="Garamond" w:eastAsia="Times New Roman" w:hAnsi="Garamond"/>
                <w:b/>
                <w:bCs/>
                <w:sz w:val="20"/>
                <w:szCs w:val="20"/>
                <w:lang w:val="en-US"/>
              </w:rPr>
              <w:t>erms of No of Contracts</w:t>
            </w:r>
          </w:p>
        </w:tc>
      </w:tr>
      <w:tr w:rsidR="00885921" w:rsidRPr="00FA4546" w14:paraId="09834504"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4305986F"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 Index  Futures</w:t>
            </w:r>
          </w:p>
        </w:tc>
        <w:tc>
          <w:tcPr>
            <w:tcW w:w="1177" w:type="dxa"/>
            <w:tcBorders>
              <w:top w:val="nil"/>
              <w:left w:val="nil"/>
              <w:bottom w:val="nil"/>
              <w:right w:val="single" w:sz="4" w:space="0" w:color="auto"/>
            </w:tcBorders>
            <w:shd w:val="clear" w:color="000000" w:fill="F2F2F2"/>
            <w:noWrap/>
            <w:vAlign w:val="center"/>
            <w:hideMark/>
          </w:tcPr>
          <w:p w14:paraId="48B5A21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3,90,766</w:t>
            </w:r>
          </w:p>
        </w:tc>
        <w:tc>
          <w:tcPr>
            <w:tcW w:w="1176" w:type="dxa"/>
            <w:tcBorders>
              <w:top w:val="nil"/>
              <w:left w:val="nil"/>
              <w:bottom w:val="nil"/>
              <w:right w:val="single" w:sz="4" w:space="0" w:color="auto"/>
            </w:tcBorders>
            <w:shd w:val="clear" w:color="000000" w:fill="F2F2F2"/>
            <w:noWrap/>
            <w:vAlign w:val="center"/>
            <w:hideMark/>
          </w:tcPr>
          <w:p w14:paraId="7B18C01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2,82,242</w:t>
            </w:r>
          </w:p>
        </w:tc>
        <w:tc>
          <w:tcPr>
            <w:tcW w:w="1287" w:type="dxa"/>
            <w:tcBorders>
              <w:top w:val="nil"/>
              <w:left w:val="nil"/>
              <w:bottom w:val="nil"/>
              <w:right w:val="single" w:sz="4" w:space="0" w:color="auto"/>
            </w:tcBorders>
            <w:shd w:val="clear" w:color="000000" w:fill="F2F2F2"/>
            <w:noWrap/>
            <w:vAlign w:val="center"/>
            <w:hideMark/>
          </w:tcPr>
          <w:p w14:paraId="7F8E543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-27.8</w:t>
            </w:r>
          </w:p>
        </w:tc>
        <w:tc>
          <w:tcPr>
            <w:tcW w:w="700" w:type="dxa"/>
            <w:tcBorders>
              <w:top w:val="nil"/>
              <w:left w:val="nil"/>
              <w:bottom w:val="nil"/>
              <w:right w:val="single" w:sz="4" w:space="0" w:color="auto"/>
            </w:tcBorders>
            <w:shd w:val="clear" w:color="auto" w:fill="auto"/>
            <w:noWrap/>
            <w:vAlign w:val="center"/>
            <w:hideMark/>
          </w:tcPr>
          <w:p w14:paraId="12410F8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nil"/>
              <w:right w:val="single" w:sz="4" w:space="0" w:color="auto"/>
            </w:tcBorders>
            <w:shd w:val="clear" w:color="auto" w:fill="auto"/>
            <w:noWrap/>
            <w:vAlign w:val="center"/>
            <w:hideMark/>
          </w:tcPr>
          <w:p w14:paraId="64FE8B22"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nil"/>
              <w:right w:val="single" w:sz="4" w:space="0" w:color="auto"/>
            </w:tcBorders>
            <w:shd w:val="clear" w:color="auto" w:fill="auto"/>
            <w:noWrap/>
            <w:vAlign w:val="center"/>
            <w:hideMark/>
          </w:tcPr>
          <w:p w14:paraId="142C7B4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7ECA9CC8"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0BFB7097"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(ii) Options on Index</w:t>
            </w:r>
          </w:p>
        </w:tc>
        <w:tc>
          <w:tcPr>
            <w:tcW w:w="1177" w:type="dxa"/>
            <w:tcBorders>
              <w:top w:val="nil"/>
              <w:left w:val="nil"/>
              <w:bottom w:val="nil"/>
              <w:right w:val="single" w:sz="4" w:space="0" w:color="auto"/>
            </w:tcBorders>
            <w:shd w:val="clear" w:color="000000" w:fill="F2F2F2"/>
            <w:noWrap/>
            <w:vAlign w:val="center"/>
            <w:hideMark/>
          </w:tcPr>
          <w:p w14:paraId="481B04EE"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176" w:type="dxa"/>
            <w:tcBorders>
              <w:top w:val="nil"/>
              <w:left w:val="nil"/>
              <w:bottom w:val="nil"/>
              <w:right w:val="single" w:sz="4" w:space="0" w:color="auto"/>
            </w:tcBorders>
            <w:shd w:val="clear" w:color="000000" w:fill="F2F2F2"/>
            <w:noWrap/>
            <w:vAlign w:val="center"/>
            <w:hideMark/>
          </w:tcPr>
          <w:p w14:paraId="4F99018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7" w:type="dxa"/>
            <w:tcBorders>
              <w:top w:val="nil"/>
              <w:left w:val="nil"/>
              <w:bottom w:val="nil"/>
              <w:right w:val="single" w:sz="4" w:space="0" w:color="auto"/>
            </w:tcBorders>
            <w:shd w:val="clear" w:color="000000" w:fill="F2F2F2"/>
            <w:noWrap/>
            <w:vAlign w:val="center"/>
            <w:hideMark/>
          </w:tcPr>
          <w:p w14:paraId="3BDC03BD"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00" w:type="dxa"/>
            <w:tcBorders>
              <w:top w:val="nil"/>
              <w:left w:val="nil"/>
              <w:bottom w:val="nil"/>
              <w:right w:val="single" w:sz="4" w:space="0" w:color="auto"/>
            </w:tcBorders>
            <w:shd w:val="clear" w:color="auto" w:fill="auto"/>
            <w:noWrap/>
            <w:vAlign w:val="center"/>
            <w:hideMark/>
          </w:tcPr>
          <w:p w14:paraId="02883AE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20" w:type="dxa"/>
            <w:tcBorders>
              <w:top w:val="nil"/>
              <w:left w:val="nil"/>
              <w:bottom w:val="nil"/>
              <w:right w:val="single" w:sz="4" w:space="0" w:color="auto"/>
            </w:tcBorders>
            <w:shd w:val="clear" w:color="auto" w:fill="auto"/>
            <w:noWrap/>
            <w:vAlign w:val="center"/>
            <w:hideMark/>
          </w:tcPr>
          <w:p w14:paraId="3F47C60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0" w:type="dxa"/>
            <w:tcBorders>
              <w:top w:val="nil"/>
              <w:left w:val="nil"/>
              <w:bottom w:val="nil"/>
              <w:right w:val="single" w:sz="4" w:space="0" w:color="auto"/>
            </w:tcBorders>
            <w:shd w:val="clear" w:color="auto" w:fill="auto"/>
            <w:noWrap/>
            <w:vAlign w:val="center"/>
            <w:hideMark/>
          </w:tcPr>
          <w:p w14:paraId="3F857AF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r>
      <w:tr w:rsidR="00885921" w:rsidRPr="00FA4546" w14:paraId="5FEB2173"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3DEDA310"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Put</w:t>
            </w:r>
          </w:p>
        </w:tc>
        <w:tc>
          <w:tcPr>
            <w:tcW w:w="1177" w:type="dxa"/>
            <w:tcBorders>
              <w:top w:val="nil"/>
              <w:left w:val="nil"/>
              <w:bottom w:val="nil"/>
              <w:right w:val="single" w:sz="4" w:space="0" w:color="auto"/>
            </w:tcBorders>
            <w:shd w:val="clear" w:color="000000" w:fill="F2F2F2"/>
            <w:noWrap/>
            <w:vAlign w:val="center"/>
            <w:hideMark/>
          </w:tcPr>
          <w:p w14:paraId="609560C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9,45,783</w:t>
            </w:r>
          </w:p>
        </w:tc>
        <w:tc>
          <w:tcPr>
            <w:tcW w:w="1176" w:type="dxa"/>
            <w:tcBorders>
              <w:top w:val="nil"/>
              <w:left w:val="nil"/>
              <w:bottom w:val="nil"/>
              <w:right w:val="single" w:sz="4" w:space="0" w:color="auto"/>
            </w:tcBorders>
            <w:shd w:val="clear" w:color="000000" w:fill="F2F2F2"/>
            <w:noWrap/>
            <w:vAlign w:val="center"/>
            <w:hideMark/>
          </w:tcPr>
          <w:p w14:paraId="5DAE5C1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8,81,743</w:t>
            </w:r>
          </w:p>
        </w:tc>
        <w:tc>
          <w:tcPr>
            <w:tcW w:w="1287" w:type="dxa"/>
            <w:tcBorders>
              <w:top w:val="nil"/>
              <w:left w:val="nil"/>
              <w:bottom w:val="nil"/>
              <w:right w:val="single" w:sz="4" w:space="0" w:color="auto"/>
            </w:tcBorders>
            <w:shd w:val="clear" w:color="000000" w:fill="F2F2F2"/>
            <w:noWrap/>
            <w:vAlign w:val="center"/>
            <w:hideMark/>
          </w:tcPr>
          <w:p w14:paraId="051038ED"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-6.8</w:t>
            </w:r>
          </w:p>
        </w:tc>
        <w:tc>
          <w:tcPr>
            <w:tcW w:w="700" w:type="dxa"/>
            <w:tcBorders>
              <w:top w:val="nil"/>
              <w:left w:val="nil"/>
              <w:bottom w:val="nil"/>
              <w:right w:val="single" w:sz="4" w:space="0" w:color="auto"/>
            </w:tcBorders>
            <w:shd w:val="clear" w:color="auto" w:fill="auto"/>
            <w:noWrap/>
            <w:vAlign w:val="center"/>
            <w:hideMark/>
          </w:tcPr>
          <w:p w14:paraId="5A6489A7"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nil"/>
              <w:right w:val="single" w:sz="4" w:space="0" w:color="auto"/>
            </w:tcBorders>
            <w:shd w:val="clear" w:color="auto" w:fill="auto"/>
            <w:noWrap/>
            <w:vAlign w:val="center"/>
            <w:hideMark/>
          </w:tcPr>
          <w:p w14:paraId="5E01B64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nil"/>
              <w:right w:val="single" w:sz="4" w:space="0" w:color="auto"/>
            </w:tcBorders>
            <w:shd w:val="clear" w:color="auto" w:fill="auto"/>
            <w:noWrap/>
            <w:vAlign w:val="center"/>
            <w:hideMark/>
          </w:tcPr>
          <w:p w14:paraId="02BB20E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1F580B9A"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5A6F348F"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Call</w:t>
            </w:r>
          </w:p>
        </w:tc>
        <w:tc>
          <w:tcPr>
            <w:tcW w:w="1177" w:type="dxa"/>
            <w:tcBorders>
              <w:top w:val="nil"/>
              <w:left w:val="nil"/>
              <w:bottom w:val="nil"/>
              <w:right w:val="single" w:sz="4" w:space="0" w:color="auto"/>
            </w:tcBorders>
            <w:shd w:val="clear" w:color="000000" w:fill="F2F2F2"/>
            <w:noWrap/>
            <w:vAlign w:val="center"/>
            <w:hideMark/>
          </w:tcPr>
          <w:p w14:paraId="7740457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6,79,574</w:t>
            </w:r>
          </w:p>
        </w:tc>
        <w:tc>
          <w:tcPr>
            <w:tcW w:w="1176" w:type="dxa"/>
            <w:tcBorders>
              <w:top w:val="nil"/>
              <w:left w:val="nil"/>
              <w:bottom w:val="nil"/>
              <w:right w:val="single" w:sz="4" w:space="0" w:color="auto"/>
            </w:tcBorders>
            <w:shd w:val="clear" w:color="000000" w:fill="F2F2F2"/>
            <w:noWrap/>
            <w:vAlign w:val="center"/>
            <w:hideMark/>
          </w:tcPr>
          <w:p w14:paraId="77B6A9B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7,31,773</w:t>
            </w:r>
          </w:p>
        </w:tc>
        <w:tc>
          <w:tcPr>
            <w:tcW w:w="1287" w:type="dxa"/>
            <w:tcBorders>
              <w:top w:val="nil"/>
              <w:left w:val="nil"/>
              <w:bottom w:val="nil"/>
              <w:right w:val="single" w:sz="4" w:space="0" w:color="auto"/>
            </w:tcBorders>
            <w:shd w:val="clear" w:color="000000" w:fill="F2F2F2"/>
            <w:noWrap/>
            <w:vAlign w:val="center"/>
            <w:hideMark/>
          </w:tcPr>
          <w:p w14:paraId="3598F10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7.7</w:t>
            </w:r>
          </w:p>
        </w:tc>
        <w:tc>
          <w:tcPr>
            <w:tcW w:w="700" w:type="dxa"/>
            <w:tcBorders>
              <w:top w:val="nil"/>
              <w:left w:val="nil"/>
              <w:bottom w:val="nil"/>
              <w:right w:val="single" w:sz="4" w:space="0" w:color="auto"/>
            </w:tcBorders>
            <w:shd w:val="clear" w:color="auto" w:fill="auto"/>
            <w:noWrap/>
            <w:vAlign w:val="center"/>
            <w:hideMark/>
          </w:tcPr>
          <w:p w14:paraId="47643C0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nil"/>
              <w:right w:val="single" w:sz="4" w:space="0" w:color="auto"/>
            </w:tcBorders>
            <w:shd w:val="clear" w:color="auto" w:fill="auto"/>
            <w:noWrap/>
            <w:vAlign w:val="center"/>
            <w:hideMark/>
          </w:tcPr>
          <w:p w14:paraId="6B602DF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nil"/>
              <w:right w:val="single" w:sz="4" w:space="0" w:color="auto"/>
            </w:tcBorders>
            <w:shd w:val="clear" w:color="auto" w:fill="auto"/>
            <w:noWrap/>
            <w:vAlign w:val="center"/>
            <w:hideMark/>
          </w:tcPr>
          <w:p w14:paraId="63CF360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4F83B3F5"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0FC1C5C0"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 xml:space="preserve">  (iii) Stock Futures</w:t>
            </w:r>
          </w:p>
        </w:tc>
        <w:tc>
          <w:tcPr>
            <w:tcW w:w="1177" w:type="dxa"/>
            <w:tcBorders>
              <w:top w:val="nil"/>
              <w:left w:val="nil"/>
              <w:bottom w:val="nil"/>
              <w:right w:val="single" w:sz="4" w:space="0" w:color="auto"/>
            </w:tcBorders>
            <w:shd w:val="clear" w:color="000000" w:fill="F2F2F2"/>
            <w:noWrap/>
            <w:vAlign w:val="center"/>
            <w:hideMark/>
          </w:tcPr>
          <w:p w14:paraId="17CC101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18,00,625</w:t>
            </w:r>
          </w:p>
        </w:tc>
        <w:tc>
          <w:tcPr>
            <w:tcW w:w="1176" w:type="dxa"/>
            <w:tcBorders>
              <w:top w:val="nil"/>
              <w:left w:val="nil"/>
              <w:bottom w:val="nil"/>
              <w:right w:val="single" w:sz="4" w:space="0" w:color="auto"/>
            </w:tcBorders>
            <w:shd w:val="clear" w:color="000000" w:fill="F2F2F2"/>
            <w:noWrap/>
            <w:vAlign w:val="center"/>
            <w:hideMark/>
          </w:tcPr>
          <w:p w14:paraId="0A915AA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16,73,343</w:t>
            </w:r>
          </w:p>
        </w:tc>
        <w:tc>
          <w:tcPr>
            <w:tcW w:w="1287" w:type="dxa"/>
            <w:tcBorders>
              <w:top w:val="nil"/>
              <w:left w:val="nil"/>
              <w:bottom w:val="nil"/>
              <w:right w:val="single" w:sz="4" w:space="0" w:color="auto"/>
            </w:tcBorders>
            <w:shd w:val="clear" w:color="000000" w:fill="F2F2F2"/>
            <w:noWrap/>
            <w:vAlign w:val="center"/>
            <w:hideMark/>
          </w:tcPr>
          <w:p w14:paraId="054FA9E3"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-7.1</w:t>
            </w:r>
          </w:p>
        </w:tc>
        <w:tc>
          <w:tcPr>
            <w:tcW w:w="700" w:type="dxa"/>
            <w:tcBorders>
              <w:top w:val="nil"/>
              <w:left w:val="nil"/>
              <w:bottom w:val="nil"/>
              <w:right w:val="single" w:sz="4" w:space="0" w:color="auto"/>
            </w:tcBorders>
            <w:shd w:val="clear" w:color="auto" w:fill="auto"/>
            <w:noWrap/>
            <w:vAlign w:val="center"/>
            <w:hideMark/>
          </w:tcPr>
          <w:p w14:paraId="5C352E8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w:t>
            </w:r>
          </w:p>
        </w:tc>
        <w:tc>
          <w:tcPr>
            <w:tcW w:w="720" w:type="dxa"/>
            <w:tcBorders>
              <w:top w:val="nil"/>
              <w:left w:val="nil"/>
              <w:bottom w:val="nil"/>
              <w:right w:val="single" w:sz="4" w:space="0" w:color="auto"/>
            </w:tcBorders>
            <w:shd w:val="clear" w:color="auto" w:fill="auto"/>
            <w:noWrap/>
            <w:vAlign w:val="center"/>
            <w:hideMark/>
          </w:tcPr>
          <w:p w14:paraId="7F479CD4"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3</w:t>
            </w:r>
          </w:p>
        </w:tc>
        <w:tc>
          <w:tcPr>
            <w:tcW w:w="1280" w:type="dxa"/>
            <w:tcBorders>
              <w:top w:val="nil"/>
              <w:left w:val="nil"/>
              <w:bottom w:val="nil"/>
              <w:right w:val="single" w:sz="4" w:space="0" w:color="auto"/>
            </w:tcBorders>
            <w:shd w:val="clear" w:color="auto" w:fill="auto"/>
            <w:noWrap/>
            <w:vAlign w:val="center"/>
            <w:hideMark/>
          </w:tcPr>
          <w:p w14:paraId="79586766"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0.0</w:t>
            </w:r>
          </w:p>
        </w:tc>
      </w:tr>
      <w:tr w:rsidR="00885921" w:rsidRPr="00FA4546" w14:paraId="2284E7AA"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0A9B9A3F" w14:textId="77777777" w:rsidR="00885921" w:rsidRPr="00FA4546" w:rsidRDefault="00885921" w:rsidP="00560A50">
            <w:pPr>
              <w:rPr>
                <w:rFonts w:ascii="Garamond" w:eastAsia="Times New Roman" w:hAnsi="Garamond"/>
                <w:sz w:val="20"/>
                <w:szCs w:val="20"/>
                <w:lang w:val="en-US"/>
              </w:rPr>
            </w:pPr>
            <w:r w:rsidRPr="00FA4546">
              <w:rPr>
                <w:rFonts w:ascii="Garamond" w:eastAsia="Times New Roman" w:hAnsi="Garamond"/>
                <w:sz w:val="20"/>
                <w:szCs w:val="20"/>
                <w:lang w:val="en-US"/>
              </w:rPr>
              <w:t>(iv) Options on Stock</w:t>
            </w:r>
          </w:p>
        </w:tc>
        <w:tc>
          <w:tcPr>
            <w:tcW w:w="1177" w:type="dxa"/>
            <w:tcBorders>
              <w:top w:val="nil"/>
              <w:left w:val="nil"/>
              <w:bottom w:val="nil"/>
              <w:right w:val="single" w:sz="4" w:space="0" w:color="auto"/>
            </w:tcBorders>
            <w:shd w:val="clear" w:color="000000" w:fill="F2F2F2"/>
            <w:noWrap/>
            <w:vAlign w:val="center"/>
            <w:hideMark/>
          </w:tcPr>
          <w:p w14:paraId="0E79070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176" w:type="dxa"/>
            <w:tcBorders>
              <w:top w:val="nil"/>
              <w:left w:val="nil"/>
              <w:bottom w:val="nil"/>
              <w:right w:val="single" w:sz="4" w:space="0" w:color="auto"/>
            </w:tcBorders>
            <w:shd w:val="clear" w:color="000000" w:fill="F2F2F2"/>
            <w:noWrap/>
            <w:vAlign w:val="center"/>
            <w:hideMark/>
          </w:tcPr>
          <w:p w14:paraId="540E79F8"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7" w:type="dxa"/>
            <w:tcBorders>
              <w:top w:val="nil"/>
              <w:left w:val="nil"/>
              <w:bottom w:val="nil"/>
              <w:right w:val="single" w:sz="4" w:space="0" w:color="auto"/>
            </w:tcBorders>
            <w:shd w:val="clear" w:color="000000" w:fill="F2F2F2"/>
            <w:noWrap/>
            <w:vAlign w:val="center"/>
            <w:hideMark/>
          </w:tcPr>
          <w:p w14:paraId="4A69F94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00" w:type="dxa"/>
            <w:tcBorders>
              <w:top w:val="nil"/>
              <w:left w:val="nil"/>
              <w:bottom w:val="nil"/>
              <w:right w:val="single" w:sz="4" w:space="0" w:color="auto"/>
            </w:tcBorders>
            <w:shd w:val="clear" w:color="auto" w:fill="auto"/>
            <w:noWrap/>
            <w:vAlign w:val="center"/>
            <w:hideMark/>
          </w:tcPr>
          <w:p w14:paraId="5E8E19D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720" w:type="dxa"/>
            <w:tcBorders>
              <w:top w:val="nil"/>
              <w:left w:val="nil"/>
              <w:bottom w:val="nil"/>
              <w:right w:val="single" w:sz="4" w:space="0" w:color="auto"/>
            </w:tcBorders>
            <w:shd w:val="clear" w:color="auto" w:fill="auto"/>
            <w:noWrap/>
            <w:vAlign w:val="center"/>
            <w:hideMark/>
          </w:tcPr>
          <w:p w14:paraId="0C8284F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c>
          <w:tcPr>
            <w:tcW w:w="1280" w:type="dxa"/>
            <w:tcBorders>
              <w:top w:val="nil"/>
              <w:left w:val="nil"/>
              <w:bottom w:val="nil"/>
              <w:right w:val="single" w:sz="4" w:space="0" w:color="auto"/>
            </w:tcBorders>
            <w:shd w:val="clear" w:color="auto" w:fill="auto"/>
            <w:noWrap/>
            <w:vAlign w:val="center"/>
            <w:hideMark/>
          </w:tcPr>
          <w:p w14:paraId="0634614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 </w:t>
            </w:r>
          </w:p>
        </w:tc>
      </w:tr>
      <w:tr w:rsidR="00885921" w:rsidRPr="00FA4546" w14:paraId="536650CD" w14:textId="77777777" w:rsidTr="00560A50">
        <w:trPr>
          <w:trHeight w:val="255"/>
        </w:trPr>
        <w:tc>
          <w:tcPr>
            <w:tcW w:w="1960" w:type="dxa"/>
            <w:tcBorders>
              <w:top w:val="nil"/>
              <w:left w:val="single" w:sz="4" w:space="0" w:color="auto"/>
              <w:bottom w:val="nil"/>
              <w:right w:val="single" w:sz="4" w:space="0" w:color="auto"/>
            </w:tcBorders>
            <w:shd w:val="clear" w:color="000000" w:fill="C5D9F1"/>
            <w:noWrap/>
            <w:vAlign w:val="center"/>
            <w:hideMark/>
          </w:tcPr>
          <w:p w14:paraId="5FB83CCC"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Put</w:t>
            </w:r>
          </w:p>
        </w:tc>
        <w:tc>
          <w:tcPr>
            <w:tcW w:w="1177" w:type="dxa"/>
            <w:tcBorders>
              <w:top w:val="nil"/>
              <w:left w:val="nil"/>
              <w:bottom w:val="nil"/>
              <w:right w:val="single" w:sz="4" w:space="0" w:color="auto"/>
            </w:tcBorders>
            <w:shd w:val="clear" w:color="000000" w:fill="F2F2F2"/>
            <w:noWrap/>
            <w:vAlign w:val="center"/>
            <w:hideMark/>
          </w:tcPr>
          <w:p w14:paraId="3A01485C"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1,13,254</w:t>
            </w:r>
          </w:p>
        </w:tc>
        <w:tc>
          <w:tcPr>
            <w:tcW w:w="1176" w:type="dxa"/>
            <w:tcBorders>
              <w:top w:val="nil"/>
              <w:left w:val="nil"/>
              <w:bottom w:val="nil"/>
              <w:right w:val="single" w:sz="4" w:space="0" w:color="auto"/>
            </w:tcBorders>
            <w:shd w:val="clear" w:color="000000" w:fill="F2F2F2"/>
            <w:noWrap/>
            <w:vAlign w:val="center"/>
            <w:hideMark/>
          </w:tcPr>
          <w:p w14:paraId="5E41BAA0"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1,02,705</w:t>
            </w:r>
          </w:p>
        </w:tc>
        <w:tc>
          <w:tcPr>
            <w:tcW w:w="1287" w:type="dxa"/>
            <w:tcBorders>
              <w:top w:val="nil"/>
              <w:left w:val="nil"/>
              <w:bottom w:val="nil"/>
              <w:right w:val="single" w:sz="4" w:space="0" w:color="auto"/>
            </w:tcBorders>
            <w:shd w:val="clear" w:color="000000" w:fill="F2F2F2"/>
            <w:noWrap/>
            <w:vAlign w:val="center"/>
            <w:hideMark/>
          </w:tcPr>
          <w:p w14:paraId="1AA177B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-9.3</w:t>
            </w:r>
          </w:p>
        </w:tc>
        <w:tc>
          <w:tcPr>
            <w:tcW w:w="700" w:type="dxa"/>
            <w:tcBorders>
              <w:top w:val="nil"/>
              <w:left w:val="nil"/>
              <w:bottom w:val="nil"/>
              <w:right w:val="single" w:sz="4" w:space="0" w:color="auto"/>
            </w:tcBorders>
            <w:shd w:val="clear" w:color="auto" w:fill="auto"/>
            <w:noWrap/>
            <w:vAlign w:val="center"/>
            <w:hideMark/>
          </w:tcPr>
          <w:p w14:paraId="3F7AC7C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nil"/>
              <w:right w:val="single" w:sz="4" w:space="0" w:color="auto"/>
            </w:tcBorders>
            <w:shd w:val="clear" w:color="auto" w:fill="auto"/>
            <w:noWrap/>
            <w:vAlign w:val="center"/>
            <w:hideMark/>
          </w:tcPr>
          <w:p w14:paraId="644DFEE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nil"/>
              <w:right w:val="single" w:sz="4" w:space="0" w:color="auto"/>
            </w:tcBorders>
            <w:shd w:val="clear" w:color="auto" w:fill="auto"/>
            <w:noWrap/>
            <w:vAlign w:val="center"/>
            <w:hideMark/>
          </w:tcPr>
          <w:p w14:paraId="1F38717B"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30491070" w14:textId="77777777" w:rsidTr="00560A50">
        <w:trPr>
          <w:trHeight w:val="255"/>
        </w:trPr>
        <w:tc>
          <w:tcPr>
            <w:tcW w:w="1960" w:type="dxa"/>
            <w:tcBorders>
              <w:top w:val="nil"/>
              <w:left w:val="single" w:sz="4" w:space="0" w:color="auto"/>
              <w:bottom w:val="single" w:sz="4" w:space="0" w:color="auto"/>
              <w:right w:val="single" w:sz="4" w:space="0" w:color="auto"/>
            </w:tcBorders>
            <w:shd w:val="clear" w:color="000000" w:fill="C5D9F1"/>
            <w:noWrap/>
            <w:vAlign w:val="center"/>
            <w:hideMark/>
          </w:tcPr>
          <w:p w14:paraId="1736AF80" w14:textId="77777777" w:rsidR="00885921" w:rsidRPr="00FA4546" w:rsidRDefault="00885921" w:rsidP="00560A50">
            <w:pPr>
              <w:rPr>
                <w:rFonts w:ascii="Garamond" w:eastAsia="Times New Roman" w:hAnsi="Garamond"/>
                <w:i/>
                <w:iCs/>
                <w:sz w:val="20"/>
                <w:szCs w:val="20"/>
                <w:lang w:val="en-US"/>
              </w:rPr>
            </w:pPr>
            <w:r w:rsidRPr="00FA4546">
              <w:rPr>
                <w:rFonts w:ascii="Garamond" w:eastAsia="Times New Roman" w:hAnsi="Garamond"/>
                <w:i/>
                <w:iCs/>
                <w:sz w:val="20"/>
                <w:szCs w:val="20"/>
                <w:lang w:val="en-US"/>
              </w:rPr>
              <w:t xml:space="preserve">          Call</w:t>
            </w:r>
          </w:p>
        </w:tc>
        <w:tc>
          <w:tcPr>
            <w:tcW w:w="1177" w:type="dxa"/>
            <w:tcBorders>
              <w:top w:val="nil"/>
              <w:left w:val="nil"/>
              <w:bottom w:val="single" w:sz="4" w:space="0" w:color="auto"/>
              <w:right w:val="single" w:sz="4" w:space="0" w:color="auto"/>
            </w:tcBorders>
            <w:shd w:val="clear" w:color="000000" w:fill="F2F2F2"/>
            <w:noWrap/>
            <w:vAlign w:val="center"/>
            <w:hideMark/>
          </w:tcPr>
          <w:p w14:paraId="27F791FA"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2,22,478</w:t>
            </w:r>
          </w:p>
        </w:tc>
        <w:tc>
          <w:tcPr>
            <w:tcW w:w="1176" w:type="dxa"/>
            <w:tcBorders>
              <w:top w:val="nil"/>
              <w:left w:val="nil"/>
              <w:bottom w:val="single" w:sz="4" w:space="0" w:color="auto"/>
              <w:right w:val="single" w:sz="4" w:space="0" w:color="auto"/>
            </w:tcBorders>
            <w:shd w:val="clear" w:color="000000" w:fill="F2F2F2"/>
            <w:noWrap/>
            <w:vAlign w:val="center"/>
            <w:hideMark/>
          </w:tcPr>
          <w:p w14:paraId="5FA7DA71"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1,87,225</w:t>
            </w:r>
          </w:p>
        </w:tc>
        <w:tc>
          <w:tcPr>
            <w:tcW w:w="1287" w:type="dxa"/>
            <w:tcBorders>
              <w:top w:val="nil"/>
              <w:left w:val="nil"/>
              <w:bottom w:val="nil"/>
              <w:right w:val="single" w:sz="4" w:space="0" w:color="auto"/>
            </w:tcBorders>
            <w:shd w:val="clear" w:color="000000" w:fill="F2F2F2"/>
            <w:noWrap/>
            <w:vAlign w:val="center"/>
            <w:hideMark/>
          </w:tcPr>
          <w:p w14:paraId="45740AD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-15.8</w:t>
            </w:r>
          </w:p>
        </w:tc>
        <w:tc>
          <w:tcPr>
            <w:tcW w:w="700" w:type="dxa"/>
            <w:tcBorders>
              <w:top w:val="nil"/>
              <w:left w:val="nil"/>
              <w:bottom w:val="single" w:sz="4" w:space="0" w:color="auto"/>
              <w:right w:val="single" w:sz="4" w:space="0" w:color="auto"/>
            </w:tcBorders>
            <w:shd w:val="clear" w:color="auto" w:fill="auto"/>
            <w:noWrap/>
            <w:vAlign w:val="center"/>
            <w:hideMark/>
          </w:tcPr>
          <w:p w14:paraId="0FD112F5"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720" w:type="dxa"/>
            <w:tcBorders>
              <w:top w:val="nil"/>
              <w:left w:val="nil"/>
              <w:bottom w:val="single" w:sz="4" w:space="0" w:color="auto"/>
              <w:right w:val="single" w:sz="4" w:space="0" w:color="auto"/>
            </w:tcBorders>
            <w:shd w:val="clear" w:color="auto" w:fill="auto"/>
            <w:noWrap/>
            <w:vAlign w:val="center"/>
            <w:hideMark/>
          </w:tcPr>
          <w:p w14:paraId="62D0F899"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0</w:t>
            </w:r>
          </w:p>
        </w:tc>
        <w:tc>
          <w:tcPr>
            <w:tcW w:w="1280" w:type="dxa"/>
            <w:tcBorders>
              <w:top w:val="nil"/>
              <w:left w:val="nil"/>
              <w:bottom w:val="single" w:sz="4" w:space="0" w:color="auto"/>
              <w:right w:val="single" w:sz="4" w:space="0" w:color="auto"/>
            </w:tcBorders>
            <w:shd w:val="clear" w:color="auto" w:fill="auto"/>
            <w:noWrap/>
            <w:vAlign w:val="center"/>
            <w:hideMark/>
          </w:tcPr>
          <w:p w14:paraId="05DDFD3F" w14:textId="77777777" w:rsidR="00885921" w:rsidRPr="00FA4546" w:rsidRDefault="00885921" w:rsidP="00560A50">
            <w:pPr>
              <w:jc w:val="right"/>
              <w:rPr>
                <w:rFonts w:ascii="Garamond" w:eastAsia="Times New Roman" w:hAnsi="Garamond"/>
                <w:sz w:val="20"/>
                <w:szCs w:val="20"/>
                <w:lang w:val="en-US"/>
              </w:rPr>
            </w:pPr>
            <w:r w:rsidRPr="00FA4546">
              <w:rPr>
                <w:rFonts w:ascii="Garamond" w:eastAsia="Times New Roman" w:hAnsi="Garamond"/>
                <w:sz w:val="20"/>
                <w:szCs w:val="20"/>
                <w:lang w:val="en-US"/>
              </w:rPr>
              <w:t>NA</w:t>
            </w:r>
          </w:p>
        </w:tc>
      </w:tr>
      <w:tr w:rsidR="00885921" w:rsidRPr="00FA4546" w14:paraId="4F44F770" w14:textId="77777777" w:rsidTr="00560A50">
        <w:trPr>
          <w:trHeight w:val="255"/>
        </w:trPr>
        <w:tc>
          <w:tcPr>
            <w:tcW w:w="1960" w:type="dxa"/>
            <w:tcBorders>
              <w:top w:val="nil"/>
              <w:left w:val="single" w:sz="4" w:space="0" w:color="auto"/>
              <w:bottom w:val="single" w:sz="4" w:space="0" w:color="auto"/>
              <w:right w:val="single" w:sz="4" w:space="0" w:color="auto"/>
            </w:tcBorders>
            <w:shd w:val="clear" w:color="000000" w:fill="C5D9F1"/>
            <w:noWrap/>
            <w:vAlign w:val="center"/>
            <w:hideMark/>
          </w:tcPr>
          <w:p w14:paraId="7E085527" w14:textId="77777777" w:rsidR="00885921" w:rsidRPr="00FA4546" w:rsidRDefault="00885921" w:rsidP="00560A50">
            <w:pPr>
              <w:rPr>
                <w:rFonts w:ascii="Garamond" w:eastAsia="Times New Roman" w:hAnsi="Garamond"/>
                <w:b/>
                <w:bCs/>
                <w:sz w:val="20"/>
                <w:szCs w:val="20"/>
                <w:lang w:val="en-US"/>
              </w:rPr>
            </w:pPr>
            <w:r w:rsidRPr="00FA4546">
              <w:rPr>
                <w:rFonts w:ascii="Garamond" w:eastAsia="Times New Roman" w:hAnsi="Garamond"/>
                <w:b/>
                <w:bCs/>
                <w:sz w:val="20"/>
                <w:szCs w:val="20"/>
                <w:lang w:val="en-US"/>
              </w:rPr>
              <w:t xml:space="preserve">         Total</w:t>
            </w:r>
          </w:p>
        </w:tc>
        <w:tc>
          <w:tcPr>
            <w:tcW w:w="1177" w:type="dxa"/>
            <w:tcBorders>
              <w:top w:val="nil"/>
              <w:left w:val="nil"/>
              <w:bottom w:val="single" w:sz="4" w:space="0" w:color="auto"/>
              <w:right w:val="single" w:sz="4" w:space="0" w:color="auto"/>
            </w:tcBorders>
            <w:shd w:val="clear" w:color="000000" w:fill="C5D9F1"/>
            <w:noWrap/>
            <w:vAlign w:val="center"/>
            <w:hideMark/>
          </w:tcPr>
          <w:p w14:paraId="20B7A96A"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41,52,480</w:t>
            </w:r>
          </w:p>
        </w:tc>
        <w:tc>
          <w:tcPr>
            <w:tcW w:w="1176" w:type="dxa"/>
            <w:tcBorders>
              <w:top w:val="nil"/>
              <w:left w:val="nil"/>
              <w:bottom w:val="single" w:sz="4" w:space="0" w:color="auto"/>
              <w:right w:val="single" w:sz="4" w:space="0" w:color="auto"/>
            </w:tcBorders>
            <w:shd w:val="clear" w:color="000000" w:fill="C5D9F1"/>
            <w:noWrap/>
            <w:vAlign w:val="center"/>
            <w:hideMark/>
          </w:tcPr>
          <w:p w14:paraId="40EAFEE1"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38,59,031</w:t>
            </w:r>
          </w:p>
        </w:tc>
        <w:tc>
          <w:tcPr>
            <w:tcW w:w="1287" w:type="dxa"/>
            <w:tcBorders>
              <w:top w:val="single" w:sz="4" w:space="0" w:color="auto"/>
              <w:left w:val="nil"/>
              <w:bottom w:val="single" w:sz="4" w:space="0" w:color="auto"/>
              <w:right w:val="single" w:sz="4" w:space="0" w:color="auto"/>
            </w:tcBorders>
            <w:shd w:val="clear" w:color="000000" w:fill="C5D9F1"/>
            <w:noWrap/>
            <w:vAlign w:val="center"/>
            <w:hideMark/>
          </w:tcPr>
          <w:p w14:paraId="1240E07F"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-7.1</w:t>
            </w:r>
          </w:p>
        </w:tc>
        <w:tc>
          <w:tcPr>
            <w:tcW w:w="700" w:type="dxa"/>
            <w:tcBorders>
              <w:top w:val="nil"/>
              <w:left w:val="nil"/>
              <w:bottom w:val="single" w:sz="4" w:space="0" w:color="auto"/>
              <w:right w:val="single" w:sz="4" w:space="0" w:color="auto"/>
            </w:tcBorders>
            <w:shd w:val="clear" w:color="000000" w:fill="C5D9F1"/>
            <w:noWrap/>
            <w:vAlign w:val="center"/>
            <w:hideMark/>
          </w:tcPr>
          <w:p w14:paraId="5DF12B0C"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3</w:t>
            </w:r>
          </w:p>
        </w:tc>
        <w:tc>
          <w:tcPr>
            <w:tcW w:w="720" w:type="dxa"/>
            <w:tcBorders>
              <w:top w:val="nil"/>
              <w:left w:val="nil"/>
              <w:bottom w:val="single" w:sz="4" w:space="0" w:color="auto"/>
              <w:right w:val="single" w:sz="4" w:space="0" w:color="auto"/>
            </w:tcBorders>
            <w:shd w:val="clear" w:color="000000" w:fill="C5D9F1"/>
            <w:noWrap/>
            <w:vAlign w:val="center"/>
            <w:hideMark/>
          </w:tcPr>
          <w:p w14:paraId="080D4D12"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3</w:t>
            </w:r>
          </w:p>
        </w:tc>
        <w:tc>
          <w:tcPr>
            <w:tcW w:w="1280" w:type="dxa"/>
            <w:tcBorders>
              <w:top w:val="nil"/>
              <w:left w:val="nil"/>
              <w:bottom w:val="single" w:sz="4" w:space="0" w:color="auto"/>
              <w:right w:val="single" w:sz="4" w:space="0" w:color="auto"/>
            </w:tcBorders>
            <w:shd w:val="clear" w:color="000000" w:fill="C5D9F1"/>
            <w:noWrap/>
            <w:vAlign w:val="center"/>
            <w:hideMark/>
          </w:tcPr>
          <w:p w14:paraId="015259A0" w14:textId="77777777" w:rsidR="00885921" w:rsidRPr="00FA4546" w:rsidRDefault="00885921" w:rsidP="00560A50">
            <w:pPr>
              <w:jc w:val="right"/>
              <w:rPr>
                <w:rFonts w:ascii="Garamond" w:eastAsia="Times New Roman" w:hAnsi="Garamond"/>
                <w:b/>
                <w:bCs/>
                <w:sz w:val="20"/>
                <w:szCs w:val="20"/>
                <w:lang w:val="en-US"/>
              </w:rPr>
            </w:pPr>
            <w:r w:rsidRPr="00FA4546">
              <w:rPr>
                <w:rFonts w:ascii="Garamond" w:eastAsia="Times New Roman" w:hAnsi="Garamond"/>
                <w:b/>
                <w:bCs/>
                <w:sz w:val="20"/>
                <w:szCs w:val="20"/>
                <w:lang w:val="en-US"/>
              </w:rPr>
              <w:t>0.0</w:t>
            </w:r>
          </w:p>
        </w:tc>
      </w:tr>
    </w:tbl>
    <w:p w14:paraId="23D552E4" w14:textId="77777777" w:rsidR="00885921" w:rsidRDefault="00885921" w:rsidP="00885921">
      <w:pPr>
        <w:widowControl w:val="0"/>
        <w:jc w:val="both"/>
        <w:rPr>
          <w:rFonts w:ascii="Palatino Linotype" w:hAnsi="Palatino Linotype"/>
          <w:b/>
          <w:sz w:val="18"/>
          <w:szCs w:val="18"/>
        </w:rPr>
      </w:pPr>
      <w:r w:rsidRPr="00FA4546">
        <w:rPr>
          <w:rFonts w:ascii="Palatino Linotype" w:hAnsi="Palatino Linotype"/>
          <w:b/>
          <w:sz w:val="18"/>
          <w:szCs w:val="18"/>
        </w:rPr>
        <w:t xml:space="preserve">Source: NSE </w:t>
      </w:r>
      <w:r>
        <w:rPr>
          <w:rFonts w:ascii="Palatino Linotype" w:hAnsi="Palatino Linotype"/>
          <w:b/>
          <w:sz w:val="18"/>
          <w:szCs w:val="18"/>
        </w:rPr>
        <w:t>and</w:t>
      </w:r>
      <w:r w:rsidRPr="00FA4546">
        <w:rPr>
          <w:rFonts w:ascii="Palatino Linotype" w:hAnsi="Palatino Linotype"/>
          <w:b/>
          <w:sz w:val="18"/>
          <w:szCs w:val="18"/>
        </w:rPr>
        <w:t xml:space="preserve"> BSE</w:t>
      </w:r>
    </w:p>
    <w:p w14:paraId="49D9B38B" w14:textId="77777777" w:rsidR="00885921" w:rsidRDefault="00885921" w:rsidP="00885921">
      <w:pPr>
        <w:widowControl w:val="0"/>
        <w:jc w:val="both"/>
        <w:rPr>
          <w:rFonts w:ascii="Palatino Linotype" w:hAnsi="Palatino Linotype"/>
          <w:b/>
          <w:sz w:val="18"/>
          <w:szCs w:val="18"/>
        </w:rPr>
      </w:pPr>
    </w:p>
    <w:p w14:paraId="3FC9B69C" w14:textId="77777777" w:rsidR="00885921" w:rsidRDefault="00885921" w:rsidP="00885921">
      <w:pPr>
        <w:widowControl w:val="0"/>
        <w:jc w:val="both"/>
        <w:rPr>
          <w:rFonts w:ascii="Palatino Linotype" w:hAnsi="Palatino Linotype"/>
          <w:b/>
          <w:sz w:val="18"/>
          <w:szCs w:val="18"/>
        </w:rPr>
      </w:pPr>
    </w:p>
    <w:p w14:paraId="386F53B7" w14:textId="77777777" w:rsidR="00885921" w:rsidRDefault="00885921" w:rsidP="00885921">
      <w:pPr>
        <w:widowControl w:val="0"/>
        <w:jc w:val="both"/>
        <w:rPr>
          <w:rFonts w:ascii="Palatino Linotype" w:hAnsi="Palatino Linotype"/>
          <w:b/>
          <w:sz w:val="18"/>
          <w:szCs w:val="18"/>
        </w:rPr>
      </w:pPr>
    </w:p>
    <w:p w14:paraId="21EB738A" w14:textId="77777777" w:rsidR="00885921" w:rsidRDefault="00885921" w:rsidP="00885921">
      <w:pPr>
        <w:widowControl w:val="0"/>
        <w:jc w:val="both"/>
        <w:rPr>
          <w:rFonts w:ascii="Palatino Linotype" w:hAnsi="Palatino Linotype"/>
          <w:b/>
          <w:sz w:val="18"/>
          <w:szCs w:val="18"/>
        </w:rPr>
      </w:pPr>
    </w:p>
    <w:p w14:paraId="60BC49BA" w14:textId="77777777" w:rsidR="00885921" w:rsidRPr="006B2C0E" w:rsidRDefault="00885921" w:rsidP="00885921">
      <w:pPr>
        <w:widowControl w:val="0"/>
        <w:jc w:val="both"/>
        <w:rPr>
          <w:rFonts w:ascii="Palatino Linotype" w:hAnsi="Palatino Linotype"/>
          <w:b/>
          <w:sz w:val="18"/>
          <w:szCs w:val="18"/>
        </w:rPr>
      </w:pPr>
    </w:p>
    <w:p w14:paraId="3265412F" w14:textId="77777777" w:rsidR="00885921" w:rsidRPr="00AB7C34" w:rsidRDefault="00885921" w:rsidP="00885921">
      <w:pPr>
        <w:widowControl w:val="0"/>
        <w:numPr>
          <w:ilvl w:val="0"/>
          <w:numId w:val="3"/>
        </w:numPr>
        <w:contextualSpacing/>
        <w:jc w:val="both"/>
        <w:outlineLvl w:val="0"/>
        <w:rPr>
          <w:rFonts w:ascii="Palatino Linotype" w:hAnsi="Palatino Linotype"/>
          <w:b/>
          <w:sz w:val="22"/>
          <w:szCs w:val="22"/>
        </w:rPr>
      </w:pPr>
      <w:r w:rsidRPr="00AB7C34">
        <w:rPr>
          <w:rFonts w:ascii="Palatino Linotype" w:hAnsi="Palatino Linotype"/>
          <w:b/>
          <w:sz w:val="22"/>
          <w:szCs w:val="22"/>
        </w:rPr>
        <w:t>Trends of India VIX at NSE</w:t>
      </w:r>
    </w:p>
    <w:p w14:paraId="71826F07" w14:textId="77777777" w:rsidR="00885921" w:rsidRPr="00D13863" w:rsidRDefault="00885921" w:rsidP="00885921">
      <w:pPr>
        <w:jc w:val="both"/>
        <w:rPr>
          <w:rFonts w:ascii="Palatino Linotype" w:eastAsia="Times New Roman" w:hAnsi="Palatino Linotype"/>
          <w:color w:val="000099"/>
          <w:sz w:val="22"/>
          <w:szCs w:val="22"/>
          <w:highlight w:val="lightGray"/>
        </w:rPr>
      </w:pPr>
    </w:p>
    <w:p w14:paraId="33EA6045" w14:textId="77777777" w:rsidR="00885921" w:rsidRPr="00D13863" w:rsidRDefault="00885921" w:rsidP="00885921">
      <w:pPr>
        <w:jc w:val="both"/>
        <w:rPr>
          <w:rFonts w:ascii="Palatino Linotype" w:eastAsia="Times New Roman" w:hAnsi="Palatino Linotype" w:cs="Garamond"/>
          <w:sz w:val="22"/>
          <w:szCs w:val="22"/>
        </w:rPr>
      </w:pPr>
      <w:r w:rsidRPr="00D13863">
        <w:rPr>
          <w:rFonts w:ascii="Palatino Linotype" w:eastAsia="Times New Roman" w:hAnsi="Palatino Linotype"/>
          <w:sz w:val="22"/>
          <w:szCs w:val="22"/>
        </w:rPr>
        <w:t xml:space="preserve">India VIX closed at </w:t>
      </w:r>
      <w:r>
        <w:rPr>
          <w:rFonts w:ascii="Palatino Linotype" w:eastAsia="Times New Roman" w:hAnsi="Palatino Linotype"/>
          <w:sz w:val="22"/>
          <w:szCs w:val="22"/>
        </w:rPr>
        <w:t>17.0</w:t>
      </w:r>
      <w:r w:rsidRPr="00D13863">
        <w:rPr>
          <w:rFonts w:ascii="Palatino Linotype" w:eastAsia="Times New Roman" w:hAnsi="Palatino Linotype"/>
          <w:sz w:val="22"/>
          <w:szCs w:val="22"/>
        </w:rPr>
        <w:t xml:space="preserve"> at the end of </w:t>
      </w:r>
      <w:r>
        <w:rPr>
          <w:rFonts w:ascii="Palatino Linotype" w:eastAsia="Times New Roman" w:hAnsi="Palatino Linotype"/>
          <w:sz w:val="22"/>
          <w:szCs w:val="22"/>
        </w:rPr>
        <w:t>September</w:t>
      </w:r>
      <w:r w:rsidRPr="00D13863">
        <w:rPr>
          <w:rFonts w:ascii="Palatino Linotype" w:eastAsia="Times New Roman" w:hAnsi="Palatino Linotype"/>
          <w:sz w:val="22"/>
          <w:szCs w:val="22"/>
        </w:rPr>
        <w:t xml:space="preserve"> 2018</w:t>
      </w:r>
      <w:r>
        <w:rPr>
          <w:rFonts w:ascii="Palatino Linotype" w:eastAsia="Times New Roman" w:hAnsi="Palatino Linotype"/>
          <w:sz w:val="22"/>
          <w:szCs w:val="22"/>
        </w:rPr>
        <w:t xml:space="preserve"> from its closing at 12.6 in the previous month. The India VIX </w:t>
      </w:r>
      <w:r w:rsidRPr="00D13863">
        <w:rPr>
          <w:rFonts w:ascii="Palatino Linotype" w:eastAsia="Times New Roman" w:hAnsi="Palatino Linotype"/>
          <w:sz w:val="22"/>
          <w:szCs w:val="22"/>
        </w:rPr>
        <w:t xml:space="preserve">touched </w:t>
      </w:r>
      <w:r w:rsidRPr="00CA738A">
        <w:rPr>
          <w:rFonts w:ascii="Palatino Linotype" w:eastAsia="Times New Roman" w:hAnsi="Palatino Linotype"/>
          <w:color w:val="000000" w:themeColor="text1"/>
          <w:sz w:val="22"/>
          <w:szCs w:val="22"/>
        </w:rPr>
        <w:t xml:space="preserve">intraday high </w:t>
      </w:r>
      <w:r w:rsidRPr="00D13863">
        <w:rPr>
          <w:rFonts w:ascii="Palatino Linotype" w:eastAsia="Times New Roman" w:hAnsi="Palatino Linotype"/>
          <w:sz w:val="22"/>
          <w:szCs w:val="22"/>
        </w:rPr>
        <w:t xml:space="preserve">of </w:t>
      </w:r>
      <w:r>
        <w:rPr>
          <w:rFonts w:ascii="Palatino Linotype" w:eastAsia="Times New Roman" w:hAnsi="Palatino Linotype"/>
          <w:sz w:val="22"/>
          <w:szCs w:val="22"/>
        </w:rPr>
        <w:t>18.3 on September 25,</w:t>
      </w:r>
      <w:r w:rsidRPr="00D13863">
        <w:rPr>
          <w:rFonts w:ascii="Palatino Linotype" w:eastAsia="Times New Roman" w:hAnsi="Palatino Linotype"/>
          <w:sz w:val="22"/>
          <w:szCs w:val="22"/>
        </w:rPr>
        <w:t xml:space="preserve"> 2018 and intraday low of </w:t>
      </w:r>
      <w:r>
        <w:rPr>
          <w:rFonts w:ascii="Palatino Linotype" w:eastAsia="Times New Roman" w:hAnsi="Palatino Linotype"/>
          <w:sz w:val="22"/>
          <w:szCs w:val="22"/>
        </w:rPr>
        <w:t>13.7</w:t>
      </w:r>
      <w:r w:rsidRPr="00D13863">
        <w:rPr>
          <w:rFonts w:ascii="Palatino Linotype" w:eastAsia="Times New Roman" w:hAnsi="Palatino Linotype"/>
          <w:sz w:val="22"/>
          <w:szCs w:val="22"/>
        </w:rPr>
        <w:t xml:space="preserve"> on </w:t>
      </w:r>
      <w:r>
        <w:rPr>
          <w:rFonts w:ascii="Palatino Linotype" w:eastAsia="Times New Roman" w:hAnsi="Palatino Linotype"/>
          <w:sz w:val="22"/>
          <w:szCs w:val="22"/>
        </w:rPr>
        <w:t>September 3, 2018</w:t>
      </w:r>
      <w:r w:rsidRPr="00D13863">
        <w:rPr>
          <w:rFonts w:ascii="Palatino Linotype" w:eastAsia="Times New Roman" w:hAnsi="Palatino Linotype"/>
          <w:sz w:val="22"/>
          <w:szCs w:val="22"/>
        </w:rPr>
        <w:t>.</w:t>
      </w:r>
      <w:r w:rsidRPr="00D13863">
        <w:rPr>
          <w:rFonts w:ascii="Palatino Linotype" w:eastAsia="Times New Roman" w:hAnsi="Palatino Linotype" w:cs="Garamond"/>
          <w:sz w:val="22"/>
          <w:szCs w:val="22"/>
        </w:rPr>
        <w:t xml:space="preserve"> </w:t>
      </w:r>
    </w:p>
    <w:p w14:paraId="417C134E" w14:textId="77777777" w:rsidR="00885921" w:rsidRPr="00D13863" w:rsidRDefault="00885921" w:rsidP="00885921">
      <w:pPr>
        <w:jc w:val="both"/>
        <w:rPr>
          <w:rFonts w:ascii="Palatino Linotype" w:eastAsia="Times New Roman" w:hAnsi="Palatino Linotype" w:cs="Garamond"/>
          <w:sz w:val="22"/>
          <w:szCs w:val="22"/>
        </w:rPr>
      </w:pPr>
    </w:p>
    <w:p w14:paraId="4FFD61D0" w14:textId="77777777" w:rsidR="00885921" w:rsidRDefault="00885921" w:rsidP="00885921">
      <w:pPr>
        <w:jc w:val="center"/>
        <w:rPr>
          <w:rFonts w:ascii="Palatino Linotype" w:hAnsi="Palatino Linotype"/>
          <w:b/>
          <w:sz w:val="22"/>
          <w:szCs w:val="22"/>
        </w:rPr>
      </w:pPr>
      <w:r w:rsidRPr="00D13863">
        <w:rPr>
          <w:rFonts w:ascii="Palatino Linotype" w:hAnsi="Palatino Linotype"/>
          <w:b/>
          <w:sz w:val="22"/>
          <w:szCs w:val="22"/>
        </w:rPr>
        <w:t xml:space="preserve">Figure </w:t>
      </w:r>
      <w:r>
        <w:rPr>
          <w:rFonts w:ascii="Palatino Linotype" w:hAnsi="Palatino Linotype"/>
          <w:b/>
          <w:sz w:val="22"/>
          <w:szCs w:val="22"/>
        </w:rPr>
        <w:t>7</w:t>
      </w:r>
      <w:r w:rsidRPr="00D13863">
        <w:rPr>
          <w:rFonts w:ascii="Palatino Linotype" w:hAnsi="Palatino Linotype"/>
          <w:b/>
          <w:sz w:val="22"/>
          <w:szCs w:val="22"/>
        </w:rPr>
        <w:t>: Trends in India VIX at NSE</w:t>
      </w:r>
    </w:p>
    <w:p w14:paraId="469E5788" w14:textId="77777777" w:rsidR="00885921" w:rsidRPr="00D13863" w:rsidRDefault="00885921" w:rsidP="00885921">
      <w:pPr>
        <w:jc w:val="center"/>
        <w:rPr>
          <w:rFonts w:ascii="Palatino Linotype" w:hAnsi="Palatino Linotype"/>
          <w:b/>
          <w:sz w:val="22"/>
          <w:szCs w:val="22"/>
        </w:rPr>
      </w:pPr>
    </w:p>
    <w:p w14:paraId="4390D69F" w14:textId="77777777" w:rsidR="00885921" w:rsidRPr="00D13863" w:rsidRDefault="00885921" w:rsidP="00885921">
      <w:pPr>
        <w:jc w:val="center"/>
        <w:outlineLvl w:val="0"/>
        <w:rPr>
          <w:rFonts w:ascii="Palatino Linotype" w:hAnsi="Palatino Linotype"/>
          <w:b/>
          <w:sz w:val="22"/>
          <w:szCs w:val="22"/>
        </w:rPr>
      </w:pPr>
      <w:r>
        <w:rPr>
          <w:noProof/>
          <w:lang w:val="en-IN" w:eastAsia="en-IN"/>
        </w:rPr>
        <w:drawing>
          <wp:inline distT="0" distB="0" distL="0" distR="0" wp14:anchorId="03E2734D" wp14:editId="216E12FD">
            <wp:extent cx="4591050" cy="2061845"/>
            <wp:effectExtent l="0" t="0" r="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865FEA" w14:textId="77777777" w:rsidR="00885921" w:rsidRPr="00D13863" w:rsidRDefault="00885921" w:rsidP="00885921">
      <w:pPr>
        <w:jc w:val="center"/>
        <w:outlineLvl w:val="0"/>
        <w:rPr>
          <w:rFonts w:ascii="Palatino Linotype" w:hAnsi="Palatino Linotype"/>
          <w:b/>
          <w:sz w:val="22"/>
          <w:szCs w:val="22"/>
        </w:rPr>
      </w:pPr>
    </w:p>
    <w:p w14:paraId="0C1A58CC" w14:textId="77777777" w:rsidR="00885921" w:rsidRPr="00D13863" w:rsidRDefault="00885921" w:rsidP="00885921">
      <w:pPr>
        <w:jc w:val="center"/>
        <w:outlineLvl w:val="0"/>
        <w:rPr>
          <w:rFonts w:ascii="Palatino Linotype" w:hAnsi="Palatino Linotype"/>
          <w:b/>
          <w:sz w:val="22"/>
          <w:szCs w:val="22"/>
        </w:rPr>
      </w:pPr>
    </w:p>
    <w:p w14:paraId="69CD33D8" w14:textId="77777777" w:rsidR="00885921" w:rsidRPr="00D13863" w:rsidRDefault="00885921" w:rsidP="00885921">
      <w:pPr>
        <w:widowControl w:val="0"/>
        <w:numPr>
          <w:ilvl w:val="0"/>
          <w:numId w:val="3"/>
        </w:numPr>
        <w:contextualSpacing/>
        <w:jc w:val="both"/>
        <w:outlineLvl w:val="0"/>
        <w:rPr>
          <w:rFonts w:ascii="Palatino Linotype" w:hAnsi="Palatino Linotype"/>
          <w:b/>
          <w:sz w:val="22"/>
          <w:szCs w:val="22"/>
        </w:rPr>
      </w:pPr>
      <w:r w:rsidRPr="00D13863">
        <w:rPr>
          <w:rFonts w:ascii="Palatino Linotype" w:hAnsi="Palatino Linotype"/>
          <w:b/>
          <w:sz w:val="22"/>
          <w:szCs w:val="22"/>
        </w:rPr>
        <w:t>Currency Derivatives at NSE, BSE and MSEI</w:t>
      </w:r>
    </w:p>
    <w:p w14:paraId="004AC5FB" w14:textId="77777777" w:rsidR="00885921" w:rsidRPr="00D13863" w:rsidRDefault="00885921" w:rsidP="00885921">
      <w:pPr>
        <w:widowControl w:val="0"/>
        <w:contextualSpacing/>
        <w:jc w:val="both"/>
        <w:outlineLvl w:val="0"/>
        <w:rPr>
          <w:rFonts w:ascii="Palatino Linotype" w:hAnsi="Palatino Linotype"/>
          <w:b/>
          <w:sz w:val="22"/>
          <w:szCs w:val="22"/>
        </w:rPr>
      </w:pPr>
    </w:p>
    <w:p w14:paraId="4F99DFDC" w14:textId="77777777" w:rsidR="00885921" w:rsidRPr="000B4C38" w:rsidRDefault="00885921" w:rsidP="00885921">
      <w:pPr>
        <w:jc w:val="both"/>
        <w:rPr>
          <w:rFonts w:ascii="Palatino Linotype" w:eastAsia="Times New Roman" w:hAnsi="Palatino Linotype"/>
          <w:sz w:val="22"/>
          <w:szCs w:val="22"/>
          <w:lang w:val="en-US"/>
        </w:rPr>
      </w:pPr>
      <w:r>
        <w:rPr>
          <w:rFonts w:ascii="Palatino Linotype" w:eastAsia="Times New Roman" w:hAnsi="Palatino Linotype"/>
          <w:sz w:val="22"/>
          <w:szCs w:val="22"/>
        </w:rPr>
        <w:t xml:space="preserve">In September 2018, the monthly turnover at the </w:t>
      </w:r>
      <w:r w:rsidRPr="000B4C38">
        <w:rPr>
          <w:rFonts w:ascii="Palatino Linotype" w:eastAsia="Times New Roman" w:hAnsi="Palatino Linotype"/>
          <w:sz w:val="22"/>
          <w:szCs w:val="22"/>
        </w:rPr>
        <w:t>currency derivatives</w:t>
      </w:r>
      <w:r>
        <w:rPr>
          <w:rFonts w:ascii="Palatino Linotype" w:eastAsia="Times New Roman" w:hAnsi="Palatino Linotype"/>
          <w:sz w:val="22"/>
          <w:szCs w:val="22"/>
        </w:rPr>
        <w:t xml:space="preserve"> segment increased</w:t>
      </w:r>
      <w:r w:rsidRPr="000B4C38">
        <w:rPr>
          <w:rFonts w:ascii="Palatino Linotype" w:eastAsia="Times New Roman" w:hAnsi="Palatino Linotype"/>
          <w:sz w:val="22"/>
          <w:szCs w:val="22"/>
        </w:rPr>
        <w:t xml:space="preserve"> at NSE</w:t>
      </w:r>
      <w:r>
        <w:rPr>
          <w:rFonts w:ascii="Palatino Linotype" w:eastAsia="Times New Roman" w:hAnsi="Palatino Linotype"/>
          <w:sz w:val="22"/>
          <w:szCs w:val="22"/>
        </w:rPr>
        <w:t xml:space="preserve"> and MSEI while at BSE the turnover witnessed a decline. At NSE, the turnover grew by 28 per cent to stood at </w:t>
      </w:r>
      <w:r>
        <w:rPr>
          <w:rFonts w:ascii="Times New Roman" w:eastAsia="Times New Roman" w:hAnsi="Times New Roman"/>
          <w:sz w:val="22"/>
          <w:szCs w:val="22"/>
        </w:rPr>
        <w:t>₹</w:t>
      </w:r>
      <w:r>
        <w:rPr>
          <w:rFonts w:ascii="Palatino Linotype" w:eastAsia="Times New Roman" w:hAnsi="Palatino Linotype"/>
          <w:sz w:val="22"/>
          <w:szCs w:val="22"/>
        </w:rPr>
        <w:t>9,59,941</w:t>
      </w:r>
      <w:r w:rsidRPr="00000F02">
        <w:rPr>
          <w:rFonts w:ascii="Palatino Linotype" w:eastAsia="Times New Roman" w:hAnsi="Palatino Linotype"/>
          <w:sz w:val="22"/>
          <w:szCs w:val="22"/>
          <w:lang w:val="en-US"/>
        </w:rPr>
        <w:t xml:space="preserve"> </w:t>
      </w:r>
      <w:r w:rsidRPr="000B4C38">
        <w:rPr>
          <w:rFonts w:ascii="Palatino Linotype" w:eastAsia="Times New Roman" w:hAnsi="Palatino Linotype"/>
          <w:sz w:val="22"/>
          <w:szCs w:val="22"/>
        </w:rPr>
        <w:t>crore</w:t>
      </w:r>
      <w:r w:rsidRPr="000B4C38">
        <w:rPr>
          <w:rFonts w:ascii="Palatino Linotype" w:eastAsia="Times New Roman" w:hAnsi="Palatino Linotype" w:cs="Garamond"/>
          <w:sz w:val="22"/>
          <w:szCs w:val="22"/>
        </w:rPr>
        <w:t xml:space="preserve">. </w:t>
      </w:r>
      <w:r>
        <w:rPr>
          <w:rFonts w:ascii="Palatino Linotype" w:eastAsia="Times New Roman" w:hAnsi="Palatino Linotype" w:cs="Garamond"/>
          <w:sz w:val="22"/>
          <w:szCs w:val="22"/>
        </w:rPr>
        <w:t>T</w:t>
      </w:r>
      <w:r w:rsidRPr="000B4C38">
        <w:rPr>
          <w:rFonts w:ascii="Palatino Linotype" w:eastAsia="Times New Roman" w:hAnsi="Palatino Linotype" w:cs="Garamond"/>
          <w:sz w:val="22"/>
          <w:szCs w:val="22"/>
        </w:rPr>
        <w:t>he</w:t>
      </w:r>
      <w:r w:rsidRPr="000B4C38">
        <w:rPr>
          <w:rFonts w:ascii="Palatino Linotype" w:hAnsi="Palatino Linotype"/>
          <w:sz w:val="22"/>
          <w:szCs w:val="22"/>
        </w:rPr>
        <w:t xml:space="preserve"> </w:t>
      </w:r>
      <w:r w:rsidRPr="000B4C38">
        <w:rPr>
          <w:rFonts w:ascii="Palatino Linotype" w:eastAsia="Times New Roman" w:hAnsi="Palatino Linotype" w:cs="Garamond"/>
          <w:sz w:val="22"/>
          <w:szCs w:val="22"/>
        </w:rPr>
        <w:t xml:space="preserve">turnover at </w:t>
      </w:r>
      <w:r>
        <w:rPr>
          <w:rFonts w:ascii="Palatino Linotype" w:eastAsia="Times New Roman" w:hAnsi="Palatino Linotype" w:cs="Garamond"/>
          <w:sz w:val="22"/>
          <w:szCs w:val="22"/>
        </w:rPr>
        <w:t>MSEI</w:t>
      </w:r>
      <w:r w:rsidRPr="000B4C38">
        <w:rPr>
          <w:rFonts w:ascii="Palatino Linotype" w:eastAsia="Times New Roman" w:hAnsi="Palatino Linotype" w:cs="Garamond"/>
          <w:sz w:val="22"/>
          <w:szCs w:val="22"/>
        </w:rPr>
        <w:t xml:space="preserve"> </w:t>
      </w:r>
      <w:r>
        <w:rPr>
          <w:rFonts w:ascii="Palatino Linotype" w:eastAsia="Times New Roman" w:hAnsi="Palatino Linotype" w:cs="Garamond"/>
          <w:sz w:val="22"/>
          <w:szCs w:val="22"/>
        </w:rPr>
        <w:t xml:space="preserve">was </w:t>
      </w:r>
      <w:r w:rsidRPr="006015D9">
        <w:rPr>
          <w:rFonts w:ascii="Rupee Foradian" w:eastAsia="Times New Roman" w:hAnsi="Rupee Foradian" w:cs="Garamond"/>
          <w:sz w:val="22"/>
          <w:szCs w:val="22"/>
        </w:rPr>
        <w:t>`</w:t>
      </w:r>
      <w:r>
        <w:rPr>
          <w:rFonts w:ascii="Palatino Linotype" w:eastAsia="Times New Roman" w:hAnsi="Palatino Linotype" w:cs="Garamond"/>
          <w:sz w:val="22"/>
          <w:szCs w:val="22"/>
        </w:rPr>
        <w:t xml:space="preserve">3,991 crore, a rise of 6 per cent from August 2018. At BSE, the currency derivatives segment turnover was </w:t>
      </w:r>
      <w:r w:rsidRPr="006015D9">
        <w:rPr>
          <w:rFonts w:ascii="Rupee Foradian" w:eastAsia="Times New Roman" w:hAnsi="Rupee Foradian" w:cs="Garamond"/>
          <w:sz w:val="22"/>
          <w:szCs w:val="22"/>
        </w:rPr>
        <w:t>`</w:t>
      </w:r>
      <w:r>
        <w:rPr>
          <w:rFonts w:ascii="Palatino Linotype" w:eastAsia="Times New Roman" w:hAnsi="Palatino Linotype" w:cs="Garamond"/>
          <w:sz w:val="22"/>
          <w:szCs w:val="22"/>
        </w:rPr>
        <w:t xml:space="preserve"> 6,80,050 crore in September 2018. NSE accounts for major share of 58 per cent in 2018-19 so far.</w:t>
      </w:r>
    </w:p>
    <w:p w14:paraId="5D2DE52C" w14:textId="77777777" w:rsidR="00885921" w:rsidRPr="00D13863" w:rsidRDefault="00885921" w:rsidP="00885921">
      <w:pPr>
        <w:jc w:val="both"/>
        <w:rPr>
          <w:rFonts w:ascii="Palatino Linotype" w:eastAsia="Times New Roman" w:hAnsi="Palatino Linotype" w:cs="Calibri"/>
          <w:sz w:val="22"/>
          <w:szCs w:val="22"/>
          <w:lang w:eastAsia="en-IN" w:bidi="hi-IN"/>
        </w:rPr>
      </w:pPr>
    </w:p>
    <w:p w14:paraId="44BDA093" w14:textId="77777777" w:rsidR="00885921" w:rsidRPr="00D13863" w:rsidRDefault="00885921" w:rsidP="00885921">
      <w:pPr>
        <w:keepNext/>
        <w:jc w:val="center"/>
        <w:outlineLvl w:val="0"/>
        <w:rPr>
          <w:rFonts w:ascii="Palatino Linotype" w:hAnsi="Palatino Linotype"/>
          <w:b/>
          <w:bCs/>
          <w:sz w:val="22"/>
          <w:szCs w:val="22"/>
        </w:rPr>
      </w:pPr>
      <w:r w:rsidRPr="00D13863">
        <w:rPr>
          <w:rFonts w:ascii="Palatino Linotype" w:hAnsi="Palatino Linotype"/>
          <w:b/>
          <w:bCs/>
          <w:sz w:val="22"/>
          <w:szCs w:val="22"/>
        </w:rPr>
        <w:t xml:space="preserve">Figure </w:t>
      </w:r>
      <w:r>
        <w:rPr>
          <w:rFonts w:ascii="Palatino Linotype" w:hAnsi="Palatino Linotype"/>
          <w:b/>
          <w:bCs/>
          <w:sz w:val="22"/>
          <w:szCs w:val="22"/>
        </w:rPr>
        <w:t>8</w:t>
      </w:r>
      <w:r w:rsidRPr="00D13863">
        <w:rPr>
          <w:rFonts w:ascii="Palatino Linotype" w:hAnsi="Palatino Linotype"/>
          <w:b/>
          <w:bCs/>
          <w:sz w:val="22"/>
          <w:szCs w:val="22"/>
        </w:rPr>
        <w:t xml:space="preserve">: Trends of Currency Derivatives at NSE, MSEI and BSE </w:t>
      </w:r>
      <w:r>
        <w:rPr>
          <w:rFonts w:ascii="Palatino Linotype" w:hAnsi="Palatino Linotype"/>
          <w:b/>
          <w:bCs/>
          <w:sz w:val="22"/>
          <w:szCs w:val="22"/>
        </w:rPr>
        <w:t>(</w:t>
      </w:r>
      <w:r>
        <w:rPr>
          <w:rFonts w:ascii="Times New Roman" w:hAnsi="Times New Roman"/>
          <w:b/>
          <w:bCs/>
          <w:sz w:val="22"/>
          <w:szCs w:val="22"/>
        </w:rPr>
        <w:t>₹</w:t>
      </w:r>
      <w:r w:rsidRPr="00D13863">
        <w:rPr>
          <w:rFonts w:ascii="Palatino Linotype" w:eastAsia="Times New Roman" w:hAnsi="Palatino Linotype" w:cs="Helvetica"/>
          <w:b/>
          <w:bCs/>
          <w:sz w:val="22"/>
          <w:szCs w:val="22"/>
        </w:rPr>
        <w:t xml:space="preserve"> crore</w:t>
      </w:r>
      <w:r w:rsidRPr="00D13863">
        <w:rPr>
          <w:rFonts w:ascii="Palatino Linotype" w:hAnsi="Palatino Linotype"/>
          <w:b/>
          <w:bCs/>
          <w:sz w:val="22"/>
          <w:szCs w:val="22"/>
        </w:rPr>
        <w:t>)</w:t>
      </w:r>
    </w:p>
    <w:p w14:paraId="39C60E34" w14:textId="77777777" w:rsidR="00885921" w:rsidRPr="00D13863" w:rsidRDefault="00885921" w:rsidP="00885921">
      <w:pPr>
        <w:jc w:val="both"/>
        <w:rPr>
          <w:rFonts w:ascii="Palatino Linotype" w:hAnsi="Palatino Linotype"/>
          <w:color w:val="000099"/>
          <w:sz w:val="22"/>
          <w:szCs w:val="22"/>
          <w:highlight w:val="lightGray"/>
        </w:rPr>
      </w:pPr>
    </w:p>
    <w:p w14:paraId="7E1BC2D2" w14:textId="77777777" w:rsidR="00885921" w:rsidRPr="00D13863" w:rsidRDefault="00885921" w:rsidP="00885921">
      <w:pPr>
        <w:rPr>
          <w:rFonts w:ascii="Palatino Linotype" w:hAnsi="Palatino Linotype"/>
          <w:b/>
          <w:sz w:val="22"/>
          <w:szCs w:val="22"/>
        </w:rPr>
      </w:pPr>
      <w:r>
        <w:rPr>
          <w:noProof/>
          <w:lang w:val="en-IN" w:eastAsia="en-IN"/>
        </w:rPr>
        <w:drawing>
          <wp:inline distT="0" distB="0" distL="0" distR="0" wp14:anchorId="16DB285D" wp14:editId="70A830F4">
            <wp:extent cx="5806482" cy="3147773"/>
            <wp:effectExtent l="0" t="0" r="3810" b="146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0DDBA4" w14:textId="77777777" w:rsidR="00885921" w:rsidRPr="00D13863" w:rsidRDefault="00885921" w:rsidP="00885921">
      <w:pPr>
        <w:widowControl w:val="0"/>
        <w:numPr>
          <w:ilvl w:val="0"/>
          <w:numId w:val="3"/>
        </w:numPr>
        <w:contextualSpacing/>
        <w:jc w:val="both"/>
        <w:outlineLvl w:val="0"/>
        <w:rPr>
          <w:rFonts w:ascii="Palatino Linotype" w:hAnsi="Palatino Linotype"/>
          <w:b/>
          <w:sz w:val="22"/>
          <w:szCs w:val="22"/>
        </w:rPr>
      </w:pPr>
      <w:r w:rsidRPr="00D13863">
        <w:rPr>
          <w:rFonts w:ascii="Palatino Linotype" w:hAnsi="Palatino Linotype"/>
          <w:b/>
          <w:sz w:val="22"/>
          <w:szCs w:val="22"/>
        </w:rPr>
        <w:t>Interest Rate Futures at NSE, BSE and MSEI</w:t>
      </w:r>
    </w:p>
    <w:p w14:paraId="50AFE50A" w14:textId="77777777" w:rsidR="00885921" w:rsidRPr="00D13863" w:rsidRDefault="00885921" w:rsidP="00885921">
      <w:pPr>
        <w:keepNext/>
        <w:jc w:val="both"/>
        <w:rPr>
          <w:rFonts w:ascii="Palatino Linotype" w:eastAsia="Times New Roman" w:hAnsi="Palatino Linotype"/>
          <w:sz w:val="22"/>
          <w:szCs w:val="22"/>
          <w:highlight w:val="lightGray"/>
        </w:rPr>
      </w:pPr>
    </w:p>
    <w:p w14:paraId="06F28EE5" w14:textId="77777777" w:rsidR="00885921" w:rsidRDefault="00885921" w:rsidP="00885921">
      <w:pPr>
        <w:jc w:val="both"/>
        <w:rPr>
          <w:rFonts w:ascii="Palatino Linotype" w:eastAsia="Times New Roman" w:hAnsi="Palatino Linotype" w:cs="Garamond"/>
          <w:sz w:val="22"/>
          <w:szCs w:val="22"/>
        </w:rPr>
      </w:pPr>
      <w:r w:rsidRPr="00D13863">
        <w:rPr>
          <w:rFonts w:ascii="Palatino Linotype" w:eastAsia="Times New Roman" w:hAnsi="Palatino Linotype"/>
          <w:sz w:val="22"/>
          <w:szCs w:val="22"/>
        </w:rPr>
        <w:t xml:space="preserve">During </w:t>
      </w:r>
      <w:r>
        <w:rPr>
          <w:rFonts w:ascii="Palatino Linotype" w:eastAsia="Times New Roman" w:hAnsi="Palatino Linotype"/>
          <w:sz w:val="22"/>
          <w:szCs w:val="22"/>
        </w:rPr>
        <w:t>September</w:t>
      </w:r>
      <w:r w:rsidRPr="00D13863">
        <w:rPr>
          <w:rFonts w:ascii="Palatino Linotype" w:eastAsia="Times New Roman" w:hAnsi="Palatino Linotype"/>
          <w:sz w:val="22"/>
          <w:szCs w:val="22"/>
        </w:rPr>
        <w:t xml:space="preserve"> 2018, the </w:t>
      </w:r>
      <w:r>
        <w:rPr>
          <w:rFonts w:ascii="Palatino Linotype" w:eastAsia="Times New Roman" w:hAnsi="Palatino Linotype"/>
          <w:sz w:val="22"/>
          <w:szCs w:val="22"/>
        </w:rPr>
        <w:t xml:space="preserve">aggregate turnover in the interest rate derivatives (IRD) segment across both the exchanges (BSE and NSE) declined by 7.5 per cent. </w:t>
      </w:r>
      <w:r>
        <w:rPr>
          <w:rFonts w:ascii="Palatino Linotype" w:eastAsia="Times New Roman" w:hAnsi="Palatino Linotype" w:cs="Garamond"/>
          <w:sz w:val="22"/>
          <w:szCs w:val="22"/>
        </w:rPr>
        <w:t>In 2018-19 so far, no trading has been observed at MSEI</w:t>
      </w:r>
      <w:r w:rsidRPr="00D13863">
        <w:rPr>
          <w:rFonts w:ascii="Palatino Linotype" w:eastAsia="Times New Roman" w:hAnsi="Palatino Linotype" w:cs="Garamond"/>
          <w:sz w:val="22"/>
          <w:szCs w:val="22"/>
        </w:rPr>
        <w:t xml:space="preserve"> </w:t>
      </w:r>
      <w:r>
        <w:rPr>
          <w:rFonts w:ascii="Palatino Linotype" w:eastAsia="Times New Roman" w:hAnsi="Palatino Linotype" w:cs="Garamond"/>
          <w:sz w:val="22"/>
          <w:szCs w:val="22"/>
        </w:rPr>
        <w:t>in this segment.</w:t>
      </w:r>
      <w:r>
        <w:rPr>
          <w:rFonts w:ascii="Palatino Linotype" w:eastAsia="Times New Roman" w:hAnsi="Palatino Linotype"/>
          <w:sz w:val="22"/>
          <w:szCs w:val="22"/>
          <w:lang w:val="en-US"/>
        </w:rPr>
        <w:t xml:space="preserve"> The </w:t>
      </w:r>
      <w:r w:rsidRPr="00D13863">
        <w:rPr>
          <w:rFonts w:ascii="Palatino Linotype" w:eastAsia="Times New Roman" w:hAnsi="Palatino Linotype"/>
          <w:sz w:val="22"/>
          <w:szCs w:val="22"/>
        </w:rPr>
        <w:t xml:space="preserve">monthly turnover </w:t>
      </w:r>
      <w:r>
        <w:rPr>
          <w:rFonts w:ascii="Palatino Linotype" w:eastAsia="Times New Roman" w:hAnsi="Palatino Linotype"/>
          <w:sz w:val="22"/>
          <w:szCs w:val="22"/>
        </w:rPr>
        <w:t>in IRD segment of</w:t>
      </w:r>
      <w:r w:rsidRPr="00D13863">
        <w:rPr>
          <w:rFonts w:ascii="Palatino Linotype" w:eastAsia="Times New Roman" w:hAnsi="Palatino Linotype"/>
          <w:sz w:val="22"/>
          <w:szCs w:val="22"/>
        </w:rPr>
        <w:t xml:space="preserve"> NSE </w:t>
      </w:r>
      <w:r>
        <w:rPr>
          <w:rFonts w:ascii="Palatino Linotype" w:eastAsia="Times New Roman" w:hAnsi="Palatino Linotype"/>
          <w:sz w:val="22"/>
          <w:szCs w:val="22"/>
        </w:rPr>
        <w:t>rose by 5 per cent, whereas that of BSE fell by 29.3 per cent. With a strong growth in trading volume, NSE has acquired a dominating share in the IRD segment in India in the current financial year (until September 2018) unlike 2017-18, where BSE had a leading share. The share of NSE in interest rate derivatives rose to 65 per cent in 2018-19 so far as compared to 41 per cent in 2017-18.</w:t>
      </w:r>
    </w:p>
    <w:p w14:paraId="2260AE00" w14:textId="77777777" w:rsidR="00885921" w:rsidRPr="00D13863" w:rsidRDefault="00885921" w:rsidP="00885921">
      <w:pPr>
        <w:rPr>
          <w:rFonts w:ascii="Palatino Linotype" w:hAnsi="Palatino Linotype"/>
          <w:sz w:val="22"/>
          <w:szCs w:val="22"/>
          <w:highlight w:val="lightGray"/>
        </w:rPr>
      </w:pPr>
    </w:p>
    <w:p w14:paraId="7200026D" w14:textId="77777777" w:rsidR="00885921" w:rsidRDefault="00885921" w:rsidP="00885921">
      <w:pPr>
        <w:outlineLvl w:val="0"/>
        <w:rPr>
          <w:rFonts w:ascii="Palatino Linotype" w:hAnsi="Palatino Linotype"/>
          <w:b/>
          <w:sz w:val="22"/>
          <w:szCs w:val="22"/>
        </w:rPr>
      </w:pPr>
      <w:r w:rsidRPr="00D13863">
        <w:rPr>
          <w:rFonts w:ascii="Palatino Linotype" w:hAnsi="Palatino Linotype"/>
          <w:b/>
          <w:sz w:val="22"/>
          <w:szCs w:val="22"/>
        </w:rPr>
        <w:t xml:space="preserve">Figure </w:t>
      </w:r>
      <w:r>
        <w:rPr>
          <w:rFonts w:ascii="Palatino Linotype" w:hAnsi="Palatino Linotype"/>
          <w:b/>
          <w:sz w:val="22"/>
          <w:szCs w:val="22"/>
        </w:rPr>
        <w:t>9</w:t>
      </w:r>
      <w:r w:rsidRPr="00D13863">
        <w:rPr>
          <w:rFonts w:ascii="Palatino Linotype" w:hAnsi="Palatino Linotype"/>
          <w:b/>
          <w:sz w:val="22"/>
          <w:szCs w:val="22"/>
        </w:rPr>
        <w:t xml:space="preserve">: Trends of Interest Rate Futures at NSE and BSE </w:t>
      </w:r>
      <w:r>
        <w:rPr>
          <w:rFonts w:ascii="Palatino Linotype" w:hAnsi="Palatino Linotype"/>
          <w:b/>
          <w:sz w:val="22"/>
          <w:szCs w:val="22"/>
        </w:rPr>
        <w:t>(</w:t>
      </w:r>
      <w:r>
        <w:rPr>
          <w:rFonts w:ascii="Times New Roman" w:hAnsi="Times New Roman"/>
          <w:b/>
          <w:sz w:val="22"/>
          <w:szCs w:val="22"/>
        </w:rPr>
        <w:t>₹</w:t>
      </w:r>
      <w:r w:rsidRPr="00D13863">
        <w:rPr>
          <w:rFonts w:ascii="Palatino Linotype" w:eastAsia="Times New Roman" w:hAnsi="Palatino Linotype"/>
          <w:bCs/>
          <w:sz w:val="22"/>
          <w:szCs w:val="22"/>
          <w:lang w:eastAsia="en-GB" w:bidi="bn-IN"/>
        </w:rPr>
        <w:t xml:space="preserve"> </w:t>
      </w:r>
      <w:r w:rsidRPr="00D13863">
        <w:rPr>
          <w:rFonts w:ascii="Palatino Linotype" w:hAnsi="Palatino Linotype"/>
          <w:b/>
          <w:sz w:val="22"/>
          <w:szCs w:val="22"/>
        </w:rPr>
        <w:t>crore)</w:t>
      </w:r>
    </w:p>
    <w:p w14:paraId="0569F3EE" w14:textId="77777777" w:rsidR="00885921" w:rsidRDefault="00885921" w:rsidP="00885921">
      <w:pPr>
        <w:outlineLvl w:val="0"/>
        <w:rPr>
          <w:rFonts w:ascii="Palatino Linotype" w:hAnsi="Palatino Linotype"/>
          <w:b/>
          <w:sz w:val="22"/>
          <w:szCs w:val="22"/>
        </w:rPr>
      </w:pPr>
    </w:p>
    <w:p w14:paraId="4CBFAD54" w14:textId="77777777" w:rsidR="00885921" w:rsidRPr="00D13863" w:rsidRDefault="00885921" w:rsidP="00885921">
      <w:pPr>
        <w:jc w:val="center"/>
        <w:outlineLvl w:val="0"/>
        <w:rPr>
          <w:rFonts w:ascii="Palatino Linotype" w:hAnsi="Palatino Linotype"/>
          <w:b/>
          <w:sz w:val="22"/>
          <w:szCs w:val="22"/>
        </w:rPr>
      </w:pPr>
      <w:r>
        <w:rPr>
          <w:noProof/>
          <w:lang w:val="en-IN" w:eastAsia="en-IN"/>
        </w:rPr>
        <w:drawing>
          <wp:inline distT="0" distB="0" distL="0" distR="0" wp14:anchorId="7F6AF12E" wp14:editId="44B36B52">
            <wp:extent cx="5219700" cy="2581275"/>
            <wp:effectExtent l="0" t="0" r="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0694E5F" w14:textId="77777777" w:rsidR="00885921" w:rsidRPr="006B2C0E" w:rsidRDefault="00885921" w:rsidP="00885921">
      <w:pPr>
        <w:rPr>
          <w:rFonts w:ascii="Palatino Linotype" w:hAnsi="Palatino Linotype"/>
          <w:b/>
          <w:color w:val="000099"/>
          <w:sz w:val="22"/>
          <w:szCs w:val="22"/>
        </w:rPr>
      </w:pPr>
    </w:p>
    <w:p w14:paraId="61C436DF" w14:textId="77777777" w:rsidR="00C5624F" w:rsidRDefault="00C5624F">
      <w:pPr>
        <w:rPr>
          <w:rFonts w:ascii="Palatino Linotype" w:hAnsi="Palatino Linotype"/>
          <w:b/>
          <w:sz w:val="22"/>
          <w:szCs w:val="22"/>
        </w:rPr>
      </w:pPr>
      <w:r>
        <w:rPr>
          <w:rFonts w:ascii="Palatino Linotype" w:hAnsi="Palatino Linotype"/>
          <w:b/>
          <w:sz w:val="22"/>
          <w:szCs w:val="22"/>
        </w:rPr>
        <w:br w:type="page"/>
      </w:r>
    </w:p>
    <w:p w14:paraId="3F79FBF4" w14:textId="77777777" w:rsidR="00C5624F" w:rsidRPr="00AE226D" w:rsidRDefault="00C5624F" w:rsidP="006859F1">
      <w:pPr>
        <w:widowControl w:val="0"/>
        <w:numPr>
          <w:ilvl w:val="0"/>
          <w:numId w:val="2"/>
        </w:numPr>
        <w:contextualSpacing/>
        <w:jc w:val="both"/>
        <w:rPr>
          <w:rFonts w:ascii="Garamond" w:eastAsia="Times New Roman" w:hAnsi="Garamond"/>
          <w:b/>
          <w:color w:val="0F0684"/>
        </w:rPr>
      </w:pPr>
      <w:r w:rsidRPr="00EB1F8D">
        <w:rPr>
          <w:rFonts w:ascii="Palatino Linotype" w:hAnsi="Palatino Linotype"/>
          <w:b/>
          <w:sz w:val="22"/>
          <w:szCs w:val="22"/>
        </w:rPr>
        <w:t>Commodities Derivatives Markets</w:t>
      </w:r>
    </w:p>
    <w:p w14:paraId="45C38B8B" w14:textId="77777777" w:rsidR="00C5624F" w:rsidRDefault="00C5624F" w:rsidP="00C5624F">
      <w:pPr>
        <w:pStyle w:val="ListParagraph"/>
        <w:spacing w:after="0" w:line="240" w:lineRule="auto"/>
        <w:jc w:val="both"/>
        <w:rPr>
          <w:rFonts w:ascii="Garamond" w:eastAsia="Times New Roman" w:hAnsi="Garamond"/>
          <w:b/>
          <w:color w:val="000000"/>
          <w:sz w:val="24"/>
          <w:szCs w:val="24"/>
        </w:rPr>
      </w:pPr>
    </w:p>
    <w:p w14:paraId="79CD2D68" w14:textId="77777777" w:rsidR="00C5624F" w:rsidRPr="002F7F08" w:rsidRDefault="00C5624F" w:rsidP="00C5624F">
      <w:pPr>
        <w:pStyle w:val="ListParagraph"/>
        <w:spacing w:after="0" w:line="240" w:lineRule="auto"/>
        <w:jc w:val="both"/>
        <w:rPr>
          <w:rFonts w:ascii="Garamond" w:eastAsia="Times New Roman" w:hAnsi="Garamond"/>
          <w:b/>
          <w:color w:val="000000"/>
          <w:sz w:val="24"/>
          <w:szCs w:val="24"/>
        </w:rPr>
      </w:pPr>
      <w:r w:rsidRPr="002F7F08">
        <w:rPr>
          <w:rFonts w:ascii="Garamond" w:eastAsia="Times New Roman" w:hAnsi="Garamond"/>
          <w:b/>
          <w:color w:val="000000"/>
          <w:sz w:val="24"/>
          <w:szCs w:val="24"/>
        </w:rPr>
        <w:t>A. Market Trends</w:t>
      </w:r>
    </w:p>
    <w:p w14:paraId="4F53EDC9" w14:textId="77777777" w:rsidR="00C5624F" w:rsidRDefault="00C5624F" w:rsidP="00C5624F">
      <w:pPr>
        <w:pStyle w:val="ListParagraph"/>
        <w:spacing w:after="0" w:line="240" w:lineRule="auto"/>
        <w:jc w:val="both"/>
        <w:rPr>
          <w:rFonts w:ascii="Garamond" w:eastAsia="Times New Roman" w:hAnsi="Garamond"/>
          <w:color w:val="000000"/>
          <w:sz w:val="24"/>
          <w:szCs w:val="24"/>
        </w:rPr>
      </w:pPr>
      <w:r w:rsidRPr="00D2057B">
        <w:rPr>
          <w:rFonts w:ascii="Garamond" w:eastAsia="Times New Roman" w:hAnsi="Garamond"/>
          <w:color w:val="000000"/>
          <w:sz w:val="24"/>
          <w:szCs w:val="24"/>
        </w:rPr>
        <w:t xml:space="preserve">At the end of </w:t>
      </w:r>
      <w:r>
        <w:rPr>
          <w:rFonts w:ascii="Garamond" w:eastAsia="Times New Roman" w:hAnsi="Garamond"/>
          <w:color w:val="000000"/>
          <w:sz w:val="24"/>
          <w:szCs w:val="24"/>
        </w:rPr>
        <w:t>September</w:t>
      </w:r>
      <w:r w:rsidRPr="00D2057B">
        <w:rPr>
          <w:rFonts w:ascii="Garamond" w:eastAsia="Times New Roman" w:hAnsi="Garamond"/>
          <w:color w:val="000000"/>
          <w:sz w:val="24"/>
          <w:szCs w:val="24"/>
        </w:rPr>
        <w:t xml:space="preserve"> 2018, MCX Comdex closed at </w:t>
      </w:r>
      <w:r>
        <w:rPr>
          <w:rFonts w:ascii="Garamond" w:eastAsia="Times New Roman" w:hAnsi="Garamond"/>
          <w:color w:val="000000"/>
          <w:sz w:val="24"/>
          <w:szCs w:val="24"/>
        </w:rPr>
        <w:t>4009.9</w:t>
      </w:r>
      <w:r w:rsidRPr="00D2057B">
        <w:rPr>
          <w:rFonts w:ascii="Garamond" w:eastAsia="Times New Roman" w:hAnsi="Garamond"/>
          <w:color w:val="000000"/>
          <w:sz w:val="24"/>
          <w:szCs w:val="24"/>
        </w:rPr>
        <w:t xml:space="preserve">, registering </w:t>
      </w:r>
      <w:r>
        <w:rPr>
          <w:rFonts w:ascii="Garamond" w:eastAsia="Times New Roman" w:hAnsi="Garamond"/>
          <w:color w:val="000000"/>
          <w:sz w:val="24"/>
          <w:szCs w:val="24"/>
        </w:rPr>
        <w:t>an in</w:t>
      </w:r>
      <w:r w:rsidRPr="00D2057B">
        <w:rPr>
          <w:rFonts w:ascii="Garamond" w:eastAsia="Times New Roman" w:hAnsi="Garamond"/>
          <w:color w:val="000000"/>
          <w:sz w:val="24"/>
          <w:szCs w:val="24"/>
        </w:rPr>
        <w:t xml:space="preserve">crease of </w:t>
      </w:r>
      <w:r>
        <w:rPr>
          <w:rFonts w:ascii="Garamond" w:eastAsia="Times New Roman" w:hAnsi="Garamond"/>
          <w:color w:val="000000"/>
          <w:sz w:val="24"/>
          <w:szCs w:val="24"/>
        </w:rPr>
        <w:t>3.9</w:t>
      </w:r>
      <w:r w:rsidRPr="00D2057B">
        <w:rPr>
          <w:rFonts w:ascii="Garamond" w:eastAsia="Times New Roman" w:hAnsi="Garamond"/>
          <w:color w:val="000000"/>
          <w:sz w:val="24"/>
          <w:szCs w:val="24"/>
        </w:rPr>
        <w:t xml:space="preserve"> per</w:t>
      </w:r>
      <w:r>
        <w:rPr>
          <w:rFonts w:ascii="Garamond" w:eastAsia="Times New Roman" w:hAnsi="Garamond"/>
          <w:color w:val="000000"/>
          <w:sz w:val="24"/>
          <w:szCs w:val="24"/>
        </w:rPr>
        <w:t xml:space="preserve"> </w:t>
      </w:r>
      <w:r w:rsidRPr="00D2057B">
        <w:rPr>
          <w:rFonts w:ascii="Garamond" w:eastAsia="Times New Roman" w:hAnsi="Garamond"/>
          <w:color w:val="000000"/>
          <w:sz w:val="24"/>
          <w:szCs w:val="24"/>
        </w:rPr>
        <w:t xml:space="preserve">cent over the closing value of </w:t>
      </w:r>
      <w:r>
        <w:rPr>
          <w:rFonts w:ascii="Garamond" w:eastAsia="Times New Roman" w:hAnsi="Garamond"/>
          <w:color w:val="000000"/>
          <w:sz w:val="24"/>
          <w:szCs w:val="24"/>
        </w:rPr>
        <w:t>3859.1</w:t>
      </w:r>
      <w:r w:rsidRPr="00D2057B">
        <w:rPr>
          <w:rFonts w:ascii="Garamond" w:eastAsia="Times New Roman" w:hAnsi="Garamond"/>
          <w:color w:val="000000"/>
          <w:sz w:val="24"/>
          <w:szCs w:val="24"/>
        </w:rPr>
        <w:t xml:space="preserve"> </w:t>
      </w:r>
      <w:r>
        <w:rPr>
          <w:rFonts w:ascii="Garamond" w:eastAsia="Times New Roman" w:hAnsi="Garamond"/>
          <w:color w:val="000000"/>
          <w:sz w:val="24"/>
          <w:szCs w:val="24"/>
        </w:rPr>
        <w:t>at the end of August 2018.</w:t>
      </w:r>
      <w:r w:rsidRPr="00D2057B">
        <w:rPr>
          <w:rFonts w:ascii="Garamond" w:eastAsia="Times New Roman" w:hAnsi="Garamond"/>
          <w:color w:val="000000"/>
          <w:sz w:val="24"/>
          <w:szCs w:val="24"/>
        </w:rPr>
        <w:t xml:space="preserve">  </w:t>
      </w:r>
      <w:r>
        <w:rPr>
          <w:rFonts w:ascii="Garamond" w:eastAsia="Times New Roman" w:hAnsi="Garamond"/>
          <w:color w:val="000000"/>
          <w:sz w:val="24"/>
          <w:szCs w:val="24"/>
        </w:rPr>
        <w:t xml:space="preserve">On Y-o-Y basis, the MCX Comdex increased by 19.6 per cent, mainly on account of </w:t>
      </w:r>
      <w:r w:rsidRPr="00A52359">
        <w:rPr>
          <w:rFonts w:ascii="Garamond" w:eastAsia="Times New Roman" w:hAnsi="Garamond"/>
          <w:color w:val="000000"/>
          <w:sz w:val="24"/>
          <w:szCs w:val="24"/>
        </w:rPr>
        <w:t xml:space="preserve">increase in prices of </w:t>
      </w:r>
      <w:r>
        <w:rPr>
          <w:rFonts w:ascii="Garamond" w:eastAsia="Times New Roman" w:hAnsi="Garamond"/>
          <w:color w:val="000000"/>
          <w:sz w:val="24"/>
          <w:szCs w:val="24"/>
        </w:rPr>
        <w:t xml:space="preserve">all the traded commodities, except lead, zinc and silver. </w:t>
      </w:r>
      <w:r w:rsidRPr="00D2057B">
        <w:rPr>
          <w:rFonts w:ascii="Garamond" w:eastAsia="Times New Roman" w:hAnsi="Garamond"/>
          <w:color w:val="000000"/>
          <w:sz w:val="24"/>
          <w:szCs w:val="24"/>
        </w:rPr>
        <w:t xml:space="preserve">NCDEX Dhaanya closed at </w:t>
      </w:r>
      <w:r>
        <w:rPr>
          <w:rFonts w:ascii="Garamond" w:eastAsia="Times New Roman" w:hAnsi="Garamond"/>
          <w:color w:val="000000"/>
          <w:sz w:val="24"/>
          <w:szCs w:val="24"/>
        </w:rPr>
        <w:t>3167.5</w:t>
      </w:r>
      <w:r w:rsidRPr="00D2057B">
        <w:rPr>
          <w:rFonts w:ascii="Garamond" w:eastAsia="Times New Roman" w:hAnsi="Garamond"/>
          <w:color w:val="000000"/>
          <w:sz w:val="24"/>
          <w:szCs w:val="24"/>
        </w:rPr>
        <w:t>, a</w:t>
      </w:r>
      <w:r>
        <w:rPr>
          <w:rFonts w:ascii="Garamond" w:eastAsia="Times New Roman" w:hAnsi="Garamond"/>
          <w:color w:val="000000"/>
          <w:sz w:val="24"/>
          <w:szCs w:val="24"/>
        </w:rPr>
        <w:t>n</w:t>
      </w:r>
      <w:r w:rsidRPr="00D2057B">
        <w:rPr>
          <w:rFonts w:ascii="Garamond" w:eastAsia="Times New Roman" w:hAnsi="Garamond"/>
          <w:color w:val="000000"/>
          <w:sz w:val="24"/>
          <w:szCs w:val="24"/>
        </w:rPr>
        <w:t xml:space="preserve"> </w:t>
      </w:r>
      <w:r>
        <w:rPr>
          <w:rFonts w:ascii="Garamond" w:eastAsia="Times New Roman" w:hAnsi="Garamond"/>
          <w:color w:val="000000"/>
          <w:sz w:val="24"/>
          <w:szCs w:val="24"/>
        </w:rPr>
        <w:t>in</w:t>
      </w:r>
      <w:r w:rsidRPr="00D2057B">
        <w:rPr>
          <w:rFonts w:ascii="Garamond" w:eastAsia="Times New Roman" w:hAnsi="Garamond"/>
          <w:color w:val="000000"/>
          <w:sz w:val="24"/>
          <w:szCs w:val="24"/>
        </w:rPr>
        <w:t xml:space="preserve">crease of </w:t>
      </w:r>
      <w:r>
        <w:rPr>
          <w:rFonts w:ascii="Garamond" w:eastAsia="Times New Roman" w:hAnsi="Garamond"/>
          <w:color w:val="000000"/>
          <w:sz w:val="24"/>
          <w:szCs w:val="24"/>
        </w:rPr>
        <w:t>1.6</w:t>
      </w:r>
      <w:r w:rsidRPr="00D2057B">
        <w:rPr>
          <w:rFonts w:ascii="Garamond" w:eastAsia="Times New Roman" w:hAnsi="Garamond"/>
          <w:color w:val="000000"/>
          <w:sz w:val="24"/>
          <w:szCs w:val="24"/>
        </w:rPr>
        <w:t xml:space="preserve"> per</w:t>
      </w:r>
      <w:r>
        <w:rPr>
          <w:rFonts w:ascii="Garamond" w:eastAsia="Times New Roman" w:hAnsi="Garamond"/>
          <w:color w:val="000000"/>
          <w:sz w:val="24"/>
          <w:szCs w:val="24"/>
        </w:rPr>
        <w:t xml:space="preserve"> </w:t>
      </w:r>
      <w:r w:rsidRPr="00D2057B">
        <w:rPr>
          <w:rFonts w:ascii="Garamond" w:eastAsia="Times New Roman" w:hAnsi="Garamond"/>
          <w:color w:val="000000"/>
          <w:sz w:val="24"/>
          <w:szCs w:val="24"/>
        </w:rPr>
        <w:t xml:space="preserve">cent over the closing values of </w:t>
      </w:r>
      <w:r>
        <w:rPr>
          <w:rFonts w:ascii="Garamond" w:eastAsia="Times New Roman" w:hAnsi="Garamond"/>
          <w:color w:val="000000"/>
          <w:sz w:val="24"/>
          <w:szCs w:val="24"/>
        </w:rPr>
        <w:t>3117.8</w:t>
      </w:r>
      <w:r w:rsidRPr="00D2057B">
        <w:rPr>
          <w:rFonts w:ascii="Garamond" w:eastAsia="Times New Roman" w:hAnsi="Garamond"/>
          <w:color w:val="000000"/>
          <w:sz w:val="24"/>
          <w:szCs w:val="24"/>
        </w:rPr>
        <w:t xml:space="preserve"> at the end of </w:t>
      </w:r>
      <w:r>
        <w:rPr>
          <w:rFonts w:ascii="Garamond" w:eastAsia="Times New Roman" w:hAnsi="Garamond"/>
          <w:color w:val="000000"/>
          <w:sz w:val="24"/>
          <w:szCs w:val="24"/>
        </w:rPr>
        <w:t xml:space="preserve">August </w:t>
      </w:r>
      <w:r w:rsidRPr="00D2057B">
        <w:rPr>
          <w:rFonts w:ascii="Garamond" w:eastAsia="Times New Roman" w:hAnsi="Garamond"/>
          <w:color w:val="000000"/>
          <w:sz w:val="24"/>
          <w:szCs w:val="24"/>
        </w:rPr>
        <w:t>201</w:t>
      </w:r>
      <w:r>
        <w:rPr>
          <w:rFonts w:ascii="Garamond" w:eastAsia="Times New Roman" w:hAnsi="Garamond"/>
          <w:color w:val="000000"/>
          <w:sz w:val="24"/>
          <w:szCs w:val="24"/>
        </w:rPr>
        <w:t>8</w:t>
      </w:r>
      <w:r w:rsidRPr="00AC5C7C">
        <w:rPr>
          <w:rFonts w:ascii="Garamond" w:eastAsia="Times New Roman" w:hAnsi="Garamond"/>
          <w:color w:val="000000"/>
          <w:sz w:val="24"/>
          <w:szCs w:val="24"/>
        </w:rPr>
        <w:t xml:space="preserve">. </w:t>
      </w:r>
      <w:r>
        <w:rPr>
          <w:rFonts w:ascii="Garamond" w:eastAsia="Times New Roman" w:hAnsi="Garamond"/>
          <w:color w:val="000000"/>
          <w:sz w:val="24"/>
          <w:szCs w:val="24"/>
        </w:rPr>
        <w:t xml:space="preserve">On Y-o-Y basis, the NCDEX Dhaanya index increased by 6.0 per cent mainly due to increase in prices of all the traded commodities except chana and turmeric. </w:t>
      </w:r>
      <w:r w:rsidRPr="00774574">
        <w:rPr>
          <w:rFonts w:ascii="Garamond" w:eastAsia="Times New Roman" w:hAnsi="Garamond"/>
          <w:b/>
          <w:color w:val="000000"/>
          <w:sz w:val="24"/>
          <w:szCs w:val="24"/>
        </w:rPr>
        <w:t xml:space="preserve">(Figure </w:t>
      </w:r>
      <w:r>
        <w:rPr>
          <w:rFonts w:ascii="Garamond" w:eastAsia="Times New Roman" w:hAnsi="Garamond"/>
          <w:b/>
          <w:color w:val="000000"/>
          <w:sz w:val="24"/>
          <w:szCs w:val="24"/>
        </w:rPr>
        <w:t>10</w:t>
      </w:r>
      <w:r w:rsidRPr="00774574">
        <w:rPr>
          <w:rFonts w:ascii="Garamond" w:eastAsia="Times New Roman" w:hAnsi="Garamond"/>
          <w:b/>
          <w:color w:val="000000"/>
          <w:sz w:val="24"/>
          <w:szCs w:val="24"/>
        </w:rPr>
        <w:t>)</w:t>
      </w:r>
      <w:r w:rsidRPr="00AC5C7C">
        <w:rPr>
          <w:rFonts w:ascii="Garamond" w:eastAsia="Times New Roman" w:hAnsi="Garamond"/>
          <w:color w:val="000000"/>
          <w:sz w:val="24"/>
          <w:szCs w:val="24"/>
        </w:rPr>
        <w:t>.</w:t>
      </w:r>
    </w:p>
    <w:p w14:paraId="61D60D5C" w14:textId="77777777" w:rsidR="00C5624F" w:rsidRDefault="00C5624F" w:rsidP="00C5624F">
      <w:pPr>
        <w:pStyle w:val="ListParagraph"/>
        <w:spacing w:after="0" w:line="240" w:lineRule="auto"/>
        <w:jc w:val="both"/>
        <w:rPr>
          <w:rFonts w:ascii="Garamond" w:eastAsia="Times New Roman" w:hAnsi="Garamond"/>
          <w:color w:val="000000"/>
          <w:sz w:val="24"/>
          <w:szCs w:val="24"/>
        </w:rPr>
      </w:pPr>
    </w:p>
    <w:p w14:paraId="6BCB7E5A" w14:textId="77777777" w:rsidR="00C5624F" w:rsidRDefault="00C5624F" w:rsidP="00C5624F">
      <w:pPr>
        <w:pStyle w:val="ListParagraph"/>
        <w:spacing w:after="0" w:line="240" w:lineRule="auto"/>
        <w:jc w:val="both"/>
        <w:rPr>
          <w:rFonts w:ascii="Garamond" w:eastAsia="Times New Roman" w:hAnsi="Garamond"/>
          <w:color w:val="000000"/>
          <w:sz w:val="24"/>
          <w:szCs w:val="24"/>
        </w:rPr>
      </w:pPr>
      <w:r>
        <w:rPr>
          <w:rFonts w:ascii="Garamond" w:eastAsia="Times New Roman" w:hAnsi="Garamond"/>
          <w:color w:val="000000"/>
          <w:sz w:val="24"/>
          <w:szCs w:val="24"/>
        </w:rPr>
        <w:t xml:space="preserve">MCX Comdex </w:t>
      </w:r>
      <w:r w:rsidRPr="00AC5C7C">
        <w:rPr>
          <w:rFonts w:ascii="Garamond" w:eastAsia="Times New Roman" w:hAnsi="Garamond"/>
          <w:color w:val="000000"/>
          <w:sz w:val="24"/>
          <w:szCs w:val="24"/>
        </w:rPr>
        <w:t>recorded an intra</w:t>
      </w:r>
      <w:r>
        <w:rPr>
          <w:rFonts w:ascii="Garamond" w:eastAsia="Times New Roman" w:hAnsi="Garamond"/>
          <w:color w:val="000000"/>
          <w:sz w:val="24"/>
          <w:szCs w:val="24"/>
        </w:rPr>
        <w:t>-</w:t>
      </w:r>
      <w:r w:rsidRPr="00AC5C7C">
        <w:rPr>
          <w:rFonts w:ascii="Garamond" w:eastAsia="Times New Roman" w:hAnsi="Garamond"/>
          <w:color w:val="000000"/>
          <w:sz w:val="24"/>
          <w:szCs w:val="24"/>
        </w:rPr>
        <w:t xml:space="preserve">day high of </w:t>
      </w:r>
      <w:r>
        <w:rPr>
          <w:rFonts w:ascii="Garamond" w:eastAsia="Times New Roman" w:hAnsi="Garamond"/>
          <w:color w:val="000000"/>
          <w:sz w:val="24"/>
          <w:szCs w:val="24"/>
        </w:rPr>
        <w:t>4022.1</w:t>
      </w:r>
      <w:r w:rsidRPr="00AC5C7C">
        <w:rPr>
          <w:rFonts w:ascii="Garamond" w:eastAsia="Times New Roman" w:hAnsi="Garamond"/>
          <w:color w:val="000000"/>
          <w:sz w:val="24"/>
          <w:szCs w:val="24"/>
        </w:rPr>
        <w:t xml:space="preserve"> on </w:t>
      </w:r>
      <w:r>
        <w:rPr>
          <w:rFonts w:ascii="Garamond" w:eastAsia="Times New Roman" w:hAnsi="Garamond"/>
          <w:color w:val="000000"/>
          <w:sz w:val="24"/>
          <w:szCs w:val="24"/>
        </w:rPr>
        <w:t>September 24, 2018</w:t>
      </w:r>
      <w:r w:rsidRPr="00AC5C7C">
        <w:rPr>
          <w:rFonts w:ascii="Garamond" w:eastAsia="Times New Roman" w:hAnsi="Garamond"/>
          <w:color w:val="000000"/>
          <w:sz w:val="24"/>
          <w:szCs w:val="24"/>
        </w:rPr>
        <w:t xml:space="preserve"> while </w:t>
      </w:r>
      <w:r>
        <w:rPr>
          <w:rFonts w:ascii="Garamond" w:eastAsia="Times New Roman" w:hAnsi="Garamond"/>
          <w:color w:val="000000"/>
          <w:sz w:val="24"/>
          <w:szCs w:val="24"/>
        </w:rPr>
        <w:t>3820.7</w:t>
      </w:r>
      <w:r w:rsidRPr="00AC5C7C">
        <w:rPr>
          <w:rFonts w:ascii="Garamond" w:eastAsia="Times New Roman" w:hAnsi="Garamond"/>
          <w:color w:val="000000"/>
          <w:sz w:val="24"/>
          <w:szCs w:val="24"/>
        </w:rPr>
        <w:t xml:space="preserve"> on </w:t>
      </w:r>
      <w:r>
        <w:rPr>
          <w:rFonts w:ascii="Garamond" w:eastAsia="Times New Roman" w:hAnsi="Garamond"/>
          <w:color w:val="000000"/>
          <w:sz w:val="24"/>
          <w:szCs w:val="24"/>
        </w:rPr>
        <w:t>September 07, 2018</w:t>
      </w:r>
      <w:r w:rsidRPr="00AC5C7C">
        <w:rPr>
          <w:rFonts w:ascii="Garamond" w:eastAsia="Times New Roman" w:hAnsi="Garamond"/>
          <w:color w:val="000000"/>
          <w:sz w:val="24"/>
          <w:szCs w:val="24"/>
        </w:rPr>
        <w:t xml:space="preserve"> was </w:t>
      </w:r>
      <w:r>
        <w:rPr>
          <w:rFonts w:ascii="Garamond" w:eastAsia="Times New Roman" w:hAnsi="Garamond"/>
          <w:color w:val="000000"/>
          <w:sz w:val="24"/>
          <w:szCs w:val="24"/>
        </w:rPr>
        <w:t xml:space="preserve">its </w:t>
      </w:r>
      <w:r w:rsidRPr="00AC5C7C">
        <w:rPr>
          <w:rFonts w:ascii="Garamond" w:eastAsia="Times New Roman" w:hAnsi="Garamond"/>
          <w:color w:val="000000"/>
          <w:sz w:val="24"/>
          <w:szCs w:val="24"/>
        </w:rPr>
        <w:t>lowest intra-day level. NCDEX Dhaanya reco</w:t>
      </w:r>
      <w:r>
        <w:rPr>
          <w:rFonts w:ascii="Garamond" w:eastAsia="Times New Roman" w:hAnsi="Garamond"/>
          <w:color w:val="000000"/>
          <w:sz w:val="24"/>
          <w:szCs w:val="24"/>
        </w:rPr>
        <w:t>r</w:t>
      </w:r>
      <w:r w:rsidRPr="00AC5C7C">
        <w:rPr>
          <w:rFonts w:ascii="Garamond" w:eastAsia="Times New Roman" w:hAnsi="Garamond"/>
          <w:color w:val="000000"/>
          <w:sz w:val="24"/>
          <w:szCs w:val="24"/>
        </w:rPr>
        <w:t xml:space="preserve">ded an intra-day high of </w:t>
      </w:r>
      <w:r>
        <w:rPr>
          <w:rFonts w:ascii="Garamond" w:eastAsia="Times New Roman" w:hAnsi="Garamond"/>
          <w:color w:val="000000"/>
          <w:sz w:val="24"/>
          <w:szCs w:val="24"/>
        </w:rPr>
        <w:t>3190.2</w:t>
      </w:r>
      <w:r w:rsidRPr="00AC5C7C">
        <w:rPr>
          <w:rFonts w:ascii="Garamond" w:eastAsia="Times New Roman" w:hAnsi="Garamond"/>
          <w:color w:val="000000"/>
          <w:sz w:val="24"/>
          <w:szCs w:val="24"/>
        </w:rPr>
        <w:t xml:space="preserve"> on </w:t>
      </w:r>
      <w:r>
        <w:rPr>
          <w:rFonts w:ascii="Garamond" w:eastAsia="Times New Roman" w:hAnsi="Garamond"/>
          <w:color w:val="000000"/>
          <w:sz w:val="24"/>
          <w:szCs w:val="24"/>
        </w:rPr>
        <w:t>September 12, 2018</w:t>
      </w:r>
      <w:r w:rsidRPr="00AC5C7C">
        <w:rPr>
          <w:rFonts w:ascii="Garamond" w:eastAsia="Times New Roman" w:hAnsi="Garamond"/>
          <w:color w:val="000000"/>
          <w:sz w:val="24"/>
          <w:szCs w:val="24"/>
        </w:rPr>
        <w:t xml:space="preserve"> and an intra-day low </w:t>
      </w:r>
      <w:r>
        <w:rPr>
          <w:rFonts w:ascii="Garamond" w:eastAsia="Times New Roman" w:hAnsi="Garamond"/>
          <w:color w:val="000000"/>
          <w:sz w:val="24"/>
          <w:szCs w:val="24"/>
        </w:rPr>
        <w:t xml:space="preserve">of 3106.1 </w:t>
      </w:r>
      <w:r w:rsidRPr="00AC5C7C">
        <w:rPr>
          <w:rFonts w:ascii="Garamond" w:eastAsia="Times New Roman" w:hAnsi="Garamond"/>
          <w:color w:val="000000"/>
          <w:sz w:val="24"/>
          <w:szCs w:val="24"/>
        </w:rPr>
        <w:t xml:space="preserve">on </w:t>
      </w:r>
      <w:r>
        <w:rPr>
          <w:rFonts w:ascii="Garamond" w:eastAsia="Times New Roman" w:hAnsi="Garamond"/>
          <w:color w:val="000000"/>
          <w:sz w:val="24"/>
          <w:szCs w:val="24"/>
        </w:rPr>
        <w:t xml:space="preserve">September 18, 2018 </w:t>
      </w:r>
      <w:r w:rsidRPr="007854C2">
        <w:rPr>
          <w:rFonts w:ascii="Garamond" w:eastAsia="Times New Roman" w:hAnsi="Garamond"/>
          <w:color w:val="000000"/>
          <w:sz w:val="24"/>
          <w:szCs w:val="24"/>
        </w:rPr>
        <w:t>(Details in Table 66)</w:t>
      </w:r>
      <w:r w:rsidRPr="001F0D6D">
        <w:rPr>
          <w:rFonts w:ascii="Garamond" w:eastAsia="Times New Roman" w:hAnsi="Garamond"/>
          <w:color w:val="000000"/>
          <w:sz w:val="24"/>
          <w:szCs w:val="24"/>
        </w:rPr>
        <w:t xml:space="preserve">. </w:t>
      </w:r>
    </w:p>
    <w:p w14:paraId="78BB2D2A" w14:textId="77777777" w:rsidR="00C5624F" w:rsidRDefault="00C5624F" w:rsidP="00C5624F">
      <w:pPr>
        <w:pStyle w:val="ListParagraph"/>
        <w:spacing w:after="0" w:line="240" w:lineRule="auto"/>
        <w:jc w:val="both"/>
        <w:rPr>
          <w:rFonts w:ascii="Garamond" w:eastAsia="Times New Roman" w:hAnsi="Garamond"/>
          <w:color w:val="000000"/>
          <w:sz w:val="24"/>
          <w:szCs w:val="24"/>
        </w:rPr>
      </w:pPr>
    </w:p>
    <w:p w14:paraId="3FC0A8CE" w14:textId="77777777" w:rsidR="00C5624F" w:rsidRPr="00F43134" w:rsidRDefault="00C5624F" w:rsidP="00C5624F">
      <w:pPr>
        <w:pStyle w:val="ListParagraph"/>
        <w:spacing w:after="0" w:line="480" w:lineRule="auto"/>
        <w:jc w:val="center"/>
        <w:rPr>
          <w:rFonts w:ascii="Garamond" w:eastAsia="Times New Roman" w:hAnsi="Garamond"/>
          <w:b/>
          <w:color w:val="2E74B5" w:themeColor="accent1" w:themeShade="BF"/>
          <w:sz w:val="24"/>
          <w:szCs w:val="24"/>
        </w:rPr>
      </w:pPr>
      <w:r w:rsidRPr="00F43134">
        <w:rPr>
          <w:rFonts w:ascii="Garamond" w:eastAsia="Times New Roman" w:hAnsi="Garamond"/>
          <w:b/>
          <w:color w:val="2E74B5" w:themeColor="accent1" w:themeShade="BF"/>
          <w:sz w:val="24"/>
          <w:szCs w:val="24"/>
        </w:rPr>
        <w:t xml:space="preserve">Figure </w:t>
      </w:r>
      <w:r>
        <w:rPr>
          <w:rFonts w:ascii="Garamond" w:eastAsia="Times New Roman" w:hAnsi="Garamond"/>
          <w:b/>
          <w:color w:val="2E74B5" w:themeColor="accent1" w:themeShade="BF"/>
          <w:sz w:val="24"/>
          <w:szCs w:val="24"/>
        </w:rPr>
        <w:t>10</w:t>
      </w:r>
      <w:r w:rsidRPr="00F43134">
        <w:rPr>
          <w:rFonts w:ascii="Garamond" w:eastAsia="Times New Roman" w:hAnsi="Garamond"/>
          <w:b/>
          <w:color w:val="2E74B5" w:themeColor="accent1" w:themeShade="BF"/>
          <w:sz w:val="24"/>
          <w:szCs w:val="24"/>
        </w:rPr>
        <w:t>: Movement of Commodity Derivatives Market Indices</w:t>
      </w:r>
    </w:p>
    <w:p w14:paraId="5D18CD1D" w14:textId="77777777" w:rsidR="00C5624F" w:rsidRDefault="00C5624F" w:rsidP="00C5624F">
      <w:pPr>
        <w:pStyle w:val="ListParagraph"/>
        <w:spacing w:after="0" w:line="480" w:lineRule="auto"/>
        <w:jc w:val="both"/>
        <w:rPr>
          <w:rFonts w:ascii="Garamond" w:eastAsia="Times New Roman" w:hAnsi="Garamond"/>
          <w:color w:val="000000"/>
          <w:sz w:val="24"/>
          <w:szCs w:val="24"/>
        </w:rPr>
      </w:pPr>
      <w:r>
        <w:rPr>
          <w:rFonts w:ascii="Garamond" w:eastAsia="Times New Roman" w:hAnsi="Garamond"/>
          <w:color w:val="000000"/>
          <w:sz w:val="24"/>
          <w:szCs w:val="24"/>
        </w:rPr>
        <w:t xml:space="preserve"> </w:t>
      </w:r>
      <w:r>
        <w:rPr>
          <w:noProof/>
          <w:lang w:val="en-IN" w:eastAsia="en-IN"/>
        </w:rPr>
        <w:drawing>
          <wp:inline distT="0" distB="0" distL="0" distR="0" wp14:anchorId="4B076601" wp14:editId="75E122E1">
            <wp:extent cx="5086350" cy="2276475"/>
            <wp:effectExtent l="0" t="0" r="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81A90E" w14:textId="77777777" w:rsidR="00C5624F" w:rsidRPr="00350CF9" w:rsidRDefault="00C5624F" w:rsidP="00C5624F">
      <w:pPr>
        <w:pStyle w:val="ListParagraph"/>
        <w:jc w:val="both"/>
        <w:rPr>
          <w:rFonts w:ascii="Garamond" w:hAnsi="Garamond" w:cs="Arial"/>
          <w:b/>
          <w:bCs/>
        </w:rPr>
      </w:pPr>
      <w:r w:rsidRPr="00350CF9">
        <w:rPr>
          <w:rFonts w:ascii="Garamond" w:hAnsi="Garamond" w:cs="Arial"/>
          <w:b/>
          <w:bCs/>
        </w:rPr>
        <w:t>Source: MCX and NCDEX</w:t>
      </w:r>
    </w:p>
    <w:p w14:paraId="583F378E" w14:textId="77777777" w:rsidR="00C5624F" w:rsidRDefault="00C5624F" w:rsidP="00C5624F">
      <w:pPr>
        <w:pStyle w:val="ListParagraph"/>
        <w:spacing w:after="0" w:line="240" w:lineRule="auto"/>
        <w:jc w:val="both"/>
        <w:rPr>
          <w:rFonts w:ascii="Garamond" w:eastAsia="Times New Roman" w:hAnsi="Garamond"/>
          <w:color w:val="000000"/>
          <w:sz w:val="24"/>
          <w:szCs w:val="24"/>
        </w:rPr>
      </w:pPr>
    </w:p>
    <w:p w14:paraId="0C4328A4" w14:textId="77777777" w:rsidR="00C5624F" w:rsidRDefault="00C5624F" w:rsidP="00C5624F">
      <w:pPr>
        <w:pStyle w:val="ListParagraph"/>
        <w:spacing w:after="0" w:line="240" w:lineRule="auto"/>
        <w:jc w:val="both"/>
        <w:rPr>
          <w:rFonts w:ascii="Garamond" w:eastAsia="Times New Roman" w:hAnsi="Garamond"/>
          <w:color w:val="000000"/>
          <w:sz w:val="24"/>
          <w:szCs w:val="24"/>
        </w:rPr>
      </w:pPr>
      <w:r>
        <w:rPr>
          <w:rFonts w:ascii="Garamond" w:eastAsia="Times New Roman" w:hAnsi="Garamond"/>
          <w:color w:val="000000"/>
          <w:sz w:val="24"/>
          <w:szCs w:val="24"/>
        </w:rPr>
        <w:t>During September 2018, a</w:t>
      </w:r>
      <w:r w:rsidRPr="00D2057B">
        <w:rPr>
          <w:rFonts w:ascii="Garamond" w:eastAsia="Times New Roman" w:hAnsi="Garamond"/>
          <w:color w:val="000000"/>
          <w:sz w:val="24"/>
          <w:szCs w:val="24"/>
        </w:rPr>
        <w:t xml:space="preserve">mong the three component indices of MCX Comdex, </w:t>
      </w:r>
      <w:r>
        <w:rPr>
          <w:rFonts w:ascii="Garamond" w:eastAsia="Times New Roman" w:hAnsi="Garamond"/>
          <w:color w:val="000000"/>
          <w:sz w:val="24"/>
          <w:szCs w:val="24"/>
        </w:rPr>
        <w:t>Energy and Metal i</w:t>
      </w:r>
      <w:r w:rsidRPr="00D2057B">
        <w:rPr>
          <w:rFonts w:ascii="Garamond" w:eastAsia="Times New Roman" w:hAnsi="Garamond"/>
          <w:color w:val="000000"/>
          <w:sz w:val="24"/>
          <w:szCs w:val="24"/>
        </w:rPr>
        <w:t xml:space="preserve">ndices </w:t>
      </w:r>
      <w:r>
        <w:rPr>
          <w:rFonts w:ascii="Garamond" w:eastAsia="Times New Roman" w:hAnsi="Garamond"/>
          <w:color w:val="000000"/>
          <w:sz w:val="24"/>
          <w:szCs w:val="24"/>
        </w:rPr>
        <w:t>increased by 7.9</w:t>
      </w:r>
      <w:r w:rsidRPr="00D2057B">
        <w:rPr>
          <w:rFonts w:ascii="Garamond" w:eastAsia="Times New Roman" w:hAnsi="Garamond"/>
          <w:color w:val="000000"/>
          <w:sz w:val="24"/>
          <w:szCs w:val="24"/>
        </w:rPr>
        <w:t xml:space="preserve"> per</w:t>
      </w:r>
      <w:r>
        <w:rPr>
          <w:rFonts w:ascii="Garamond" w:eastAsia="Times New Roman" w:hAnsi="Garamond"/>
          <w:color w:val="000000"/>
          <w:sz w:val="24"/>
          <w:szCs w:val="24"/>
        </w:rPr>
        <w:t xml:space="preserve"> </w:t>
      </w:r>
      <w:r w:rsidRPr="00D2057B">
        <w:rPr>
          <w:rFonts w:ascii="Garamond" w:eastAsia="Times New Roman" w:hAnsi="Garamond"/>
          <w:color w:val="000000"/>
          <w:sz w:val="24"/>
          <w:szCs w:val="24"/>
        </w:rPr>
        <w:t>cent</w:t>
      </w:r>
      <w:r>
        <w:rPr>
          <w:rFonts w:ascii="Garamond" w:eastAsia="Times New Roman" w:hAnsi="Garamond"/>
          <w:color w:val="000000"/>
          <w:sz w:val="24"/>
          <w:szCs w:val="24"/>
        </w:rPr>
        <w:t xml:space="preserve"> and 3.3 per cent respectively,</w:t>
      </w:r>
      <w:r w:rsidRPr="00D2057B">
        <w:rPr>
          <w:rFonts w:ascii="Garamond" w:eastAsia="Times New Roman" w:hAnsi="Garamond"/>
          <w:color w:val="000000"/>
          <w:sz w:val="24"/>
          <w:szCs w:val="24"/>
        </w:rPr>
        <w:t xml:space="preserve"> while </w:t>
      </w:r>
      <w:r>
        <w:rPr>
          <w:rFonts w:ascii="Garamond" w:eastAsia="Times New Roman" w:hAnsi="Garamond"/>
          <w:color w:val="000000"/>
          <w:sz w:val="24"/>
          <w:szCs w:val="24"/>
        </w:rPr>
        <w:t xml:space="preserve">MCX Agri. index decreased by 3.0 per cent. </w:t>
      </w:r>
      <w:r w:rsidRPr="00D2057B">
        <w:rPr>
          <w:rFonts w:ascii="Garamond" w:eastAsia="Times New Roman" w:hAnsi="Garamond"/>
          <w:color w:val="000000"/>
          <w:sz w:val="24"/>
          <w:szCs w:val="24"/>
        </w:rPr>
        <w:t xml:space="preserve">MCX </w:t>
      </w:r>
      <w:r>
        <w:rPr>
          <w:rFonts w:ascii="Garamond" w:eastAsia="Times New Roman" w:hAnsi="Garamond"/>
          <w:color w:val="000000"/>
          <w:sz w:val="24"/>
          <w:szCs w:val="24"/>
        </w:rPr>
        <w:t xml:space="preserve">Energy </w:t>
      </w:r>
      <w:r w:rsidRPr="00D2057B">
        <w:rPr>
          <w:rFonts w:ascii="Garamond" w:eastAsia="Times New Roman" w:hAnsi="Garamond"/>
          <w:color w:val="000000"/>
          <w:sz w:val="24"/>
          <w:szCs w:val="24"/>
        </w:rPr>
        <w:t xml:space="preserve">index </w:t>
      </w:r>
      <w:r>
        <w:rPr>
          <w:rFonts w:ascii="Garamond" w:eastAsia="Times New Roman" w:hAnsi="Garamond"/>
          <w:color w:val="000000"/>
          <w:sz w:val="24"/>
          <w:szCs w:val="24"/>
        </w:rPr>
        <w:t xml:space="preserve">which is </w:t>
      </w:r>
      <w:r w:rsidRPr="00D2057B">
        <w:rPr>
          <w:rFonts w:ascii="Garamond" w:eastAsia="Times New Roman" w:hAnsi="Garamond"/>
          <w:color w:val="000000"/>
          <w:sz w:val="24"/>
          <w:szCs w:val="24"/>
        </w:rPr>
        <w:t xml:space="preserve">composed of </w:t>
      </w:r>
      <w:r>
        <w:rPr>
          <w:rFonts w:ascii="Garamond" w:eastAsia="Times New Roman" w:hAnsi="Garamond"/>
          <w:color w:val="000000"/>
          <w:sz w:val="24"/>
          <w:szCs w:val="24"/>
        </w:rPr>
        <w:t>crude oil and natural gas, surged</w:t>
      </w:r>
      <w:r w:rsidRPr="00D2057B">
        <w:rPr>
          <w:rFonts w:ascii="Garamond" w:eastAsia="Times New Roman" w:hAnsi="Garamond"/>
          <w:color w:val="000000"/>
          <w:sz w:val="24"/>
          <w:szCs w:val="24"/>
        </w:rPr>
        <w:t xml:space="preserve"> </w:t>
      </w:r>
      <w:r>
        <w:rPr>
          <w:rFonts w:ascii="Garamond" w:eastAsia="Times New Roman" w:hAnsi="Garamond"/>
          <w:color w:val="000000"/>
          <w:sz w:val="24"/>
          <w:szCs w:val="24"/>
        </w:rPr>
        <w:t>on account of increase</w:t>
      </w:r>
      <w:r w:rsidRPr="00D2057B">
        <w:rPr>
          <w:rFonts w:ascii="Garamond" w:eastAsia="Times New Roman" w:hAnsi="Garamond"/>
          <w:color w:val="000000"/>
          <w:sz w:val="24"/>
          <w:szCs w:val="24"/>
        </w:rPr>
        <w:t xml:space="preserve"> </w:t>
      </w:r>
      <w:r>
        <w:rPr>
          <w:rFonts w:ascii="Garamond" w:eastAsia="Times New Roman" w:hAnsi="Garamond"/>
          <w:color w:val="000000"/>
          <w:sz w:val="24"/>
          <w:szCs w:val="24"/>
        </w:rPr>
        <w:t>in their futures prices by 7.6 per cent and 5.4 per cent, respectively. The uptrend in MCX Metal index was driven by the gain in futures prices of copper (9.4 per cent), followed by zinc (5.1 per cent) and brass (1.3 per cent). The downtrend</w:t>
      </w:r>
      <w:r w:rsidRPr="00D2057B">
        <w:rPr>
          <w:rFonts w:ascii="Garamond" w:eastAsia="Times New Roman" w:hAnsi="Garamond"/>
          <w:color w:val="000000"/>
          <w:sz w:val="24"/>
          <w:szCs w:val="24"/>
        </w:rPr>
        <w:t xml:space="preserve"> in </w:t>
      </w:r>
      <w:r>
        <w:rPr>
          <w:rFonts w:ascii="Garamond" w:eastAsia="Times New Roman" w:hAnsi="Garamond"/>
          <w:color w:val="000000"/>
          <w:sz w:val="24"/>
          <w:szCs w:val="24"/>
        </w:rPr>
        <w:t>MCX Agri. i</w:t>
      </w:r>
      <w:r w:rsidRPr="00D2057B">
        <w:rPr>
          <w:rFonts w:ascii="Garamond" w:eastAsia="Times New Roman" w:hAnsi="Garamond"/>
          <w:color w:val="000000"/>
          <w:sz w:val="24"/>
          <w:szCs w:val="24"/>
        </w:rPr>
        <w:t xml:space="preserve">ndex </w:t>
      </w:r>
      <w:r>
        <w:rPr>
          <w:rFonts w:ascii="Garamond" w:eastAsia="Times New Roman" w:hAnsi="Garamond"/>
          <w:color w:val="000000"/>
          <w:sz w:val="24"/>
          <w:szCs w:val="24"/>
        </w:rPr>
        <w:t>in September 2018 was</w:t>
      </w:r>
      <w:r w:rsidRPr="00D2057B">
        <w:rPr>
          <w:rFonts w:ascii="Garamond" w:eastAsia="Times New Roman" w:hAnsi="Garamond"/>
          <w:color w:val="000000"/>
          <w:sz w:val="24"/>
          <w:szCs w:val="24"/>
        </w:rPr>
        <w:t xml:space="preserve"> due to</w:t>
      </w:r>
      <w:r>
        <w:rPr>
          <w:rFonts w:ascii="Garamond" w:eastAsia="Times New Roman" w:hAnsi="Garamond"/>
          <w:color w:val="000000"/>
          <w:sz w:val="24"/>
          <w:szCs w:val="24"/>
        </w:rPr>
        <w:t xml:space="preserve"> decline in futures prices of mentha oil (10.6 per cent), followed by cotton (4.5 per cent), rubber (3.0 per cent) and crude palm oil (0.2 per cent). An increase of 1.6 per cent for NCDEX Dhaanya i</w:t>
      </w:r>
      <w:r w:rsidRPr="00D2057B">
        <w:rPr>
          <w:rFonts w:ascii="Garamond" w:eastAsia="Times New Roman" w:hAnsi="Garamond"/>
          <w:color w:val="000000"/>
          <w:sz w:val="24"/>
          <w:szCs w:val="24"/>
        </w:rPr>
        <w:t xml:space="preserve">ndex </w:t>
      </w:r>
      <w:r>
        <w:rPr>
          <w:rFonts w:ascii="Garamond" w:eastAsia="Times New Roman" w:hAnsi="Garamond"/>
          <w:color w:val="000000"/>
          <w:sz w:val="24"/>
          <w:szCs w:val="24"/>
        </w:rPr>
        <w:t>may be attributed to the in</w:t>
      </w:r>
      <w:r w:rsidRPr="00D2057B">
        <w:rPr>
          <w:rFonts w:ascii="Garamond" w:eastAsia="Times New Roman" w:hAnsi="Garamond"/>
          <w:color w:val="000000"/>
          <w:sz w:val="24"/>
          <w:szCs w:val="24"/>
        </w:rPr>
        <w:t xml:space="preserve">crease in </w:t>
      </w:r>
      <w:r>
        <w:rPr>
          <w:rFonts w:ascii="Garamond" w:eastAsia="Times New Roman" w:hAnsi="Garamond"/>
          <w:color w:val="000000"/>
          <w:sz w:val="24"/>
          <w:szCs w:val="24"/>
        </w:rPr>
        <w:t xml:space="preserve">futures </w:t>
      </w:r>
      <w:r w:rsidRPr="00D2057B">
        <w:rPr>
          <w:rFonts w:ascii="Garamond" w:eastAsia="Times New Roman" w:hAnsi="Garamond"/>
          <w:color w:val="000000"/>
          <w:sz w:val="24"/>
          <w:szCs w:val="24"/>
        </w:rPr>
        <w:t xml:space="preserve">prices of </w:t>
      </w:r>
      <w:r>
        <w:rPr>
          <w:rFonts w:ascii="Garamond" w:eastAsia="Times New Roman" w:hAnsi="Garamond"/>
          <w:color w:val="000000"/>
          <w:sz w:val="24"/>
          <w:szCs w:val="24"/>
        </w:rPr>
        <w:t xml:space="preserve">4 of its components viz. jeera </w:t>
      </w:r>
      <w:r w:rsidRPr="00D2057B">
        <w:rPr>
          <w:rFonts w:ascii="Garamond" w:eastAsia="Times New Roman" w:hAnsi="Garamond"/>
          <w:color w:val="000000"/>
          <w:sz w:val="24"/>
          <w:szCs w:val="24"/>
        </w:rPr>
        <w:t>(</w:t>
      </w:r>
      <w:r>
        <w:rPr>
          <w:rFonts w:ascii="Garamond" w:eastAsia="Times New Roman" w:hAnsi="Garamond"/>
          <w:color w:val="000000"/>
          <w:sz w:val="24"/>
          <w:szCs w:val="24"/>
        </w:rPr>
        <w:t>2.4</w:t>
      </w:r>
      <w:r w:rsidRPr="00D2057B">
        <w:rPr>
          <w:rFonts w:ascii="Garamond" w:eastAsia="Times New Roman" w:hAnsi="Garamond"/>
          <w:color w:val="000000"/>
          <w:sz w:val="24"/>
          <w:szCs w:val="24"/>
        </w:rPr>
        <w:t xml:space="preserve"> per</w:t>
      </w:r>
      <w:r>
        <w:rPr>
          <w:rFonts w:ascii="Garamond" w:eastAsia="Times New Roman" w:hAnsi="Garamond"/>
          <w:color w:val="000000"/>
          <w:sz w:val="24"/>
          <w:szCs w:val="24"/>
        </w:rPr>
        <w:t xml:space="preserve"> </w:t>
      </w:r>
      <w:r w:rsidRPr="00D2057B">
        <w:rPr>
          <w:rFonts w:ascii="Garamond" w:eastAsia="Times New Roman" w:hAnsi="Garamond"/>
          <w:color w:val="000000"/>
          <w:sz w:val="24"/>
          <w:szCs w:val="24"/>
        </w:rPr>
        <w:t xml:space="preserve">cent), </w:t>
      </w:r>
      <w:r>
        <w:rPr>
          <w:rFonts w:ascii="Garamond" w:eastAsia="Times New Roman" w:hAnsi="Garamond"/>
          <w:color w:val="000000"/>
          <w:sz w:val="24"/>
          <w:szCs w:val="24"/>
        </w:rPr>
        <w:t xml:space="preserve">guar seed (2.3 per cent), turmeric (1.2 per cent) and cotton seed oilcake (0.5 per cent). Significant decrease in prices of barley (8.7 per cent), chana (5.6 per cent), RM seed (4.6 per cent), coriander (3.8 per cent), wheat (2.0 per cent), refined soy oil (1.4 per cent), soybean (0.8 per cent), castor seed (0.3 per cent) and maize rabi (0.2 per cent) resisted further increase of Dhaanya index. </w:t>
      </w:r>
    </w:p>
    <w:p w14:paraId="077ADE31" w14:textId="77777777" w:rsidR="00C5624F" w:rsidRDefault="00C5624F" w:rsidP="00C5624F">
      <w:pPr>
        <w:pStyle w:val="ListParagraph"/>
        <w:spacing w:after="0" w:line="240" w:lineRule="auto"/>
        <w:jc w:val="both"/>
        <w:rPr>
          <w:rFonts w:ascii="Garamond" w:eastAsia="Times New Roman" w:hAnsi="Garamond"/>
          <w:color w:val="000000"/>
          <w:sz w:val="24"/>
          <w:szCs w:val="24"/>
        </w:rPr>
      </w:pPr>
    </w:p>
    <w:p w14:paraId="0FAAC3A3" w14:textId="77777777" w:rsidR="00C5624F" w:rsidRDefault="00C5624F" w:rsidP="00C5624F">
      <w:pPr>
        <w:pStyle w:val="ListParagraph"/>
        <w:spacing w:after="0" w:line="240" w:lineRule="auto"/>
        <w:jc w:val="both"/>
        <w:rPr>
          <w:rFonts w:ascii="Garamond" w:hAnsi="Garamond" w:cs="Arial"/>
          <w:bCs/>
          <w:sz w:val="24"/>
          <w:szCs w:val="24"/>
        </w:rPr>
      </w:pPr>
      <w:r>
        <w:rPr>
          <w:rFonts w:ascii="Garamond" w:hAnsi="Garamond" w:cs="Arial"/>
          <w:bCs/>
          <w:sz w:val="24"/>
          <w:szCs w:val="24"/>
        </w:rPr>
        <w:t>Daily volatility during September 2018 of MCX Comdex and NCDEX Dhaanya indices was recorded at 0.7 per cent each</w:t>
      </w:r>
      <w:r w:rsidRPr="00287F5B">
        <w:rPr>
          <w:rFonts w:ascii="Garamond" w:hAnsi="Garamond" w:cs="Arial"/>
          <w:bCs/>
          <w:sz w:val="24"/>
          <w:szCs w:val="24"/>
        </w:rPr>
        <w:t>. Among the component indices of MCX Comdex, MCX Energy recorded highest volatility of 1.</w:t>
      </w:r>
      <w:r>
        <w:rPr>
          <w:rFonts w:ascii="Garamond" w:hAnsi="Garamond" w:cs="Arial"/>
          <w:bCs/>
          <w:sz w:val="24"/>
          <w:szCs w:val="24"/>
        </w:rPr>
        <w:t>3</w:t>
      </w:r>
      <w:r w:rsidRPr="00287F5B">
        <w:rPr>
          <w:rFonts w:ascii="Garamond" w:hAnsi="Garamond" w:cs="Arial"/>
          <w:bCs/>
          <w:sz w:val="24"/>
          <w:szCs w:val="24"/>
        </w:rPr>
        <w:t xml:space="preserve"> per</w:t>
      </w:r>
      <w:r>
        <w:rPr>
          <w:rFonts w:ascii="Garamond" w:hAnsi="Garamond" w:cs="Arial"/>
          <w:bCs/>
          <w:sz w:val="24"/>
          <w:szCs w:val="24"/>
        </w:rPr>
        <w:t xml:space="preserve"> </w:t>
      </w:r>
      <w:r w:rsidRPr="00287F5B">
        <w:rPr>
          <w:rFonts w:ascii="Garamond" w:hAnsi="Garamond" w:cs="Arial"/>
          <w:bCs/>
          <w:sz w:val="24"/>
          <w:szCs w:val="24"/>
        </w:rPr>
        <w:t xml:space="preserve">cent, followed by </w:t>
      </w:r>
      <w:r>
        <w:rPr>
          <w:rFonts w:ascii="Garamond" w:hAnsi="Garamond" w:cs="Arial"/>
          <w:bCs/>
          <w:sz w:val="24"/>
          <w:szCs w:val="24"/>
        </w:rPr>
        <w:t xml:space="preserve">MCX Metal (0.9 per cent) and </w:t>
      </w:r>
      <w:r w:rsidRPr="00287F5B">
        <w:rPr>
          <w:rFonts w:ascii="Garamond" w:hAnsi="Garamond" w:cs="Arial"/>
          <w:bCs/>
          <w:sz w:val="24"/>
          <w:szCs w:val="24"/>
        </w:rPr>
        <w:t>MCX Agri</w:t>
      </w:r>
      <w:r>
        <w:rPr>
          <w:rFonts w:ascii="Garamond" w:hAnsi="Garamond" w:cs="Arial"/>
          <w:bCs/>
          <w:sz w:val="24"/>
          <w:szCs w:val="24"/>
        </w:rPr>
        <w:t>.</w:t>
      </w:r>
      <w:r w:rsidRPr="00287F5B">
        <w:rPr>
          <w:rFonts w:ascii="Garamond" w:hAnsi="Garamond" w:cs="Arial"/>
          <w:bCs/>
          <w:sz w:val="24"/>
          <w:szCs w:val="24"/>
        </w:rPr>
        <w:t xml:space="preserve"> </w:t>
      </w:r>
      <w:r>
        <w:rPr>
          <w:rFonts w:ascii="Garamond" w:hAnsi="Garamond" w:cs="Arial"/>
          <w:bCs/>
          <w:sz w:val="24"/>
          <w:szCs w:val="24"/>
        </w:rPr>
        <w:t>(</w:t>
      </w:r>
      <w:r w:rsidRPr="00287F5B">
        <w:rPr>
          <w:rFonts w:ascii="Garamond" w:hAnsi="Garamond" w:cs="Arial"/>
          <w:bCs/>
          <w:sz w:val="24"/>
          <w:szCs w:val="24"/>
        </w:rPr>
        <w:t>0.</w:t>
      </w:r>
      <w:r>
        <w:rPr>
          <w:rFonts w:ascii="Garamond" w:hAnsi="Garamond" w:cs="Arial"/>
          <w:bCs/>
          <w:sz w:val="24"/>
          <w:szCs w:val="24"/>
        </w:rPr>
        <w:t>5</w:t>
      </w:r>
      <w:r w:rsidRPr="00287F5B">
        <w:rPr>
          <w:rFonts w:ascii="Garamond" w:hAnsi="Garamond" w:cs="Arial"/>
          <w:bCs/>
          <w:sz w:val="24"/>
          <w:szCs w:val="24"/>
        </w:rPr>
        <w:t xml:space="preserve"> per</w:t>
      </w:r>
      <w:r>
        <w:rPr>
          <w:rFonts w:ascii="Garamond" w:hAnsi="Garamond" w:cs="Arial"/>
          <w:bCs/>
          <w:sz w:val="24"/>
          <w:szCs w:val="24"/>
        </w:rPr>
        <w:t xml:space="preserve"> </w:t>
      </w:r>
      <w:r w:rsidRPr="00287F5B">
        <w:rPr>
          <w:rFonts w:ascii="Garamond" w:hAnsi="Garamond" w:cs="Arial"/>
          <w:bCs/>
          <w:sz w:val="24"/>
          <w:szCs w:val="24"/>
        </w:rPr>
        <w:t>cent).  The daily</w:t>
      </w:r>
      <w:r>
        <w:rPr>
          <w:rFonts w:ascii="Garamond" w:hAnsi="Garamond" w:cs="Arial"/>
          <w:bCs/>
          <w:sz w:val="24"/>
          <w:szCs w:val="24"/>
        </w:rPr>
        <w:t xml:space="preserve"> </w:t>
      </w:r>
      <w:r w:rsidRPr="00151B1F">
        <w:rPr>
          <w:rFonts w:ascii="Garamond" w:hAnsi="Garamond" w:cs="Arial"/>
          <w:bCs/>
          <w:sz w:val="24"/>
          <w:szCs w:val="24"/>
        </w:rPr>
        <w:t xml:space="preserve">volatility and </w:t>
      </w:r>
      <w:r>
        <w:rPr>
          <w:rFonts w:ascii="Garamond" w:hAnsi="Garamond" w:cs="Arial"/>
          <w:bCs/>
          <w:sz w:val="24"/>
          <w:szCs w:val="24"/>
        </w:rPr>
        <w:t xml:space="preserve">variation over the previous month for indices on </w:t>
      </w:r>
      <w:r w:rsidRPr="00151B1F">
        <w:rPr>
          <w:rFonts w:ascii="Garamond" w:hAnsi="Garamond" w:cs="Arial"/>
          <w:bCs/>
          <w:sz w:val="24"/>
          <w:szCs w:val="24"/>
        </w:rPr>
        <w:t xml:space="preserve">commodity </w:t>
      </w:r>
      <w:r>
        <w:rPr>
          <w:rFonts w:ascii="Garamond" w:hAnsi="Garamond" w:cs="Arial"/>
          <w:bCs/>
          <w:sz w:val="24"/>
          <w:szCs w:val="24"/>
        </w:rPr>
        <w:t>derivatives</w:t>
      </w:r>
      <w:r w:rsidRPr="00151B1F">
        <w:rPr>
          <w:rFonts w:ascii="Garamond" w:hAnsi="Garamond" w:cs="Arial"/>
          <w:bCs/>
          <w:sz w:val="24"/>
          <w:szCs w:val="24"/>
        </w:rPr>
        <w:t xml:space="preserve"> is shown in the </w:t>
      </w:r>
      <w:r>
        <w:rPr>
          <w:rFonts w:ascii="Garamond" w:hAnsi="Garamond" w:cs="Arial"/>
          <w:bCs/>
          <w:sz w:val="24"/>
          <w:szCs w:val="24"/>
        </w:rPr>
        <w:t xml:space="preserve">Figure 11 </w:t>
      </w:r>
      <w:r w:rsidRPr="00151B1F">
        <w:rPr>
          <w:rFonts w:ascii="Garamond" w:hAnsi="Garamond" w:cs="Arial"/>
          <w:bCs/>
          <w:sz w:val="24"/>
          <w:szCs w:val="24"/>
        </w:rPr>
        <w:t>below:</w:t>
      </w:r>
      <w:r>
        <w:rPr>
          <w:rFonts w:ascii="Garamond" w:hAnsi="Garamond" w:cs="Arial"/>
          <w:bCs/>
          <w:sz w:val="24"/>
          <w:szCs w:val="24"/>
        </w:rPr>
        <w:t xml:space="preserve"> </w:t>
      </w:r>
    </w:p>
    <w:p w14:paraId="252002C8" w14:textId="77777777" w:rsidR="00C5624F" w:rsidRDefault="00C5624F" w:rsidP="00C5624F">
      <w:pPr>
        <w:pStyle w:val="ListParagraph"/>
        <w:spacing w:after="0" w:line="240" w:lineRule="auto"/>
        <w:jc w:val="both"/>
        <w:rPr>
          <w:rFonts w:ascii="Garamond" w:hAnsi="Garamond" w:cs="Arial"/>
          <w:bCs/>
          <w:sz w:val="24"/>
          <w:szCs w:val="24"/>
        </w:rPr>
      </w:pPr>
    </w:p>
    <w:p w14:paraId="58177FD5" w14:textId="77777777" w:rsidR="00C5624F" w:rsidRDefault="00C5624F" w:rsidP="00C5624F">
      <w:pPr>
        <w:pStyle w:val="ListParagraph"/>
        <w:spacing w:after="0" w:line="240" w:lineRule="auto"/>
        <w:ind w:left="1843" w:hanging="1123"/>
        <w:jc w:val="both"/>
        <w:rPr>
          <w:rFonts w:ascii="Garamond" w:hAnsi="Garamond" w:cs="Arial"/>
          <w:b/>
          <w:bCs/>
          <w:color w:val="2E74B5" w:themeColor="accent1" w:themeShade="BF"/>
          <w:sz w:val="24"/>
          <w:szCs w:val="24"/>
        </w:rPr>
      </w:pPr>
      <w:r w:rsidRPr="00A01EC1">
        <w:rPr>
          <w:rFonts w:ascii="Garamond" w:hAnsi="Garamond" w:cs="Arial"/>
          <w:b/>
          <w:bCs/>
          <w:color w:val="2E74B5" w:themeColor="accent1" w:themeShade="BF"/>
          <w:sz w:val="24"/>
          <w:szCs w:val="24"/>
        </w:rPr>
        <w:t xml:space="preserve">Figure </w:t>
      </w:r>
      <w:r>
        <w:rPr>
          <w:rFonts w:ascii="Garamond" w:hAnsi="Garamond" w:cs="Arial"/>
          <w:b/>
          <w:bCs/>
          <w:color w:val="2E74B5" w:themeColor="accent1" w:themeShade="BF"/>
          <w:sz w:val="24"/>
          <w:szCs w:val="24"/>
        </w:rPr>
        <w:t>11</w:t>
      </w:r>
      <w:r w:rsidRPr="00A01EC1">
        <w:rPr>
          <w:rFonts w:ascii="Garamond" w:hAnsi="Garamond" w:cs="Arial"/>
          <w:b/>
          <w:bCs/>
          <w:color w:val="2E74B5" w:themeColor="accent1" w:themeShade="BF"/>
          <w:sz w:val="24"/>
          <w:szCs w:val="24"/>
        </w:rPr>
        <w:t>: Variation (point-to-point) and daily vol</w:t>
      </w:r>
      <w:r>
        <w:rPr>
          <w:rFonts w:ascii="Garamond" w:hAnsi="Garamond" w:cs="Arial"/>
          <w:b/>
          <w:bCs/>
          <w:color w:val="2E74B5" w:themeColor="accent1" w:themeShade="BF"/>
          <w:sz w:val="24"/>
          <w:szCs w:val="24"/>
        </w:rPr>
        <w:t>atility of commodity indices in September,</w:t>
      </w:r>
      <w:r w:rsidRPr="00A01EC1">
        <w:rPr>
          <w:rFonts w:ascii="Garamond" w:hAnsi="Garamond" w:cs="Arial"/>
          <w:b/>
          <w:bCs/>
          <w:color w:val="2E74B5" w:themeColor="accent1" w:themeShade="BF"/>
          <w:sz w:val="24"/>
          <w:szCs w:val="24"/>
        </w:rPr>
        <w:t xml:space="preserve"> 2018 (per cent)</w:t>
      </w:r>
    </w:p>
    <w:p w14:paraId="188FEBAB" w14:textId="77777777" w:rsidR="00C5624F" w:rsidRPr="00A01EC1" w:rsidRDefault="00C5624F" w:rsidP="00C5624F">
      <w:pPr>
        <w:pStyle w:val="ListParagraph"/>
        <w:spacing w:after="0" w:line="240" w:lineRule="auto"/>
        <w:ind w:left="1843" w:hanging="1123"/>
        <w:jc w:val="both"/>
        <w:rPr>
          <w:rFonts w:ascii="Garamond" w:hAnsi="Garamond" w:cs="Arial"/>
          <w:b/>
          <w:bCs/>
          <w:color w:val="2E74B5" w:themeColor="accent1" w:themeShade="BF"/>
          <w:sz w:val="24"/>
          <w:szCs w:val="24"/>
        </w:rPr>
      </w:pPr>
    </w:p>
    <w:p w14:paraId="6450B811" w14:textId="77777777" w:rsidR="00C5624F" w:rsidRPr="00D964C2" w:rsidRDefault="00C5624F" w:rsidP="00C5624F">
      <w:pPr>
        <w:pStyle w:val="ListParagraph"/>
        <w:spacing w:after="0" w:line="480" w:lineRule="auto"/>
        <w:jc w:val="both"/>
        <w:rPr>
          <w:rFonts w:ascii="Garamond" w:hAnsi="Garamond" w:cs="Arial"/>
          <w:bCs/>
          <w:sz w:val="24"/>
          <w:szCs w:val="24"/>
        </w:rPr>
      </w:pPr>
      <w:r>
        <w:rPr>
          <w:noProof/>
          <w:lang w:val="en-IN" w:eastAsia="en-IN"/>
        </w:rPr>
        <w:drawing>
          <wp:inline distT="0" distB="0" distL="0" distR="0" wp14:anchorId="59040EDE" wp14:editId="0BBB41AE">
            <wp:extent cx="5391150" cy="25146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D964C2">
        <w:rPr>
          <w:rFonts w:ascii="Garamond" w:hAnsi="Garamond" w:cs="Arial"/>
          <w:b/>
          <w:bCs/>
          <w:sz w:val="18"/>
          <w:szCs w:val="18"/>
        </w:rPr>
        <w:t>Source: MCX and NCDEX</w:t>
      </w:r>
    </w:p>
    <w:p w14:paraId="07B23FD1" w14:textId="278C266F" w:rsidR="00C5624F" w:rsidRPr="00C814A1" w:rsidRDefault="00C814A1" w:rsidP="00C814A1">
      <w:pPr>
        <w:pStyle w:val="ListParagraph"/>
        <w:spacing w:after="0" w:line="240" w:lineRule="auto"/>
        <w:jc w:val="both"/>
        <w:rPr>
          <w:rFonts w:ascii="Garamond" w:eastAsia="Times New Roman" w:hAnsi="Garamond"/>
          <w:b/>
          <w:color w:val="000000"/>
          <w:sz w:val="24"/>
          <w:szCs w:val="24"/>
        </w:rPr>
      </w:pPr>
      <w:r>
        <w:rPr>
          <w:rFonts w:ascii="Garamond" w:eastAsia="Times New Roman" w:hAnsi="Garamond"/>
          <w:b/>
          <w:color w:val="000000"/>
          <w:sz w:val="24"/>
          <w:szCs w:val="24"/>
        </w:rPr>
        <w:t xml:space="preserve">B. </w:t>
      </w:r>
      <w:r w:rsidR="00C5624F" w:rsidRPr="00C814A1">
        <w:rPr>
          <w:rFonts w:ascii="Garamond" w:eastAsia="Times New Roman" w:hAnsi="Garamond"/>
          <w:b/>
          <w:color w:val="000000"/>
          <w:sz w:val="24"/>
          <w:szCs w:val="24"/>
        </w:rPr>
        <w:t xml:space="preserve">Turnover </w:t>
      </w:r>
    </w:p>
    <w:p w14:paraId="5C46EE05" w14:textId="77777777" w:rsidR="00C5624F" w:rsidRDefault="00C5624F" w:rsidP="00C5624F">
      <w:pPr>
        <w:pStyle w:val="ListParagraph"/>
        <w:shd w:val="clear" w:color="auto" w:fill="FFFFFF" w:themeFill="background1"/>
        <w:spacing w:after="0" w:line="240" w:lineRule="auto"/>
        <w:jc w:val="both"/>
        <w:rPr>
          <w:rFonts w:ascii="Garamond" w:hAnsi="Garamond" w:cs="Arial"/>
          <w:bCs/>
          <w:sz w:val="24"/>
          <w:szCs w:val="24"/>
        </w:rPr>
      </w:pPr>
    </w:p>
    <w:p w14:paraId="28261F64" w14:textId="77777777" w:rsidR="00C5624F" w:rsidRPr="00337122" w:rsidRDefault="00C5624F" w:rsidP="00C5624F">
      <w:pPr>
        <w:pStyle w:val="ListParagraph"/>
        <w:shd w:val="clear" w:color="auto" w:fill="FFFFFF" w:themeFill="background1"/>
        <w:spacing w:after="0" w:line="240" w:lineRule="auto"/>
        <w:jc w:val="both"/>
        <w:rPr>
          <w:rFonts w:ascii="Garamond" w:hAnsi="Garamond" w:cs="Arial"/>
          <w:bCs/>
          <w:sz w:val="24"/>
          <w:szCs w:val="24"/>
        </w:rPr>
      </w:pPr>
      <w:r w:rsidRPr="00337122">
        <w:rPr>
          <w:rFonts w:ascii="Garamond" w:hAnsi="Garamond" w:cs="Arial"/>
          <w:bCs/>
          <w:sz w:val="24"/>
          <w:szCs w:val="24"/>
        </w:rPr>
        <w:t xml:space="preserve">During </w:t>
      </w:r>
      <w:r>
        <w:rPr>
          <w:rFonts w:ascii="Garamond" w:hAnsi="Garamond" w:cs="Arial"/>
          <w:bCs/>
          <w:sz w:val="24"/>
          <w:szCs w:val="24"/>
        </w:rPr>
        <w:t>September</w:t>
      </w:r>
      <w:r w:rsidRPr="00337122">
        <w:rPr>
          <w:rFonts w:ascii="Garamond" w:hAnsi="Garamond" w:cs="Arial"/>
          <w:bCs/>
          <w:sz w:val="24"/>
          <w:szCs w:val="24"/>
        </w:rPr>
        <w:t xml:space="preserve"> 2018, </w:t>
      </w:r>
      <w:r>
        <w:rPr>
          <w:rFonts w:ascii="Garamond" w:hAnsi="Garamond" w:cs="Arial"/>
          <w:bCs/>
          <w:sz w:val="24"/>
          <w:szCs w:val="24"/>
        </w:rPr>
        <w:t xml:space="preserve">among </w:t>
      </w:r>
      <w:r w:rsidRPr="00337122">
        <w:rPr>
          <w:rFonts w:ascii="Garamond" w:hAnsi="Garamond" w:cs="Arial"/>
          <w:bCs/>
          <w:sz w:val="24"/>
          <w:szCs w:val="24"/>
        </w:rPr>
        <w:t>the four national commodity derivative exchanges</w:t>
      </w:r>
      <w:r w:rsidR="00F046EA">
        <w:rPr>
          <w:rFonts w:ascii="Garamond" w:hAnsi="Garamond" w:cs="Arial"/>
          <w:bCs/>
          <w:sz w:val="24"/>
          <w:szCs w:val="24"/>
        </w:rPr>
        <w:t>,</w:t>
      </w:r>
      <w:r w:rsidRPr="00337122">
        <w:rPr>
          <w:rFonts w:ascii="Garamond" w:hAnsi="Garamond" w:cs="Arial"/>
          <w:bCs/>
          <w:sz w:val="24"/>
          <w:szCs w:val="24"/>
        </w:rPr>
        <w:t xml:space="preserve"> NCDEX</w:t>
      </w:r>
      <w:r>
        <w:rPr>
          <w:rFonts w:ascii="Garamond" w:hAnsi="Garamond" w:cs="Arial"/>
          <w:bCs/>
          <w:sz w:val="24"/>
          <w:szCs w:val="24"/>
        </w:rPr>
        <w:t xml:space="preserve"> and </w:t>
      </w:r>
      <w:r w:rsidRPr="00337122">
        <w:rPr>
          <w:rFonts w:ascii="Garamond" w:hAnsi="Garamond" w:cs="Arial"/>
          <w:bCs/>
          <w:sz w:val="24"/>
          <w:szCs w:val="24"/>
        </w:rPr>
        <w:t>NMCE</w:t>
      </w:r>
      <w:r>
        <w:rPr>
          <w:rFonts w:ascii="Garamond" w:hAnsi="Garamond" w:cs="Arial"/>
          <w:bCs/>
          <w:sz w:val="24"/>
          <w:szCs w:val="24"/>
        </w:rPr>
        <w:t xml:space="preserve"> recorded a decrease in turnover, whereas MCX</w:t>
      </w:r>
      <w:r w:rsidRPr="00337122">
        <w:rPr>
          <w:rFonts w:ascii="Garamond" w:hAnsi="Garamond" w:cs="Arial"/>
          <w:bCs/>
          <w:sz w:val="24"/>
          <w:szCs w:val="24"/>
        </w:rPr>
        <w:t xml:space="preserve"> and ICEX have recorded a</w:t>
      </w:r>
      <w:r>
        <w:rPr>
          <w:rFonts w:ascii="Garamond" w:hAnsi="Garamond" w:cs="Arial"/>
          <w:bCs/>
          <w:sz w:val="24"/>
          <w:szCs w:val="24"/>
        </w:rPr>
        <w:t>n</w:t>
      </w:r>
      <w:r w:rsidRPr="00337122">
        <w:rPr>
          <w:rFonts w:ascii="Garamond" w:hAnsi="Garamond" w:cs="Arial"/>
          <w:bCs/>
          <w:sz w:val="24"/>
          <w:szCs w:val="24"/>
        </w:rPr>
        <w:t xml:space="preserve"> </w:t>
      </w:r>
      <w:r>
        <w:rPr>
          <w:rFonts w:ascii="Garamond" w:hAnsi="Garamond" w:cs="Arial"/>
          <w:bCs/>
          <w:sz w:val="24"/>
          <w:szCs w:val="24"/>
        </w:rPr>
        <w:t>in</w:t>
      </w:r>
      <w:r w:rsidRPr="00337122">
        <w:rPr>
          <w:rFonts w:ascii="Garamond" w:hAnsi="Garamond" w:cs="Arial"/>
          <w:bCs/>
          <w:sz w:val="24"/>
          <w:szCs w:val="24"/>
        </w:rPr>
        <w:t xml:space="preserve">crease in turnover. </w:t>
      </w:r>
    </w:p>
    <w:p w14:paraId="598F168B" w14:textId="77777777" w:rsidR="00C5624F" w:rsidRPr="00337122" w:rsidRDefault="00C5624F" w:rsidP="00C5624F">
      <w:pPr>
        <w:pStyle w:val="ListParagraph"/>
        <w:spacing w:after="0" w:line="240" w:lineRule="auto"/>
        <w:jc w:val="both"/>
        <w:rPr>
          <w:rFonts w:ascii="Garamond" w:hAnsi="Garamond" w:cs="Arial"/>
          <w:bCs/>
          <w:sz w:val="24"/>
          <w:szCs w:val="24"/>
        </w:rPr>
      </w:pPr>
    </w:p>
    <w:p w14:paraId="6160BCD1" w14:textId="77777777" w:rsidR="00C5624F" w:rsidRPr="00337122" w:rsidRDefault="00C5624F" w:rsidP="00C5624F">
      <w:pPr>
        <w:pStyle w:val="ListParagraph"/>
        <w:spacing w:after="0" w:line="240" w:lineRule="auto"/>
        <w:jc w:val="both"/>
        <w:rPr>
          <w:rFonts w:ascii="Garamond" w:hAnsi="Garamond" w:cs="Arial"/>
          <w:bCs/>
          <w:sz w:val="24"/>
          <w:szCs w:val="24"/>
        </w:rPr>
      </w:pPr>
      <w:r w:rsidRPr="00337122">
        <w:rPr>
          <w:rFonts w:ascii="Garamond" w:hAnsi="Garamond" w:cs="Arial"/>
          <w:bCs/>
          <w:sz w:val="24"/>
          <w:szCs w:val="24"/>
        </w:rPr>
        <w:t xml:space="preserve">The total turnover at all the four national exchanges in </w:t>
      </w:r>
      <w:r>
        <w:rPr>
          <w:rFonts w:ascii="Garamond" w:hAnsi="Garamond" w:cs="Arial"/>
          <w:bCs/>
          <w:sz w:val="24"/>
          <w:szCs w:val="24"/>
        </w:rPr>
        <w:t>September</w:t>
      </w:r>
      <w:r w:rsidR="006626C6">
        <w:rPr>
          <w:rFonts w:ascii="Garamond" w:hAnsi="Garamond" w:cs="Arial"/>
          <w:bCs/>
          <w:sz w:val="24"/>
          <w:szCs w:val="24"/>
        </w:rPr>
        <w:t xml:space="preserve"> 2018</w:t>
      </w:r>
      <w:r w:rsidRPr="00337122">
        <w:rPr>
          <w:rFonts w:ascii="Garamond" w:hAnsi="Garamond" w:cs="Arial"/>
          <w:bCs/>
          <w:sz w:val="24"/>
          <w:szCs w:val="24"/>
        </w:rPr>
        <w:t xml:space="preserve"> stood at </w:t>
      </w:r>
      <w:r w:rsidRPr="00337122">
        <w:rPr>
          <w:rFonts w:ascii="Rupee Foradian" w:hAnsi="Rupee Foradian" w:cs="Tahoma"/>
          <w:bCs/>
          <w:sz w:val="24"/>
          <w:szCs w:val="24"/>
        </w:rPr>
        <w:t>`</w:t>
      </w:r>
      <w:r w:rsidRPr="00855D3D">
        <w:rPr>
          <w:rFonts w:ascii="Garamond" w:hAnsi="Garamond" w:cs="Arial"/>
          <w:bCs/>
          <w:sz w:val="24"/>
          <w:szCs w:val="24"/>
        </w:rPr>
        <w:t>6,34,549</w:t>
      </w:r>
      <w:r w:rsidRPr="00337122">
        <w:rPr>
          <w:rFonts w:ascii="Garamond" w:hAnsi="Garamond" w:cs="Arial"/>
          <w:bCs/>
          <w:sz w:val="24"/>
          <w:szCs w:val="24"/>
        </w:rPr>
        <w:t xml:space="preserve"> crore, a</w:t>
      </w:r>
      <w:r>
        <w:rPr>
          <w:rFonts w:ascii="Garamond" w:hAnsi="Garamond" w:cs="Arial"/>
          <w:bCs/>
          <w:sz w:val="24"/>
          <w:szCs w:val="24"/>
        </w:rPr>
        <w:t>n</w:t>
      </w:r>
      <w:r w:rsidRPr="00337122">
        <w:rPr>
          <w:rFonts w:ascii="Garamond" w:hAnsi="Garamond" w:cs="Arial"/>
          <w:bCs/>
          <w:sz w:val="24"/>
          <w:szCs w:val="24"/>
        </w:rPr>
        <w:t xml:space="preserve"> </w:t>
      </w:r>
      <w:r>
        <w:rPr>
          <w:rFonts w:ascii="Garamond" w:hAnsi="Garamond" w:cs="Arial"/>
          <w:bCs/>
          <w:sz w:val="24"/>
          <w:szCs w:val="24"/>
        </w:rPr>
        <w:t>in</w:t>
      </w:r>
      <w:r w:rsidRPr="00337122">
        <w:rPr>
          <w:rFonts w:ascii="Garamond" w:hAnsi="Garamond" w:cs="Arial"/>
          <w:bCs/>
          <w:sz w:val="24"/>
          <w:szCs w:val="24"/>
        </w:rPr>
        <w:t xml:space="preserve">crease of </w:t>
      </w:r>
      <w:r>
        <w:rPr>
          <w:rFonts w:ascii="Garamond" w:hAnsi="Garamond" w:cs="Arial"/>
          <w:bCs/>
          <w:sz w:val="24"/>
          <w:szCs w:val="24"/>
        </w:rPr>
        <w:t>8.9</w:t>
      </w:r>
      <w:r w:rsidRPr="00337122">
        <w:rPr>
          <w:rFonts w:ascii="Garamond" w:hAnsi="Garamond" w:cs="Arial"/>
          <w:bCs/>
          <w:sz w:val="24"/>
          <w:szCs w:val="24"/>
        </w:rPr>
        <w:t xml:space="preserve"> per cent over the turnover of </w:t>
      </w:r>
      <w:r w:rsidRPr="00337122">
        <w:rPr>
          <w:rFonts w:ascii="Tahoma" w:hAnsi="Tahoma" w:cs="Tahoma"/>
          <w:bCs/>
          <w:sz w:val="24"/>
          <w:szCs w:val="24"/>
        </w:rPr>
        <w:t>₹</w:t>
      </w:r>
      <w:r w:rsidRPr="00855D3D">
        <w:rPr>
          <w:rFonts w:ascii="Garamond" w:hAnsi="Garamond" w:cs="Arial"/>
          <w:bCs/>
          <w:sz w:val="24"/>
          <w:szCs w:val="24"/>
        </w:rPr>
        <w:t>5,82,499</w:t>
      </w:r>
      <w:r w:rsidRPr="00337122">
        <w:rPr>
          <w:rFonts w:ascii="Garamond" w:hAnsi="Garamond" w:cs="Arial"/>
          <w:bCs/>
          <w:sz w:val="24"/>
          <w:szCs w:val="24"/>
        </w:rPr>
        <w:t xml:space="preserve"> crore during the previous month. The agricultural segment contributed </w:t>
      </w:r>
      <w:r w:rsidRPr="00337122">
        <w:rPr>
          <w:rFonts w:ascii="Rupee Foradian" w:hAnsi="Rupee Foradian" w:cs="Arial"/>
          <w:bCs/>
          <w:sz w:val="24"/>
          <w:szCs w:val="24"/>
        </w:rPr>
        <w:t>`</w:t>
      </w:r>
      <w:r w:rsidRPr="00855D3D">
        <w:rPr>
          <w:rFonts w:ascii="Garamond" w:hAnsi="Garamond" w:cs="Arial"/>
          <w:bCs/>
          <w:sz w:val="24"/>
          <w:szCs w:val="24"/>
        </w:rPr>
        <w:t>46,858</w:t>
      </w:r>
      <w:r w:rsidRPr="00337122">
        <w:rPr>
          <w:rFonts w:ascii="Garamond" w:hAnsi="Garamond" w:cs="Arial"/>
          <w:bCs/>
          <w:sz w:val="24"/>
          <w:szCs w:val="24"/>
        </w:rPr>
        <w:t xml:space="preserve"> crore (</w:t>
      </w:r>
      <w:r>
        <w:rPr>
          <w:rFonts w:ascii="Garamond" w:hAnsi="Garamond" w:cs="Arial"/>
          <w:bCs/>
          <w:sz w:val="24"/>
          <w:szCs w:val="24"/>
        </w:rPr>
        <w:t>7.4</w:t>
      </w:r>
      <w:r w:rsidRPr="00337122">
        <w:rPr>
          <w:rFonts w:ascii="Garamond" w:hAnsi="Garamond" w:cs="Arial"/>
          <w:bCs/>
          <w:sz w:val="24"/>
          <w:szCs w:val="24"/>
        </w:rPr>
        <w:t xml:space="preserve"> per cent)</w:t>
      </w:r>
      <w:r>
        <w:rPr>
          <w:rFonts w:ascii="Garamond" w:hAnsi="Garamond" w:cs="Arial"/>
          <w:bCs/>
          <w:sz w:val="24"/>
          <w:szCs w:val="24"/>
        </w:rPr>
        <w:t>,</w:t>
      </w:r>
      <w:r w:rsidRPr="00337122">
        <w:rPr>
          <w:rFonts w:ascii="Garamond" w:hAnsi="Garamond" w:cs="Arial"/>
          <w:bCs/>
          <w:sz w:val="24"/>
          <w:szCs w:val="24"/>
        </w:rPr>
        <w:t xml:space="preserve"> while the non-agricultural segment contributed </w:t>
      </w:r>
      <w:r w:rsidRPr="00337122">
        <w:rPr>
          <w:rFonts w:ascii="Rupee Foradian" w:hAnsi="Rupee Foradian" w:cs="Tahoma"/>
          <w:bCs/>
          <w:sz w:val="24"/>
          <w:szCs w:val="24"/>
        </w:rPr>
        <w:t>`</w:t>
      </w:r>
      <w:r w:rsidRPr="00337122">
        <w:rPr>
          <w:rFonts w:ascii="Garamond" w:hAnsi="Garamond" w:cs="Arial"/>
          <w:bCs/>
          <w:sz w:val="24"/>
          <w:szCs w:val="24"/>
        </w:rPr>
        <w:t>5,</w:t>
      </w:r>
      <w:r>
        <w:rPr>
          <w:rFonts w:ascii="Garamond" w:hAnsi="Garamond" w:cs="Arial"/>
          <w:bCs/>
          <w:sz w:val="24"/>
          <w:szCs w:val="24"/>
        </w:rPr>
        <w:t>87,691</w:t>
      </w:r>
      <w:r w:rsidRPr="00337122">
        <w:rPr>
          <w:rFonts w:ascii="Garamond" w:hAnsi="Garamond" w:cs="Arial"/>
          <w:bCs/>
          <w:sz w:val="24"/>
          <w:szCs w:val="24"/>
        </w:rPr>
        <w:t xml:space="preserve"> crore (</w:t>
      </w:r>
      <w:r>
        <w:rPr>
          <w:rFonts w:ascii="Garamond" w:hAnsi="Garamond" w:cs="Arial"/>
          <w:bCs/>
          <w:sz w:val="24"/>
          <w:szCs w:val="24"/>
        </w:rPr>
        <w:t>92.6</w:t>
      </w:r>
      <w:r w:rsidRPr="00337122">
        <w:rPr>
          <w:rFonts w:ascii="Garamond" w:hAnsi="Garamond" w:cs="Arial"/>
          <w:bCs/>
          <w:sz w:val="24"/>
          <w:szCs w:val="24"/>
        </w:rPr>
        <w:t xml:space="preserve"> per cent) to the total turnover during the month. Among, the non-agricultural commodities segments, </w:t>
      </w:r>
      <w:r>
        <w:rPr>
          <w:rFonts w:ascii="Garamond" w:hAnsi="Garamond" w:cs="Arial"/>
          <w:bCs/>
          <w:sz w:val="24"/>
          <w:szCs w:val="24"/>
        </w:rPr>
        <w:t>b</w:t>
      </w:r>
      <w:r w:rsidRPr="00337122">
        <w:rPr>
          <w:rFonts w:ascii="Garamond" w:hAnsi="Garamond" w:cs="Arial"/>
          <w:bCs/>
          <w:sz w:val="24"/>
          <w:szCs w:val="24"/>
        </w:rPr>
        <w:t xml:space="preserve">ullion, </w:t>
      </w:r>
      <w:r>
        <w:rPr>
          <w:rFonts w:ascii="Garamond" w:hAnsi="Garamond" w:cs="Arial"/>
          <w:bCs/>
          <w:sz w:val="24"/>
          <w:szCs w:val="24"/>
        </w:rPr>
        <w:t>m</w:t>
      </w:r>
      <w:r w:rsidRPr="00337122">
        <w:rPr>
          <w:rFonts w:ascii="Garamond" w:hAnsi="Garamond" w:cs="Arial"/>
          <w:bCs/>
          <w:sz w:val="24"/>
          <w:szCs w:val="24"/>
        </w:rPr>
        <w:t xml:space="preserve">etals and </w:t>
      </w:r>
      <w:r>
        <w:rPr>
          <w:rFonts w:ascii="Garamond" w:hAnsi="Garamond" w:cs="Arial"/>
          <w:bCs/>
          <w:sz w:val="24"/>
          <w:szCs w:val="24"/>
        </w:rPr>
        <w:t>e</w:t>
      </w:r>
      <w:r w:rsidRPr="00337122">
        <w:rPr>
          <w:rFonts w:ascii="Garamond" w:hAnsi="Garamond" w:cs="Arial"/>
          <w:bCs/>
          <w:sz w:val="24"/>
          <w:szCs w:val="24"/>
        </w:rPr>
        <w:t xml:space="preserve">nergy are traded at MCX, whereas, </w:t>
      </w:r>
      <w:r>
        <w:rPr>
          <w:rFonts w:ascii="Garamond" w:hAnsi="Garamond" w:cs="Arial"/>
          <w:bCs/>
          <w:sz w:val="24"/>
          <w:szCs w:val="24"/>
        </w:rPr>
        <w:t xml:space="preserve">diamond futures of gems &amp; stones segment, steel long of metal segment and castor seed, guar seed, isabgul seed, raw jute, rubber, RM seed of agri. segments </w:t>
      </w:r>
      <w:r w:rsidRPr="00337122">
        <w:rPr>
          <w:rFonts w:ascii="Garamond" w:hAnsi="Garamond" w:cs="Arial"/>
          <w:bCs/>
          <w:sz w:val="24"/>
          <w:szCs w:val="24"/>
        </w:rPr>
        <w:t xml:space="preserve">are traded at ICEX. </w:t>
      </w:r>
    </w:p>
    <w:p w14:paraId="57389476" w14:textId="77777777" w:rsidR="00C5624F" w:rsidRPr="00337122" w:rsidRDefault="00C5624F" w:rsidP="00C5624F">
      <w:pPr>
        <w:pStyle w:val="ListParagraph"/>
        <w:shd w:val="clear" w:color="auto" w:fill="FFFFFF" w:themeFill="background1"/>
        <w:spacing w:after="0" w:line="240" w:lineRule="auto"/>
        <w:jc w:val="both"/>
        <w:rPr>
          <w:rFonts w:ascii="Garamond" w:hAnsi="Garamond" w:cs="Arial"/>
          <w:bCs/>
          <w:sz w:val="24"/>
          <w:szCs w:val="24"/>
        </w:rPr>
      </w:pPr>
    </w:p>
    <w:p w14:paraId="30A45A58" w14:textId="77777777" w:rsidR="00C5624F" w:rsidRPr="00337122" w:rsidRDefault="00C5624F" w:rsidP="00C5624F">
      <w:pPr>
        <w:pStyle w:val="ListParagraph"/>
        <w:spacing w:after="0" w:line="240" w:lineRule="auto"/>
        <w:jc w:val="both"/>
        <w:rPr>
          <w:rFonts w:ascii="Garamond" w:hAnsi="Garamond" w:cs="Arial"/>
          <w:bCs/>
          <w:sz w:val="24"/>
          <w:szCs w:val="24"/>
        </w:rPr>
      </w:pPr>
      <w:r w:rsidRPr="00337122">
        <w:rPr>
          <w:rFonts w:ascii="Garamond" w:hAnsi="Garamond" w:cs="Arial"/>
          <w:bCs/>
          <w:sz w:val="24"/>
          <w:szCs w:val="24"/>
        </w:rPr>
        <w:t>The total turnover (futures</w:t>
      </w:r>
      <w:r>
        <w:rPr>
          <w:rFonts w:ascii="Garamond" w:hAnsi="Garamond" w:cs="Arial"/>
          <w:bCs/>
          <w:sz w:val="24"/>
          <w:szCs w:val="24"/>
        </w:rPr>
        <w:t xml:space="preserve"> </w:t>
      </w:r>
      <w:r w:rsidRPr="00337122">
        <w:rPr>
          <w:rFonts w:ascii="Garamond" w:hAnsi="Garamond" w:cs="Arial"/>
          <w:bCs/>
          <w:sz w:val="24"/>
          <w:szCs w:val="24"/>
        </w:rPr>
        <w:t xml:space="preserve">+ options) at MCX </w:t>
      </w:r>
      <w:r>
        <w:rPr>
          <w:rFonts w:ascii="Garamond" w:hAnsi="Garamond" w:cs="Arial"/>
          <w:bCs/>
          <w:sz w:val="24"/>
          <w:szCs w:val="24"/>
        </w:rPr>
        <w:t>in</w:t>
      </w:r>
      <w:r w:rsidRPr="00337122">
        <w:rPr>
          <w:rFonts w:ascii="Garamond" w:hAnsi="Garamond" w:cs="Arial"/>
          <w:bCs/>
          <w:sz w:val="24"/>
          <w:szCs w:val="24"/>
        </w:rPr>
        <w:t xml:space="preserve">creased by </w:t>
      </w:r>
      <w:r>
        <w:rPr>
          <w:rFonts w:ascii="Garamond" w:hAnsi="Garamond" w:cs="Arial"/>
          <w:bCs/>
          <w:sz w:val="24"/>
          <w:szCs w:val="24"/>
        </w:rPr>
        <w:t>13.8</w:t>
      </w:r>
      <w:r w:rsidRPr="00337122">
        <w:rPr>
          <w:rFonts w:ascii="Garamond" w:hAnsi="Garamond" w:cs="Arial"/>
          <w:bCs/>
          <w:sz w:val="24"/>
          <w:szCs w:val="24"/>
        </w:rPr>
        <w:t xml:space="preserve"> per cent during </w:t>
      </w:r>
      <w:r>
        <w:rPr>
          <w:rFonts w:ascii="Garamond" w:hAnsi="Garamond" w:cs="Arial"/>
          <w:bCs/>
          <w:sz w:val="24"/>
          <w:szCs w:val="24"/>
        </w:rPr>
        <w:t>September</w:t>
      </w:r>
      <w:r w:rsidRPr="00337122">
        <w:rPr>
          <w:rFonts w:ascii="Garamond" w:hAnsi="Garamond" w:cs="Arial"/>
          <w:bCs/>
          <w:sz w:val="24"/>
          <w:szCs w:val="24"/>
        </w:rPr>
        <w:t xml:space="preserve"> 2018 to </w:t>
      </w:r>
      <w:r w:rsidRPr="00337122">
        <w:rPr>
          <w:rFonts w:ascii="Rupee Foradian" w:hAnsi="Rupee Foradian" w:cs="Arial"/>
          <w:bCs/>
          <w:sz w:val="24"/>
          <w:szCs w:val="24"/>
        </w:rPr>
        <w:t>`</w:t>
      </w:r>
      <w:r w:rsidRPr="00337122">
        <w:rPr>
          <w:rFonts w:ascii="Garamond" w:hAnsi="Garamond" w:cs="Arial"/>
          <w:bCs/>
          <w:sz w:val="24"/>
          <w:szCs w:val="24"/>
        </w:rPr>
        <w:t>5,</w:t>
      </w:r>
      <w:r>
        <w:rPr>
          <w:rFonts w:ascii="Garamond" w:hAnsi="Garamond" w:cs="Arial"/>
          <w:bCs/>
          <w:sz w:val="24"/>
          <w:szCs w:val="24"/>
        </w:rPr>
        <w:t>94,184</w:t>
      </w:r>
      <w:r w:rsidRPr="00337122">
        <w:rPr>
          <w:rFonts w:ascii="Garamond" w:hAnsi="Garamond" w:cs="Arial"/>
          <w:bCs/>
          <w:sz w:val="24"/>
          <w:szCs w:val="24"/>
        </w:rPr>
        <w:t xml:space="preserve"> crore, over total turnover of </w:t>
      </w:r>
      <w:r w:rsidRPr="00337122">
        <w:rPr>
          <w:rFonts w:ascii="Rupee Foradian" w:hAnsi="Rupee Foradian" w:cs="Arial"/>
          <w:bCs/>
          <w:sz w:val="24"/>
          <w:szCs w:val="24"/>
        </w:rPr>
        <w:t>`</w:t>
      </w:r>
      <w:r w:rsidRPr="00337122">
        <w:rPr>
          <w:rFonts w:ascii="Garamond" w:hAnsi="Garamond" w:cs="Arial"/>
          <w:bCs/>
          <w:sz w:val="24"/>
          <w:szCs w:val="24"/>
        </w:rPr>
        <w:t>5,</w:t>
      </w:r>
      <w:r>
        <w:rPr>
          <w:rFonts w:ascii="Garamond" w:hAnsi="Garamond" w:cs="Arial"/>
          <w:bCs/>
          <w:sz w:val="24"/>
          <w:szCs w:val="24"/>
        </w:rPr>
        <w:t>22,137</w:t>
      </w:r>
      <w:r w:rsidRPr="00337122">
        <w:rPr>
          <w:rFonts w:ascii="Garamond" w:hAnsi="Garamond" w:cs="Arial"/>
          <w:bCs/>
          <w:sz w:val="24"/>
          <w:szCs w:val="24"/>
        </w:rPr>
        <w:t xml:space="preserve"> crore recorded in </w:t>
      </w:r>
      <w:r>
        <w:rPr>
          <w:rFonts w:ascii="Garamond" w:hAnsi="Garamond" w:cs="Arial"/>
          <w:bCs/>
          <w:sz w:val="24"/>
          <w:szCs w:val="24"/>
        </w:rPr>
        <w:t>August</w:t>
      </w:r>
      <w:r w:rsidRPr="00337122">
        <w:rPr>
          <w:rFonts w:ascii="Garamond" w:hAnsi="Garamond" w:cs="Arial"/>
          <w:bCs/>
          <w:sz w:val="24"/>
          <w:szCs w:val="24"/>
        </w:rPr>
        <w:t xml:space="preserve"> 2018.</w:t>
      </w:r>
      <w:r>
        <w:rPr>
          <w:rFonts w:ascii="Garamond" w:hAnsi="Garamond" w:cs="Arial"/>
          <w:bCs/>
          <w:sz w:val="24"/>
          <w:szCs w:val="24"/>
        </w:rPr>
        <w:t xml:space="preserve"> </w:t>
      </w:r>
      <w:r w:rsidRPr="00337122">
        <w:rPr>
          <w:rFonts w:ascii="Garamond" w:hAnsi="Garamond" w:cs="Arial"/>
          <w:bCs/>
          <w:sz w:val="24"/>
          <w:szCs w:val="24"/>
        </w:rPr>
        <w:t xml:space="preserve">The turnover </w:t>
      </w:r>
      <w:r>
        <w:rPr>
          <w:rFonts w:ascii="Garamond" w:hAnsi="Garamond" w:cs="Arial"/>
          <w:bCs/>
          <w:sz w:val="24"/>
          <w:szCs w:val="24"/>
        </w:rPr>
        <w:t xml:space="preserve">of </w:t>
      </w:r>
      <w:r w:rsidRPr="00337122">
        <w:rPr>
          <w:rFonts w:ascii="Garamond" w:hAnsi="Garamond" w:cs="Arial"/>
          <w:bCs/>
          <w:sz w:val="24"/>
          <w:szCs w:val="24"/>
        </w:rPr>
        <w:t xml:space="preserve">all the options contracts </w:t>
      </w:r>
      <w:r>
        <w:rPr>
          <w:rFonts w:ascii="Garamond" w:hAnsi="Garamond" w:cs="Arial"/>
          <w:bCs/>
          <w:sz w:val="24"/>
          <w:szCs w:val="24"/>
        </w:rPr>
        <w:t>in</w:t>
      </w:r>
      <w:r w:rsidRPr="00337122">
        <w:rPr>
          <w:rFonts w:ascii="Garamond" w:hAnsi="Garamond" w:cs="Arial"/>
          <w:bCs/>
          <w:sz w:val="24"/>
          <w:szCs w:val="24"/>
        </w:rPr>
        <w:t>crease</w:t>
      </w:r>
      <w:r>
        <w:rPr>
          <w:rFonts w:ascii="Garamond" w:hAnsi="Garamond" w:cs="Arial"/>
          <w:bCs/>
          <w:sz w:val="24"/>
          <w:szCs w:val="24"/>
        </w:rPr>
        <w:t>d</w:t>
      </w:r>
      <w:r w:rsidRPr="00337122">
        <w:rPr>
          <w:rFonts w:ascii="Garamond" w:hAnsi="Garamond" w:cs="Arial"/>
          <w:bCs/>
          <w:sz w:val="24"/>
          <w:szCs w:val="24"/>
        </w:rPr>
        <w:t xml:space="preserve"> from </w:t>
      </w:r>
      <w:r w:rsidRPr="00337122">
        <w:rPr>
          <w:rFonts w:ascii="Tahoma" w:hAnsi="Tahoma" w:cs="Tahoma"/>
          <w:bCs/>
          <w:sz w:val="24"/>
          <w:szCs w:val="24"/>
        </w:rPr>
        <w:t>₹</w:t>
      </w:r>
      <w:r w:rsidRPr="00337122">
        <w:rPr>
          <w:rFonts w:ascii="Garamond" w:hAnsi="Garamond" w:cs="Arial"/>
          <w:bCs/>
          <w:sz w:val="24"/>
          <w:szCs w:val="24"/>
        </w:rPr>
        <w:t>1</w:t>
      </w:r>
      <w:r>
        <w:rPr>
          <w:rFonts w:ascii="Garamond" w:hAnsi="Garamond" w:cs="Arial"/>
          <w:bCs/>
          <w:sz w:val="24"/>
          <w:szCs w:val="24"/>
        </w:rPr>
        <w:t>1,041</w:t>
      </w:r>
      <w:r w:rsidRPr="00337122">
        <w:rPr>
          <w:rFonts w:ascii="Garamond" w:hAnsi="Garamond" w:cs="Arial"/>
          <w:bCs/>
          <w:sz w:val="24"/>
          <w:szCs w:val="24"/>
        </w:rPr>
        <w:t xml:space="preserve"> crore in </w:t>
      </w:r>
      <w:r>
        <w:rPr>
          <w:rFonts w:ascii="Garamond" w:hAnsi="Garamond" w:cs="Arial"/>
          <w:bCs/>
          <w:sz w:val="24"/>
          <w:szCs w:val="24"/>
        </w:rPr>
        <w:t>August</w:t>
      </w:r>
      <w:r w:rsidRPr="00337122">
        <w:rPr>
          <w:rFonts w:ascii="Garamond" w:hAnsi="Garamond" w:cs="Arial"/>
          <w:bCs/>
          <w:sz w:val="24"/>
          <w:szCs w:val="24"/>
        </w:rPr>
        <w:t xml:space="preserve"> 2018</w:t>
      </w:r>
      <w:r w:rsidRPr="00337122">
        <w:rPr>
          <w:rFonts w:ascii="Tahoma" w:hAnsi="Tahoma" w:cs="Tahoma"/>
          <w:bCs/>
          <w:sz w:val="24"/>
          <w:szCs w:val="24"/>
        </w:rPr>
        <w:t xml:space="preserve"> </w:t>
      </w:r>
      <w:r w:rsidRPr="00337122">
        <w:rPr>
          <w:rFonts w:ascii="Garamond" w:hAnsi="Garamond" w:cs="Arial"/>
          <w:bCs/>
          <w:sz w:val="24"/>
          <w:szCs w:val="24"/>
        </w:rPr>
        <w:t>to</w:t>
      </w:r>
      <w:r w:rsidRPr="00337122">
        <w:rPr>
          <w:rFonts w:ascii="Tahoma" w:hAnsi="Tahoma" w:cs="Tahoma"/>
          <w:bCs/>
          <w:sz w:val="24"/>
          <w:szCs w:val="24"/>
        </w:rPr>
        <w:t xml:space="preserve"> ₹</w:t>
      </w:r>
      <w:r>
        <w:rPr>
          <w:rFonts w:ascii="Garamond" w:hAnsi="Garamond" w:cs="Arial"/>
          <w:bCs/>
          <w:sz w:val="24"/>
          <w:szCs w:val="24"/>
        </w:rPr>
        <w:t>46,624</w:t>
      </w:r>
      <w:r w:rsidRPr="00337122">
        <w:rPr>
          <w:rFonts w:ascii="Garamond" w:hAnsi="Garamond" w:cs="Arial"/>
          <w:bCs/>
          <w:sz w:val="24"/>
          <w:szCs w:val="24"/>
        </w:rPr>
        <w:t xml:space="preserve"> crore in </w:t>
      </w:r>
      <w:r>
        <w:rPr>
          <w:rFonts w:ascii="Garamond" w:hAnsi="Garamond" w:cs="Arial"/>
          <w:bCs/>
          <w:sz w:val="24"/>
          <w:szCs w:val="24"/>
        </w:rPr>
        <w:t>September</w:t>
      </w:r>
      <w:r w:rsidRPr="00337122">
        <w:rPr>
          <w:rFonts w:ascii="Garamond" w:hAnsi="Garamond" w:cs="Arial"/>
          <w:bCs/>
          <w:sz w:val="24"/>
          <w:szCs w:val="24"/>
        </w:rPr>
        <w:t xml:space="preserve"> 2018, a</w:t>
      </w:r>
      <w:r>
        <w:rPr>
          <w:rFonts w:ascii="Garamond" w:hAnsi="Garamond" w:cs="Arial"/>
          <w:bCs/>
          <w:sz w:val="24"/>
          <w:szCs w:val="24"/>
        </w:rPr>
        <w:t>n</w:t>
      </w:r>
      <w:r w:rsidRPr="00337122">
        <w:rPr>
          <w:rFonts w:ascii="Garamond" w:hAnsi="Garamond" w:cs="Arial"/>
          <w:bCs/>
          <w:sz w:val="24"/>
          <w:szCs w:val="24"/>
        </w:rPr>
        <w:t xml:space="preserve"> </w:t>
      </w:r>
      <w:r>
        <w:rPr>
          <w:rFonts w:ascii="Garamond" w:hAnsi="Garamond" w:cs="Arial"/>
          <w:bCs/>
          <w:sz w:val="24"/>
          <w:szCs w:val="24"/>
        </w:rPr>
        <w:t>in</w:t>
      </w:r>
      <w:r w:rsidRPr="00337122">
        <w:rPr>
          <w:rFonts w:ascii="Garamond" w:hAnsi="Garamond" w:cs="Arial"/>
          <w:bCs/>
          <w:sz w:val="24"/>
          <w:szCs w:val="24"/>
        </w:rPr>
        <w:t xml:space="preserve">crease of </w:t>
      </w:r>
      <w:r>
        <w:rPr>
          <w:rFonts w:ascii="Garamond" w:hAnsi="Garamond" w:cs="Arial"/>
          <w:bCs/>
          <w:sz w:val="24"/>
          <w:szCs w:val="24"/>
        </w:rPr>
        <w:t>322.3</w:t>
      </w:r>
      <w:r w:rsidRPr="00337122">
        <w:rPr>
          <w:rFonts w:ascii="Garamond" w:hAnsi="Garamond" w:cs="Arial"/>
          <w:bCs/>
          <w:sz w:val="24"/>
          <w:szCs w:val="24"/>
        </w:rPr>
        <w:t xml:space="preserve"> per cent.</w:t>
      </w:r>
    </w:p>
    <w:p w14:paraId="2C2AB5E4" w14:textId="77777777" w:rsidR="00C5624F" w:rsidRPr="00337122" w:rsidRDefault="00C5624F" w:rsidP="00C5624F">
      <w:pPr>
        <w:pStyle w:val="ListParagraph"/>
        <w:spacing w:after="0" w:line="240" w:lineRule="auto"/>
        <w:jc w:val="both"/>
        <w:rPr>
          <w:rFonts w:ascii="Garamond" w:hAnsi="Garamond" w:cs="Arial"/>
          <w:bCs/>
          <w:sz w:val="24"/>
          <w:szCs w:val="24"/>
        </w:rPr>
      </w:pPr>
    </w:p>
    <w:p w14:paraId="7D90B016" w14:textId="77777777" w:rsidR="00C5624F" w:rsidRDefault="00C5624F" w:rsidP="00C5624F">
      <w:pPr>
        <w:pStyle w:val="ListParagraph"/>
        <w:spacing w:after="0" w:line="240" w:lineRule="auto"/>
        <w:jc w:val="both"/>
        <w:rPr>
          <w:rFonts w:ascii="Garamond" w:hAnsi="Garamond" w:cs="Arial"/>
          <w:bCs/>
          <w:sz w:val="24"/>
          <w:szCs w:val="24"/>
        </w:rPr>
      </w:pPr>
      <w:r w:rsidRPr="00337122">
        <w:rPr>
          <w:rFonts w:ascii="Garamond" w:hAnsi="Garamond" w:cs="Arial"/>
          <w:bCs/>
          <w:sz w:val="24"/>
          <w:szCs w:val="24"/>
        </w:rPr>
        <w:t xml:space="preserve">The contribution to the total turnover at MCX from metal </w:t>
      </w:r>
      <w:r>
        <w:rPr>
          <w:rFonts w:ascii="Garamond" w:hAnsi="Garamond" w:cs="Arial"/>
          <w:bCs/>
          <w:sz w:val="24"/>
          <w:szCs w:val="24"/>
        </w:rPr>
        <w:t xml:space="preserve">segment </w:t>
      </w:r>
      <w:r w:rsidRPr="00337122">
        <w:rPr>
          <w:rFonts w:ascii="Garamond" w:hAnsi="Garamond" w:cs="Arial"/>
          <w:bCs/>
          <w:sz w:val="24"/>
          <w:szCs w:val="24"/>
        </w:rPr>
        <w:t xml:space="preserve">was at </w:t>
      </w:r>
      <w:r>
        <w:rPr>
          <w:rFonts w:ascii="Garamond" w:hAnsi="Garamond" w:cs="Arial"/>
          <w:bCs/>
          <w:sz w:val="24"/>
          <w:szCs w:val="24"/>
        </w:rPr>
        <w:t>37.9</w:t>
      </w:r>
      <w:r w:rsidRPr="00337122">
        <w:rPr>
          <w:rFonts w:ascii="Garamond" w:hAnsi="Garamond" w:cs="Arial"/>
          <w:bCs/>
          <w:sz w:val="24"/>
          <w:szCs w:val="24"/>
        </w:rPr>
        <w:t xml:space="preserve"> per cent followed by energy (3</w:t>
      </w:r>
      <w:r>
        <w:rPr>
          <w:rFonts w:ascii="Garamond" w:hAnsi="Garamond" w:cs="Arial"/>
          <w:bCs/>
          <w:sz w:val="24"/>
          <w:szCs w:val="24"/>
        </w:rPr>
        <w:t>0.4</w:t>
      </w:r>
      <w:r w:rsidRPr="00337122">
        <w:rPr>
          <w:rFonts w:ascii="Garamond" w:hAnsi="Garamond" w:cs="Arial"/>
          <w:bCs/>
          <w:sz w:val="24"/>
          <w:szCs w:val="24"/>
        </w:rPr>
        <w:t xml:space="preserve"> per cent), bullion (</w:t>
      </w:r>
      <w:r>
        <w:rPr>
          <w:rFonts w:ascii="Garamond" w:hAnsi="Garamond" w:cs="Arial"/>
          <w:bCs/>
          <w:sz w:val="24"/>
          <w:szCs w:val="24"/>
        </w:rPr>
        <w:t>22.6</w:t>
      </w:r>
      <w:r w:rsidRPr="00337122">
        <w:rPr>
          <w:rFonts w:ascii="Garamond" w:hAnsi="Garamond" w:cs="Arial"/>
          <w:bCs/>
          <w:sz w:val="24"/>
          <w:szCs w:val="24"/>
        </w:rPr>
        <w:t xml:space="preserve"> per cent) and agricultural </w:t>
      </w:r>
      <w:r>
        <w:rPr>
          <w:rFonts w:ascii="Garamond" w:hAnsi="Garamond" w:cs="Arial"/>
          <w:bCs/>
          <w:sz w:val="24"/>
          <w:szCs w:val="24"/>
        </w:rPr>
        <w:t>(</w:t>
      </w:r>
      <w:r w:rsidRPr="00337122">
        <w:rPr>
          <w:rFonts w:ascii="Garamond" w:hAnsi="Garamond" w:cs="Arial"/>
          <w:bCs/>
          <w:sz w:val="24"/>
          <w:szCs w:val="24"/>
        </w:rPr>
        <w:t>1.</w:t>
      </w:r>
      <w:r>
        <w:rPr>
          <w:rFonts w:ascii="Garamond" w:hAnsi="Garamond" w:cs="Arial"/>
          <w:bCs/>
          <w:sz w:val="24"/>
          <w:szCs w:val="24"/>
        </w:rPr>
        <w:t>2</w:t>
      </w:r>
      <w:r w:rsidRPr="00337122">
        <w:rPr>
          <w:rFonts w:ascii="Garamond" w:hAnsi="Garamond" w:cs="Arial"/>
          <w:bCs/>
          <w:sz w:val="24"/>
          <w:szCs w:val="24"/>
        </w:rPr>
        <w:t xml:space="preserve"> per cent</w:t>
      </w:r>
      <w:r>
        <w:rPr>
          <w:rFonts w:ascii="Garamond" w:hAnsi="Garamond" w:cs="Arial"/>
          <w:bCs/>
          <w:sz w:val="24"/>
          <w:szCs w:val="24"/>
        </w:rPr>
        <w:t>)</w:t>
      </w:r>
      <w:r w:rsidRPr="00337122">
        <w:rPr>
          <w:rFonts w:ascii="Garamond" w:hAnsi="Garamond" w:cs="Arial"/>
          <w:bCs/>
          <w:sz w:val="24"/>
          <w:szCs w:val="24"/>
        </w:rPr>
        <w:t xml:space="preserve">.  The options </w:t>
      </w:r>
      <w:r>
        <w:rPr>
          <w:rFonts w:ascii="Garamond" w:hAnsi="Garamond" w:cs="Arial"/>
          <w:bCs/>
          <w:sz w:val="24"/>
          <w:szCs w:val="24"/>
        </w:rPr>
        <w:t xml:space="preserve">contracts </w:t>
      </w:r>
      <w:r w:rsidRPr="00337122">
        <w:rPr>
          <w:rFonts w:ascii="Garamond" w:hAnsi="Garamond" w:cs="Arial"/>
          <w:bCs/>
          <w:sz w:val="24"/>
          <w:szCs w:val="24"/>
        </w:rPr>
        <w:t xml:space="preserve">contributed </w:t>
      </w:r>
      <w:r>
        <w:rPr>
          <w:rFonts w:ascii="Garamond" w:hAnsi="Garamond" w:cs="Arial"/>
          <w:bCs/>
          <w:sz w:val="24"/>
          <w:szCs w:val="24"/>
        </w:rPr>
        <w:t>7.8</w:t>
      </w:r>
      <w:r w:rsidRPr="00337122">
        <w:rPr>
          <w:rFonts w:ascii="Garamond" w:hAnsi="Garamond" w:cs="Arial"/>
          <w:bCs/>
          <w:sz w:val="24"/>
          <w:szCs w:val="24"/>
        </w:rPr>
        <w:t xml:space="preserve"> per cent to the total turnover. </w:t>
      </w:r>
    </w:p>
    <w:p w14:paraId="32C0280A" w14:textId="77777777" w:rsidR="00C5624F" w:rsidRDefault="00C5624F" w:rsidP="00C5624F">
      <w:pPr>
        <w:pStyle w:val="ListParagraph"/>
        <w:spacing w:after="0" w:line="240" w:lineRule="auto"/>
        <w:jc w:val="both"/>
        <w:rPr>
          <w:rFonts w:ascii="Garamond" w:hAnsi="Garamond" w:cs="Arial"/>
          <w:bCs/>
          <w:sz w:val="24"/>
          <w:szCs w:val="24"/>
        </w:rPr>
      </w:pPr>
    </w:p>
    <w:p w14:paraId="10CCDEC7" w14:textId="77777777" w:rsidR="00C5624F" w:rsidRPr="00337122" w:rsidRDefault="00C5624F" w:rsidP="00C5624F">
      <w:pPr>
        <w:pStyle w:val="ListParagraph"/>
        <w:spacing w:after="0" w:line="240" w:lineRule="auto"/>
        <w:jc w:val="both"/>
        <w:rPr>
          <w:rFonts w:ascii="Garamond" w:hAnsi="Garamond" w:cs="Arial"/>
          <w:bCs/>
          <w:sz w:val="24"/>
          <w:szCs w:val="24"/>
        </w:rPr>
      </w:pPr>
      <w:r w:rsidRPr="00337122">
        <w:rPr>
          <w:rFonts w:ascii="Garamond" w:hAnsi="Garamond" w:cs="Arial"/>
          <w:bCs/>
          <w:sz w:val="24"/>
          <w:szCs w:val="24"/>
        </w:rPr>
        <w:t xml:space="preserve">The </w:t>
      </w:r>
      <w:r>
        <w:rPr>
          <w:rFonts w:ascii="Garamond" w:hAnsi="Garamond" w:cs="Arial"/>
          <w:bCs/>
          <w:sz w:val="24"/>
          <w:szCs w:val="24"/>
        </w:rPr>
        <w:t>consolidated</w:t>
      </w:r>
      <w:r w:rsidRPr="00337122">
        <w:rPr>
          <w:rFonts w:ascii="Garamond" w:hAnsi="Garamond" w:cs="Arial"/>
          <w:bCs/>
          <w:sz w:val="24"/>
          <w:szCs w:val="24"/>
        </w:rPr>
        <w:t xml:space="preserve"> turnover (futures +</w:t>
      </w:r>
      <w:r>
        <w:rPr>
          <w:rFonts w:ascii="Garamond" w:hAnsi="Garamond" w:cs="Arial"/>
          <w:bCs/>
          <w:sz w:val="24"/>
          <w:szCs w:val="24"/>
        </w:rPr>
        <w:t xml:space="preserve"> </w:t>
      </w:r>
      <w:r w:rsidRPr="00337122">
        <w:rPr>
          <w:rFonts w:ascii="Garamond" w:hAnsi="Garamond" w:cs="Arial"/>
          <w:bCs/>
          <w:sz w:val="24"/>
          <w:szCs w:val="24"/>
        </w:rPr>
        <w:t xml:space="preserve">options) at NCDEX </w:t>
      </w:r>
      <w:r>
        <w:rPr>
          <w:rFonts w:ascii="Garamond" w:hAnsi="Garamond" w:cs="Arial"/>
          <w:bCs/>
          <w:sz w:val="24"/>
          <w:szCs w:val="24"/>
        </w:rPr>
        <w:t>de</w:t>
      </w:r>
      <w:r w:rsidRPr="00337122">
        <w:rPr>
          <w:rFonts w:ascii="Garamond" w:hAnsi="Garamond" w:cs="Arial"/>
          <w:bCs/>
          <w:sz w:val="24"/>
          <w:szCs w:val="24"/>
        </w:rPr>
        <w:t xml:space="preserve">creased by </w:t>
      </w:r>
      <w:r>
        <w:rPr>
          <w:rFonts w:ascii="Garamond" w:hAnsi="Garamond" w:cs="Arial"/>
          <w:bCs/>
          <w:sz w:val="24"/>
          <w:szCs w:val="24"/>
        </w:rPr>
        <w:t xml:space="preserve">34.5 </w:t>
      </w:r>
      <w:r w:rsidRPr="00337122">
        <w:rPr>
          <w:rFonts w:ascii="Garamond" w:hAnsi="Garamond" w:cs="Arial"/>
          <w:bCs/>
          <w:sz w:val="24"/>
          <w:szCs w:val="24"/>
        </w:rPr>
        <w:t xml:space="preserve">per cent to </w:t>
      </w:r>
      <w:r w:rsidRPr="00337122">
        <w:rPr>
          <w:rFonts w:ascii="Rupee Foradian" w:hAnsi="Rupee Foradian" w:cs="Arial"/>
          <w:bCs/>
          <w:sz w:val="24"/>
          <w:szCs w:val="24"/>
        </w:rPr>
        <w:t>`</w:t>
      </w:r>
      <w:r>
        <w:rPr>
          <w:rFonts w:ascii="Garamond" w:hAnsi="Garamond" w:cs="Arial"/>
          <w:bCs/>
          <w:sz w:val="24"/>
          <w:szCs w:val="24"/>
        </w:rPr>
        <w:t>3</w:t>
      </w:r>
      <w:r w:rsidRPr="00C26EC2">
        <w:rPr>
          <w:rFonts w:ascii="Garamond" w:hAnsi="Garamond" w:cs="Arial"/>
          <w:bCs/>
          <w:sz w:val="24"/>
          <w:szCs w:val="24"/>
        </w:rPr>
        <w:t>8,</w:t>
      </w:r>
      <w:r>
        <w:rPr>
          <w:rFonts w:ascii="Garamond" w:hAnsi="Garamond" w:cs="Arial"/>
          <w:bCs/>
          <w:sz w:val="24"/>
          <w:szCs w:val="24"/>
        </w:rPr>
        <w:t>261</w:t>
      </w:r>
      <w:r w:rsidRPr="00337122">
        <w:rPr>
          <w:rFonts w:ascii="Garamond" w:hAnsi="Garamond" w:cs="Arial"/>
          <w:bCs/>
          <w:sz w:val="24"/>
          <w:szCs w:val="24"/>
        </w:rPr>
        <w:t xml:space="preserve"> crore during </w:t>
      </w:r>
      <w:r>
        <w:rPr>
          <w:rFonts w:ascii="Garamond" w:hAnsi="Garamond" w:cs="Arial"/>
          <w:bCs/>
          <w:sz w:val="24"/>
          <w:szCs w:val="24"/>
        </w:rPr>
        <w:t>September</w:t>
      </w:r>
      <w:r w:rsidRPr="00337122">
        <w:rPr>
          <w:rFonts w:ascii="Garamond" w:hAnsi="Garamond" w:cs="Arial"/>
          <w:bCs/>
          <w:sz w:val="24"/>
          <w:szCs w:val="24"/>
        </w:rPr>
        <w:t xml:space="preserve"> 2018, from </w:t>
      </w:r>
      <w:r w:rsidRPr="00337122">
        <w:rPr>
          <w:rFonts w:ascii="Rupee Foradian" w:hAnsi="Rupee Foradian" w:cs="Arial"/>
          <w:bCs/>
          <w:sz w:val="24"/>
          <w:szCs w:val="24"/>
        </w:rPr>
        <w:t>`</w:t>
      </w:r>
      <w:r w:rsidRPr="00625B44">
        <w:rPr>
          <w:rFonts w:ascii="Garamond" w:hAnsi="Garamond" w:cs="Arial"/>
          <w:bCs/>
          <w:sz w:val="24"/>
          <w:szCs w:val="24"/>
        </w:rPr>
        <w:t>58,383</w:t>
      </w:r>
      <w:r w:rsidRPr="00337122">
        <w:rPr>
          <w:rFonts w:ascii="Garamond" w:hAnsi="Garamond" w:cs="Arial"/>
          <w:bCs/>
          <w:sz w:val="24"/>
          <w:szCs w:val="24"/>
        </w:rPr>
        <w:t xml:space="preserve"> crore in </w:t>
      </w:r>
      <w:r>
        <w:rPr>
          <w:rFonts w:ascii="Garamond" w:hAnsi="Garamond" w:cs="Arial"/>
          <w:bCs/>
          <w:sz w:val="24"/>
          <w:szCs w:val="24"/>
        </w:rPr>
        <w:t>August</w:t>
      </w:r>
      <w:r w:rsidRPr="00337122">
        <w:rPr>
          <w:rFonts w:ascii="Garamond" w:hAnsi="Garamond" w:cs="Arial"/>
          <w:bCs/>
          <w:sz w:val="24"/>
          <w:szCs w:val="24"/>
        </w:rPr>
        <w:t xml:space="preserve"> 2018. The </w:t>
      </w:r>
      <w:r>
        <w:rPr>
          <w:rFonts w:ascii="Garamond" w:hAnsi="Garamond" w:cs="Arial"/>
          <w:bCs/>
          <w:sz w:val="24"/>
          <w:szCs w:val="24"/>
        </w:rPr>
        <w:t>g</w:t>
      </w:r>
      <w:r w:rsidRPr="00337122">
        <w:rPr>
          <w:rFonts w:ascii="Garamond" w:hAnsi="Garamond" w:cs="Arial"/>
          <w:bCs/>
          <w:sz w:val="24"/>
          <w:szCs w:val="24"/>
        </w:rPr>
        <w:t xml:space="preserve">uar </w:t>
      </w:r>
      <w:r>
        <w:rPr>
          <w:rFonts w:ascii="Garamond" w:hAnsi="Garamond" w:cs="Arial"/>
          <w:bCs/>
          <w:sz w:val="24"/>
          <w:szCs w:val="24"/>
        </w:rPr>
        <w:t>s</w:t>
      </w:r>
      <w:r w:rsidRPr="00337122">
        <w:rPr>
          <w:rFonts w:ascii="Garamond" w:hAnsi="Garamond" w:cs="Arial"/>
          <w:bCs/>
          <w:sz w:val="24"/>
          <w:szCs w:val="24"/>
        </w:rPr>
        <w:t xml:space="preserve">eed options contracts </w:t>
      </w:r>
      <w:r>
        <w:rPr>
          <w:rFonts w:ascii="Garamond" w:hAnsi="Garamond" w:cs="Arial"/>
          <w:bCs/>
          <w:sz w:val="24"/>
          <w:szCs w:val="24"/>
        </w:rPr>
        <w:t xml:space="preserve">recorded turnover of </w:t>
      </w:r>
      <w:r w:rsidRPr="00337122">
        <w:rPr>
          <w:rFonts w:ascii="Times New Roman" w:hAnsi="Times New Roman"/>
          <w:bCs/>
          <w:sz w:val="24"/>
          <w:szCs w:val="24"/>
        </w:rPr>
        <w:t>₹</w:t>
      </w:r>
      <w:r w:rsidRPr="00337122">
        <w:rPr>
          <w:rFonts w:ascii="Garamond" w:hAnsi="Garamond" w:cs="Arial"/>
          <w:bCs/>
          <w:sz w:val="24"/>
          <w:szCs w:val="24"/>
        </w:rPr>
        <w:t>1</w:t>
      </w:r>
      <w:r>
        <w:rPr>
          <w:rFonts w:ascii="Garamond" w:hAnsi="Garamond" w:cs="Arial"/>
          <w:bCs/>
          <w:sz w:val="24"/>
          <w:szCs w:val="24"/>
        </w:rPr>
        <w:t>3</w:t>
      </w:r>
      <w:r w:rsidRPr="00337122">
        <w:rPr>
          <w:rFonts w:ascii="Garamond" w:hAnsi="Garamond" w:cs="Arial"/>
          <w:bCs/>
          <w:sz w:val="24"/>
          <w:szCs w:val="24"/>
        </w:rPr>
        <w:t xml:space="preserve"> crore </w:t>
      </w:r>
      <w:r>
        <w:rPr>
          <w:rFonts w:ascii="Garamond" w:hAnsi="Garamond" w:cs="Arial"/>
          <w:bCs/>
          <w:sz w:val="24"/>
          <w:szCs w:val="24"/>
        </w:rPr>
        <w:t>during September</w:t>
      </w:r>
      <w:r w:rsidRPr="00337122">
        <w:rPr>
          <w:rFonts w:ascii="Garamond" w:hAnsi="Garamond" w:cs="Arial"/>
          <w:bCs/>
          <w:sz w:val="24"/>
          <w:szCs w:val="24"/>
        </w:rPr>
        <w:t xml:space="preserve"> 2018</w:t>
      </w:r>
      <w:r>
        <w:rPr>
          <w:rFonts w:ascii="Garamond" w:hAnsi="Garamond" w:cs="Arial"/>
          <w:bCs/>
          <w:sz w:val="24"/>
          <w:szCs w:val="24"/>
        </w:rPr>
        <w:t xml:space="preserve">. </w:t>
      </w:r>
    </w:p>
    <w:p w14:paraId="1E8B3549" w14:textId="77777777" w:rsidR="00C5624F" w:rsidRPr="00337122" w:rsidRDefault="00C5624F" w:rsidP="00C5624F">
      <w:pPr>
        <w:pStyle w:val="ListParagraph"/>
        <w:spacing w:after="0" w:line="240" w:lineRule="auto"/>
        <w:jc w:val="both"/>
        <w:rPr>
          <w:rFonts w:ascii="Garamond" w:hAnsi="Garamond" w:cs="Arial"/>
          <w:bCs/>
          <w:sz w:val="24"/>
          <w:szCs w:val="24"/>
        </w:rPr>
      </w:pPr>
    </w:p>
    <w:p w14:paraId="5D8805D0" w14:textId="77777777" w:rsidR="00C5624F" w:rsidRDefault="00C5624F" w:rsidP="00C5624F">
      <w:pPr>
        <w:pStyle w:val="ListParagraph"/>
        <w:spacing w:after="0" w:line="240" w:lineRule="auto"/>
        <w:jc w:val="both"/>
        <w:rPr>
          <w:rFonts w:ascii="Rupee Foradian" w:hAnsi="Rupee Foradian" w:cs="Arial"/>
          <w:bCs/>
          <w:sz w:val="24"/>
          <w:szCs w:val="24"/>
        </w:rPr>
      </w:pPr>
      <w:r w:rsidRPr="00337122">
        <w:rPr>
          <w:rFonts w:ascii="Garamond" w:hAnsi="Garamond" w:cs="Arial"/>
          <w:bCs/>
          <w:sz w:val="24"/>
          <w:szCs w:val="24"/>
        </w:rPr>
        <w:t xml:space="preserve">The total turnover at NMCE </w:t>
      </w:r>
      <w:r>
        <w:rPr>
          <w:rFonts w:ascii="Garamond" w:hAnsi="Garamond" w:cs="Arial"/>
          <w:bCs/>
          <w:sz w:val="24"/>
          <w:szCs w:val="24"/>
        </w:rPr>
        <w:t>(up to 21</w:t>
      </w:r>
      <w:r w:rsidRPr="00625B44">
        <w:rPr>
          <w:rFonts w:ascii="Garamond" w:hAnsi="Garamond" w:cs="Arial"/>
          <w:bCs/>
          <w:sz w:val="24"/>
          <w:szCs w:val="24"/>
          <w:vertAlign w:val="superscript"/>
        </w:rPr>
        <w:t>st</w:t>
      </w:r>
      <w:r>
        <w:rPr>
          <w:rFonts w:ascii="Garamond" w:hAnsi="Garamond" w:cs="Arial"/>
          <w:bCs/>
          <w:sz w:val="24"/>
          <w:szCs w:val="24"/>
        </w:rPr>
        <w:t xml:space="preserve"> September, 2018) de</w:t>
      </w:r>
      <w:r w:rsidRPr="00337122">
        <w:rPr>
          <w:rFonts w:ascii="Garamond" w:hAnsi="Garamond" w:cs="Arial"/>
          <w:bCs/>
          <w:sz w:val="24"/>
          <w:szCs w:val="24"/>
        </w:rPr>
        <w:t xml:space="preserve">creased by </w:t>
      </w:r>
      <w:r>
        <w:rPr>
          <w:rFonts w:ascii="Garamond" w:hAnsi="Garamond" w:cs="Arial"/>
          <w:bCs/>
          <w:sz w:val="24"/>
          <w:szCs w:val="24"/>
        </w:rPr>
        <w:t>34.5</w:t>
      </w:r>
      <w:r w:rsidRPr="00337122">
        <w:rPr>
          <w:rFonts w:ascii="Garamond" w:hAnsi="Garamond" w:cs="Arial"/>
          <w:bCs/>
          <w:sz w:val="24"/>
          <w:szCs w:val="24"/>
        </w:rPr>
        <w:t xml:space="preserve"> per cent to </w:t>
      </w:r>
      <w:r w:rsidRPr="00337122">
        <w:rPr>
          <w:rFonts w:ascii="Rupee Foradian" w:hAnsi="Rupee Foradian" w:cs="Arial"/>
          <w:bCs/>
          <w:sz w:val="24"/>
          <w:szCs w:val="24"/>
        </w:rPr>
        <w:t>`</w:t>
      </w:r>
      <w:r w:rsidRPr="00337122">
        <w:rPr>
          <w:rFonts w:ascii="Garamond" w:hAnsi="Garamond" w:cs="Arial"/>
          <w:bCs/>
          <w:sz w:val="24"/>
          <w:szCs w:val="24"/>
        </w:rPr>
        <w:t>1</w:t>
      </w:r>
      <w:r>
        <w:rPr>
          <w:rFonts w:ascii="Garamond" w:hAnsi="Garamond" w:cs="Arial"/>
          <w:bCs/>
          <w:sz w:val="24"/>
          <w:szCs w:val="24"/>
        </w:rPr>
        <w:t>,014</w:t>
      </w:r>
      <w:r w:rsidRPr="00337122">
        <w:rPr>
          <w:rFonts w:ascii="Garamond" w:hAnsi="Garamond" w:cs="Arial"/>
          <w:bCs/>
          <w:sz w:val="24"/>
          <w:szCs w:val="24"/>
        </w:rPr>
        <w:t xml:space="preserve"> crore from </w:t>
      </w:r>
      <w:r w:rsidRPr="00337122">
        <w:rPr>
          <w:rFonts w:ascii="Rupee Foradian" w:hAnsi="Rupee Foradian" w:cs="Arial"/>
          <w:bCs/>
          <w:sz w:val="24"/>
          <w:szCs w:val="24"/>
        </w:rPr>
        <w:t>`</w:t>
      </w:r>
      <w:r>
        <w:rPr>
          <w:rFonts w:ascii="Garamond" w:hAnsi="Garamond" w:cs="Arial"/>
          <w:bCs/>
          <w:sz w:val="24"/>
          <w:szCs w:val="24"/>
        </w:rPr>
        <w:t>1,547</w:t>
      </w:r>
      <w:r w:rsidRPr="00337122">
        <w:rPr>
          <w:rFonts w:ascii="Garamond" w:hAnsi="Garamond" w:cs="Arial"/>
          <w:bCs/>
          <w:sz w:val="24"/>
          <w:szCs w:val="24"/>
        </w:rPr>
        <w:t xml:space="preserve"> crore recorded for last month. </w:t>
      </w:r>
      <w:r>
        <w:rPr>
          <w:rFonts w:ascii="Garamond" w:hAnsi="Garamond" w:cs="Arial"/>
          <w:bCs/>
          <w:sz w:val="24"/>
          <w:szCs w:val="24"/>
        </w:rPr>
        <w:t xml:space="preserve">Consequent upon merger of NMCE with ICEX w.e.f. September 24, 2018, all the agri. contracts of NMCE started trading on ICEX. Since the merger, the agri. segment of ICEX recorded turnover of </w:t>
      </w:r>
      <w:r w:rsidRPr="00337122">
        <w:rPr>
          <w:rFonts w:ascii="Rupee Foradian" w:hAnsi="Rupee Foradian" w:cs="Arial"/>
          <w:bCs/>
          <w:sz w:val="24"/>
          <w:szCs w:val="24"/>
        </w:rPr>
        <w:t>`</w:t>
      </w:r>
      <w:r w:rsidRPr="00470E20">
        <w:rPr>
          <w:rFonts w:ascii="Garamond" w:hAnsi="Garamond" w:cs="Arial"/>
          <w:bCs/>
          <w:sz w:val="24"/>
          <w:szCs w:val="24"/>
        </w:rPr>
        <w:t>159 crore</w:t>
      </w:r>
      <w:r>
        <w:rPr>
          <w:rFonts w:ascii="Garamond" w:hAnsi="Garamond" w:cs="Arial"/>
          <w:bCs/>
          <w:sz w:val="24"/>
          <w:szCs w:val="24"/>
        </w:rPr>
        <w:t xml:space="preserve"> during last five trading days of September 2018.</w:t>
      </w:r>
    </w:p>
    <w:p w14:paraId="4653E3AA" w14:textId="77777777" w:rsidR="00C5624F" w:rsidRPr="00337122" w:rsidRDefault="00C5624F" w:rsidP="00C5624F">
      <w:pPr>
        <w:pStyle w:val="ListParagraph"/>
        <w:spacing w:after="0" w:line="240" w:lineRule="auto"/>
        <w:jc w:val="both"/>
        <w:rPr>
          <w:rFonts w:ascii="Garamond" w:hAnsi="Garamond" w:cs="Arial"/>
          <w:bCs/>
          <w:sz w:val="24"/>
          <w:szCs w:val="24"/>
        </w:rPr>
      </w:pPr>
    </w:p>
    <w:p w14:paraId="1B51C834" w14:textId="77777777" w:rsidR="00C5624F" w:rsidRPr="00337122" w:rsidRDefault="00C5624F" w:rsidP="00C5624F">
      <w:pPr>
        <w:pStyle w:val="ListParagraph"/>
        <w:spacing w:after="0" w:line="240" w:lineRule="auto"/>
        <w:jc w:val="both"/>
        <w:rPr>
          <w:rFonts w:ascii="Garamond" w:hAnsi="Garamond" w:cs="Arial"/>
          <w:bCs/>
          <w:sz w:val="24"/>
          <w:szCs w:val="24"/>
        </w:rPr>
      </w:pPr>
      <w:r w:rsidRPr="00337122">
        <w:rPr>
          <w:rFonts w:ascii="Garamond" w:hAnsi="Garamond" w:cs="Arial"/>
          <w:bCs/>
          <w:sz w:val="24"/>
          <w:szCs w:val="24"/>
        </w:rPr>
        <w:t xml:space="preserve">The total turnover at ICEX in diamond contracts </w:t>
      </w:r>
      <w:r>
        <w:rPr>
          <w:rFonts w:ascii="Garamond" w:hAnsi="Garamond" w:cs="Arial"/>
          <w:bCs/>
          <w:sz w:val="24"/>
          <w:szCs w:val="24"/>
        </w:rPr>
        <w:t>in</w:t>
      </w:r>
      <w:r w:rsidRPr="00337122">
        <w:rPr>
          <w:rFonts w:ascii="Garamond" w:hAnsi="Garamond" w:cs="Arial"/>
          <w:bCs/>
          <w:sz w:val="24"/>
          <w:szCs w:val="24"/>
        </w:rPr>
        <w:t xml:space="preserve">creased by </w:t>
      </w:r>
      <w:r>
        <w:rPr>
          <w:rFonts w:ascii="Garamond" w:hAnsi="Garamond" w:cs="Arial"/>
          <w:bCs/>
          <w:sz w:val="24"/>
          <w:szCs w:val="24"/>
        </w:rPr>
        <w:t>1.1</w:t>
      </w:r>
      <w:r w:rsidRPr="00337122">
        <w:rPr>
          <w:rFonts w:ascii="Garamond" w:hAnsi="Garamond" w:cs="Arial"/>
          <w:bCs/>
          <w:sz w:val="24"/>
          <w:szCs w:val="24"/>
        </w:rPr>
        <w:t xml:space="preserve"> per cent to </w:t>
      </w:r>
      <w:r w:rsidRPr="00337122">
        <w:rPr>
          <w:rFonts w:ascii="Times New Roman" w:hAnsi="Times New Roman"/>
          <w:bCs/>
          <w:sz w:val="24"/>
          <w:szCs w:val="24"/>
        </w:rPr>
        <w:t>₹</w:t>
      </w:r>
      <w:r>
        <w:rPr>
          <w:rFonts w:ascii="Garamond" w:hAnsi="Garamond" w:cs="Arial"/>
          <w:bCs/>
          <w:sz w:val="24"/>
          <w:szCs w:val="24"/>
        </w:rPr>
        <w:t>318</w:t>
      </w:r>
      <w:r w:rsidRPr="00337122">
        <w:rPr>
          <w:rFonts w:ascii="Garamond" w:hAnsi="Garamond" w:cs="Arial"/>
          <w:bCs/>
          <w:sz w:val="24"/>
          <w:szCs w:val="24"/>
        </w:rPr>
        <w:t xml:space="preserve"> crore in </w:t>
      </w:r>
      <w:r>
        <w:rPr>
          <w:rFonts w:ascii="Garamond" w:hAnsi="Garamond" w:cs="Arial"/>
          <w:bCs/>
          <w:sz w:val="24"/>
          <w:szCs w:val="24"/>
        </w:rPr>
        <w:t>September</w:t>
      </w:r>
      <w:r w:rsidRPr="00337122">
        <w:rPr>
          <w:rFonts w:ascii="Garamond" w:hAnsi="Garamond" w:cs="Arial"/>
          <w:bCs/>
          <w:sz w:val="24"/>
          <w:szCs w:val="24"/>
        </w:rPr>
        <w:t xml:space="preserve"> 2018 from </w:t>
      </w:r>
      <w:r w:rsidRPr="00337122">
        <w:rPr>
          <w:rFonts w:ascii="Times New Roman" w:hAnsi="Times New Roman"/>
          <w:bCs/>
          <w:sz w:val="24"/>
          <w:szCs w:val="24"/>
        </w:rPr>
        <w:t>₹</w:t>
      </w:r>
      <w:r>
        <w:rPr>
          <w:rFonts w:ascii="Garamond" w:hAnsi="Garamond" w:cs="Arial"/>
          <w:bCs/>
          <w:sz w:val="24"/>
          <w:szCs w:val="24"/>
        </w:rPr>
        <w:t xml:space="preserve">314 </w:t>
      </w:r>
      <w:r w:rsidRPr="00337122">
        <w:rPr>
          <w:rFonts w:ascii="Garamond" w:hAnsi="Garamond" w:cs="Arial"/>
          <w:bCs/>
          <w:sz w:val="24"/>
          <w:szCs w:val="24"/>
        </w:rPr>
        <w:t xml:space="preserve">crore during last month. </w:t>
      </w:r>
      <w:r>
        <w:rPr>
          <w:rFonts w:ascii="Garamond" w:hAnsi="Garamond" w:cs="Arial"/>
          <w:bCs/>
          <w:sz w:val="24"/>
          <w:szCs w:val="24"/>
        </w:rPr>
        <w:t xml:space="preserve"> Total turnover in steel long contracts increased by 419.5 per cent to </w:t>
      </w:r>
      <w:r>
        <w:rPr>
          <w:rFonts w:ascii="Times New Roman" w:hAnsi="Times New Roman"/>
          <w:bCs/>
          <w:sz w:val="24"/>
          <w:szCs w:val="24"/>
        </w:rPr>
        <w:t>₹</w:t>
      </w:r>
      <w:r>
        <w:rPr>
          <w:rFonts w:ascii="Garamond" w:hAnsi="Garamond" w:cs="Arial"/>
          <w:bCs/>
          <w:sz w:val="24"/>
          <w:szCs w:val="24"/>
        </w:rPr>
        <w:t xml:space="preserve">613 crore in September 2018 from </w:t>
      </w:r>
      <w:r>
        <w:rPr>
          <w:rFonts w:ascii="Times New Roman" w:hAnsi="Times New Roman"/>
          <w:bCs/>
          <w:sz w:val="24"/>
          <w:szCs w:val="24"/>
        </w:rPr>
        <w:t>₹</w:t>
      </w:r>
      <w:r>
        <w:rPr>
          <w:rFonts w:ascii="Garamond" w:hAnsi="Garamond" w:cs="Arial"/>
          <w:bCs/>
          <w:sz w:val="24"/>
          <w:szCs w:val="24"/>
        </w:rPr>
        <w:t xml:space="preserve">118 crore during last month. The aggregate turnover at ICEX (diamond + steel long + agri. contracts taken together) was recorded at </w:t>
      </w:r>
      <w:r>
        <w:rPr>
          <w:rFonts w:ascii="Times New Roman" w:hAnsi="Times New Roman"/>
          <w:bCs/>
          <w:sz w:val="24"/>
          <w:szCs w:val="24"/>
        </w:rPr>
        <w:t>₹</w:t>
      </w:r>
      <w:r>
        <w:rPr>
          <w:rFonts w:ascii="Garamond" w:hAnsi="Garamond" w:cs="Arial"/>
          <w:bCs/>
          <w:sz w:val="24"/>
          <w:szCs w:val="24"/>
        </w:rPr>
        <w:t>1,090 crore in September, 2018.</w:t>
      </w:r>
    </w:p>
    <w:p w14:paraId="2B7A2565" w14:textId="77777777" w:rsidR="00C5624F" w:rsidRPr="00337122" w:rsidRDefault="00C5624F" w:rsidP="00C5624F">
      <w:pPr>
        <w:pStyle w:val="ListParagraph"/>
        <w:spacing w:after="0" w:line="240" w:lineRule="auto"/>
        <w:jc w:val="both"/>
        <w:rPr>
          <w:rFonts w:ascii="Garamond" w:hAnsi="Garamond" w:cs="Arial"/>
          <w:bCs/>
          <w:sz w:val="24"/>
          <w:szCs w:val="24"/>
        </w:rPr>
      </w:pPr>
    </w:p>
    <w:p w14:paraId="07F95781" w14:textId="77777777" w:rsidR="00C5624F" w:rsidRDefault="00C5624F" w:rsidP="00C5624F">
      <w:pPr>
        <w:pStyle w:val="ListParagraph"/>
        <w:spacing w:after="0" w:line="240" w:lineRule="auto"/>
        <w:jc w:val="both"/>
        <w:rPr>
          <w:rFonts w:ascii="Garamond" w:hAnsi="Garamond" w:cs="Arial"/>
          <w:bCs/>
          <w:sz w:val="24"/>
          <w:szCs w:val="24"/>
        </w:rPr>
      </w:pPr>
      <w:r w:rsidRPr="00337122">
        <w:rPr>
          <w:rFonts w:ascii="Garamond" w:hAnsi="Garamond" w:cs="Arial"/>
          <w:bCs/>
          <w:sz w:val="24"/>
          <w:szCs w:val="24"/>
        </w:rPr>
        <w:t xml:space="preserve">The turnover of agricultural commodities was </w:t>
      </w:r>
      <w:r>
        <w:rPr>
          <w:rFonts w:ascii="Garamond" w:hAnsi="Garamond" w:cs="Arial"/>
          <w:bCs/>
          <w:sz w:val="24"/>
          <w:szCs w:val="24"/>
        </w:rPr>
        <w:t xml:space="preserve">the </w:t>
      </w:r>
      <w:r w:rsidRPr="00337122">
        <w:rPr>
          <w:rFonts w:ascii="Garamond" w:hAnsi="Garamond" w:cs="Arial"/>
          <w:bCs/>
          <w:sz w:val="24"/>
          <w:szCs w:val="24"/>
        </w:rPr>
        <w:t>highest at NCDEX (</w:t>
      </w:r>
      <w:r w:rsidRPr="00337122">
        <w:rPr>
          <w:rFonts w:ascii="Rupee Foradian" w:hAnsi="Rupee Foradian" w:cs="Arial"/>
          <w:bCs/>
          <w:sz w:val="24"/>
          <w:szCs w:val="24"/>
        </w:rPr>
        <w:t>`</w:t>
      </w:r>
      <w:r>
        <w:rPr>
          <w:rFonts w:ascii="Garamond" w:hAnsi="Garamond" w:cs="Arial"/>
          <w:bCs/>
          <w:sz w:val="24"/>
          <w:szCs w:val="24"/>
        </w:rPr>
        <w:t>3</w:t>
      </w:r>
      <w:r w:rsidRPr="00770C00">
        <w:rPr>
          <w:rFonts w:ascii="Garamond" w:hAnsi="Garamond" w:cs="Arial"/>
          <w:bCs/>
          <w:sz w:val="24"/>
          <w:szCs w:val="24"/>
        </w:rPr>
        <w:t>8,</w:t>
      </w:r>
      <w:r>
        <w:rPr>
          <w:rFonts w:ascii="Garamond" w:hAnsi="Garamond" w:cs="Arial"/>
          <w:bCs/>
          <w:sz w:val="24"/>
          <w:szCs w:val="24"/>
        </w:rPr>
        <w:t xml:space="preserve">261 </w:t>
      </w:r>
      <w:r w:rsidRPr="00337122">
        <w:rPr>
          <w:rFonts w:ascii="Garamond" w:hAnsi="Garamond" w:cs="Arial"/>
          <w:bCs/>
          <w:sz w:val="24"/>
          <w:szCs w:val="24"/>
        </w:rPr>
        <w:t>crore) followed by MCX (</w:t>
      </w:r>
      <w:r w:rsidRPr="00337122">
        <w:rPr>
          <w:rFonts w:ascii="Rupee Foradian" w:hAnsi="Rupee Foradian" w:cs="Arial"/>
          <w:bCs/>
          <w:sz w:val="24"/>
          <w:szCs w:val="24"/>
        </w:rPr>
        <w:t>`</w:t>
      </w:r>
      <w:r w:rsidRPr="00770C00">
        <w:rPr>
          <w:rFonts w:ascii="Garamond" w:hAnsi="Garamond" w:cs="Arial"/>
          <w:bCs/>
          <w:sz w:val="24"/>
          <w:szCs w:val="24"/>
        </w:rPr>
        <w:t>7,</w:t>
      </w:r>
      <w:r>
        <w:rPr>
          <w:rFonts w:ascii="Garamond" w:hAnsi="Garamond" w:cs="Arial"/>
          <w:bCs/>
          <w:sz w:val="24"/>
          <w:szCs w:val="24"/>
        </w:rPr>
        <w:t>424</w:t>
      </w:r>
      <w:r w:rsidRPr="00337122">
        <w:rPr>
          <w:rFonts w:ascii="Garamond" w:hAnsi="Garamond" w:cs="Arial"/>
          <w:bCs/>
          <w:sz w:val="24"/>
          <w:szCs w:val="24"/>
        </w:rPr>
        <w:t xml:space="preserve"> crore)</w:t>
      </w:r>
      <w:r>
        <w:rPr>
          <w:rFonts w:ascii="Garamond" w:hAnsi="Garamond" w:cs="Arial"/>
          <w:bCs/>
          <w:sz w:val="24"/>
          <w:szCs w:val="24"/>
        </w:rPr>
        <w:t>,</w:t>
      </w:r>
      <w:r w:rsidRPr="00337122">
        <w:rPr>
          <w:rFonts w:ascii="Garamond" w:hAnsi="Garamond" w:cs="Arial"/>
          <w:bCs/>
          <w:sz w:val="24"/>
          <w:szCs w:val="24"/>
        </w:rPr>
        <w:t xml:space="preserve"> NMCE (</w:t>
      </w:r>
      <w:r w:rsidRPr="00337122">
        <w:rPr>
          <w:rFonts w:ascii="Rupee Foradian" w:hAnsi="Rupee Foradian" w:cs="Arial"/>
          <w:bCs/>
          <w:sz w:val="24"/>
          <w:szCs w:val="24"/>
        </w:rPr>
        <w:t>`</w:t>
      </w:r>
      <w:r w:rsidRPr="00337122">
        <w:rPr>
          <w:rFonts w:ascii="Garamond" w:hAnsi="Garamond" w:cs="Arial"/>
          <w:bCs/>
          <w:sz w:val="24"/>
          <w:szCs w:val="24"/>
        </w:rPr>
        <w:t>1</w:t>
      </w:r>
      <w:r>
        <w:rPr>
          <w:rFonts w:ascii="Garamond" w:hAnsi="Garamond" w:cs="Arial"/>
          <w:bCs/>
          <w:sz w:val="24"/>
          <w:szCs w:val="24"/>
        </w:rPr>
        <w:t>,014</w:t>
      </w:r>
      <w:r w:rsidRPr="00337122">
        <w:rPr>
          <w:rFonts w:ascii="Garamond" w:hAnsi="Garamond" w:cs="Arial"/>
          <w:bCs/>
          <w:sz w:val="24"/>
          <w:szCs w:val="24"/>
        </w:rPr>
        <w:t xml:space="preserve"> crore)</w:t>
      </w:r>
      <w:r>
        <w:rPr>
          <w:rFonts w:ascii="Garamond" w:hAnsi="Garamond" w:cs="Arial"/>
          <w:bCs/>
          <w:sz w:val="24"/>
          <w:szCs w:val="24"/>
        </w:rPr>
        <w:t xml:space="preserve"> and ICEX (</w:t>
      </w:r>
      <w:r>
        <w:rPr>
          <w:rFonts w:ascii="Times New Roman" w:hAnsi="Times New Roman"/>
          <w:bCs/>
          <w:sz w:val="24"/>
          <w:szCs w:val="24"/>
        </w:rPr>
        <w:t>₹</w:t>
      </w:r>
      <w:r>
        <w:rPr>
          <w:rFonts w:ascii="Garamond" w:hAnsi="Garamond" w:cs="Arial"/>
          <w:bCs/>
          <w:sz w:val="24"/>
          <w:szCs w:val="24"/>
        </w:rPr>
        <w:t>159.2 crore).</w:t>
      </w:r>
      <w:r w:rsidRPr="00337122">
        <w:rPr>
          <w:rFonts w:ascii="Garamond" w:hAnsi="Garamond" w:cs="Arial"/>
          <w:bCs/>
          <w:sz w:val="24"/>
          <w:szCs w:val="24"/>
        </w:rPr>
        <w:t xml:space="preserve"> The turnover of agricultural and non- agricultural commodities at national exchanges is shown in Figures 1</w:t>
      </w:r>
      <w:r>
        <w:rPr>
          <w:rFonts w:ascii="Garamond" w:hAnsi="Garamond" w:cs="Arial"/>
          <w:bCs/>
          <w:sz w:val="24"/>
          <w:szCs w:val="24"/>
        </w:rPr>
        <w:t>2</w:t>
      </w:r>
      <w:r w:rsidRPr="00337122">
        <w:rPr>
          <w:rFonts w:ascii="Garamond" w:hAnsi="Garamond" w:cs="Arial"/>
          <w:bCs/>
          <w:sz w:val="24"/>
          <w:szCs w:val="24"/>
        </w:rPr>
        <w:t>, 1</w:t>
      </w:r>
      <w:r>
        <w:rPr>
          <w:rFonts w:ascii="Garamond" w:hAnsi="Garamond" w:cs="Arial"/>
          <w:bCs/>
          <w:sz w:val="24"/>
          <w:szCs w:val="24"/>
        </w:rPr>
        <w:t>3</w:t>
      </w:r>
      <w:r w:rsidRPr="00337122">
        <w:rPr>
          <w:rFonts w:ascii="Garamond" w:hAnsi="Garamond" w:cs="Arial"/>
          <w:bCs/>
          <w:sz w:val="24"/>
          <w:szCs w:val="24"/>
        </w:rPr>
        <w:t xml:space="preserve"> and the details in Tables 67 to 72.</w:t>
      </w:r>
    </w:p>
    <w:p w14:paraId="039EB21B" w14:textId="77777777" w:rsidR="00C5624F" w:rsidRDefault="00C5624F" w:rsidP="00C5624F">
      <w:pPr>
        <w:pStyle w:val="ListParagraph"/>
        <w:spacing w:after="0" w:line="240" w:lineRule="auto"/>
        <w:jc w:val="both"/>
        <w:rPr>
          <w:rFonts w:ascii="Garamond" w:hAnsi="Garamond" w:cs="Arial"/>
          <w:bCs/>
          <w:sz w:val="24"/>
          <w:szCs w:val="24"/>
        </w:rPr>
      </w:pPr>
    </w:p>
    <w:p w14:paraId="7A2358CC" w14:textId="77777777" w:rsidR="00C5624F" w:rsidRPr="00770C00" w:rsidRDefault="00C5624F" w:rsidP="00C5624F">
      <w:pPr>
        <w:pStyle w:val="ListParagraph"/>
        <w:spacing w:after="0" w:line="240" w:lineRule="auto"/>
        <w:jc w:val="center"/>
        <w:rPr>
          <w:rFonts w:ascii="Garamond" w:hAnsi="Garamond" w:cs="Arial"/>
          <w:b/>
          <w:bCs/>
          <w:color w:val="2E74B5" w:themeColor="accent1" w:themeShade="BF"/>
          <w:sz w:val="24"/>
          <w:szCs w:val="24"/>
        </w:rPr>
      </w:pPr>
      <w:r w:rsidRPr="00770C00">
        <w:rPr>
          <w:rFonts w:ascii="Garamond" w:hAnsi="Garamond" w:cs="Arial"/>
          <w:b/>
          <w:bCs/>
          <w:color w:val="2E74B5" w:themeColor="accent1" w:themeShade="BF"/>
          <w:sz w:val="24"/>
          <w:szCs w:val="24"/>
        </w:rPr>
        <w:t>Figure 1</w:t>
      </w:r>
      <w:r>
        <w:rPr>
          <w:rFonts w:ascii="Garamond" w:hAnsi="Garamond" w:cs="Arial"/>
          <w:b/>
          <w:bCs/>
          <w:color w:val="2E74B5" w:themeColor="accent1" w:themeShade="BF"/>
          <w:sz w:val="24"/>
          <w:szCs w:val="24"/>
        </w:rPr>
        <w:t>2</w:t>
      </w:r>
      <w:r w:rsidRPr="00770C00">
        <w:rPr>
          <w:rFonts w:ascii="Garamond" w:hAnsi="Garamond" w:cs="Arial"/>
          <w:b/>
          <w:bCs/>
          <w:color w:val="2E74B5" w:themeColor="accent1" w:themeShade="BF"/>
          <w:sz w:val="24"/>
          <w:szCs w:val="24"/>
        </w:rPr>
        <w:t>: Trends in Turnover of Agricultural Commodity Derivatives (</w:t>
      </w:r>
      <w:r w:rsidRPr="00770C00">
        <w:rPr>
          <w:rFonts w:ascii="Times New Roman" w:hAnsi="Times New Roman"/>
          <w:b/>
          <w:bCs/>
          <w:color w:val="2E74B5" w:themeColor="accent1" w:themeShade="BF"/>
          <w:sz w:val="24"/>
          <w:szCs w:val="24"/>
        </w:rPr>
        <w:t>₹</w:t>
      </w:r>
      <w:r w:rsidRPr="00770C00">
        <w:rPr>
          <w:rFonts w:ascii="Garamond" w:hAnsi="Garamond" w:cs="Arial"/>
          <w:b/>
          <w:bCs/>
          <w:color w:val="2E74B5" w:themeColor="accent1" w:themeShade="BF"/>
          <w:sz w:val="24"/>
          <w:szCs w:val="24"/>
        </w:rPr>
        <w:t>crore)</w:t>
      </w:r>
    </w:p>
    <w:p w14:paraId="391283A5" w14:textId="77777777" w:rsidR="00C5624F" w:rsidRDefault="00C5624F" w:rsidP="00C5624F">
      <w:pPr>
        <w:spacing w:after="160" w:line="259" w:lineRule="auto"/>
        <w:ind w:left="709"/>
        <w:rPr>
          <w:rFonts w:ascii="Garamond" w:hAnsi="Garamond"/>
          <w:b/>
          <w:color w:val="365F91"/>
        </w:rPr>
      </w:pPr>
      <w:r>
        <w:rPr>
          <w:noProof/>
          <w:lang w:val="en-IN" w:eastAsia="en-IN"/>
        </w:rPr>
        <w:drawing>
          <wp:inline distT="0" distB="0" distL="0" distR="0" wp14:anchorId="29D35A53" wp14:editId="2C3CD8C7">
            <wp:extent cx="5372100" cy="2314575"/>
            <wp:effectExtent l="0" t="0" r="0"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6511C66" w14:textId="77777777" w:rsidR="00C5624F" w:rsidRDefault="00C5624F" w:rsidP="00C5624F">
      <w:pPr>
        <w:ind w:left="1843" w:hanging="1134"/>
        <w:rPr>
          <w:rFonts w:ascii="Garamond" w:hAnsi="Garamond"/>
          <w:b/>
          <w:color w:val="365F91"/>
        </w:rPr>
      </w:pPr>
      <w:r>
        <w:rPr>
          <w:rFonts w:ascii="Garamond" w:hAnsi="Garamond"/>
          <w:b/>
          <w:color w:val="365F91"/>
        </w:rPr>
        <w:t xml:space="preserve">Figure 13: Trends in Turnover of Non- Agricultural Commodity Derivatives - </w:t>
      </w:r>
    </w:p>
    <w:p w14:paraId="40BB2529" w14:textId="77777777" w:rsidR="00C5624F" w:rsidRDefault="00C5624F" w:rsidP="00C5624F">
      <w:pPr>
        <w:ind w:left="1843" w:hanging="1134"/>
        <w:rPr>
          <w:rFonts w:ascii="Garamond" w:hAnsi="Garamond"/>
          <w:b/>
          <w:color w:val="365F91"/>
        </w:rPr>
      </w:pPr>
      <w:r>
        <w:rPr>
          <w:noProof/>
          <w:lang w:val="en-IN" w:eastAsia="en-IN"/>
        </w:rPr>
        <w:drawing>
          <wp:anchor distT="0" distB="0" distL="114300" distR="114300" simplePos="0" relativeHeight="251667456" behindDoc="0" locked="0" layoutInCell="1" allowOverlap="1" wp14:anchorId="35550DBB" wp14:editId="1AFC84B2">
            <wp:simplePos x="0" y="0"/>
            <wp:positionH relativeFrom="column">
              <wp:posOffset>495300</wp:posOffset>
            </wp:positionH>
            <wp:positionV relativeFrom="paragraph">
              <wp:posOffset>264795</wp:posOffset>
            </wp:positionV>
            <wp:extent cx="5181600" cy="2343150"/>
            <wp:effectExtent l="0" t="0" r="0" b="0"/>
            <wp:wrapTopAndBottom/>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Garamond" w:hAnsi="Garamond"/>
          <w:b/>
          <w:color w:val="365F91"/>
        </w:rPr>
        <w:t xml:space="preserve">                  Futures and Options (</w:t>
      </w:r>
      <w:r>
        <w:rPr>
          <w:rFonts w:ascii="Times New Roman" w:hAnsi="Times New Roman"/>
          <w:b/>
          <w:color w:val="365F91"/>
        </w:rPr>
        <w:t>₹</w:t>
      </w:r>
      <w:r>
        <w:rPr>
          <w:rFonts w:ascii="Garamond" w:hAnsi="Garamond"/>
          <w:b/>
          <w:color w:val="365F91"/>
        </w:rPr>
        <w:t xml:space="preserve"> crore)</w:t>
      </w:r>
    </w:p>
    <w:p w14:paraId="668D60E5" w14:textId="77777777" w:rsidR="00C5624F" w:rsidRDefault="00C5624F" w:rsidP="00C5624F">
      <w:pPr>
        <w:ind w:left="1843" w:hanging="1134"/>
        <w:rPr>
          <w:rFonts w:ascii="Garamond" w:hAnsi="Garamond"/>
          <w:b/>
          <w:color w:val="365F91"/>
        </w:rPr>
      </w:pPr>
    </w:p>
    <w:p w14:paraId="58CB2A93" w14:textId="77777777" w:rsidR="00C5624F" w:rsidRDefault="00C5624F" w:rsidP="00C5624F">
      <w:pPr>
        <w:ind w:left="709"/>
        <w:rPr>
          <w:rFonts w:ascii="Garamond" w:hAnsi="Garamond" w:cs="Arial"/>
          <w:b/>
        </w:rPr>
      </w:pPr>
    </w:p>
    <w:p w14:paraId="052D2D23" w14:textId="77777777" w:rsidR="00C5624F" w:rsidRDefault="00C5624F" w:rsidP="00C5624F">
      <w:pPr>
        <w:ind w:left="709"/>
        <w:rPr>
          <w:rFonts w:ascii="Garamond" w:hAnsi="Garamond" w:cs="Arial"/>
          <w:b/>
        </w:rPr>
      </w:pPr>
      <w:r w:rsidRPr="00211715">
        <w:rPr>
          <w:rFonts w:ascii="Garamond" w:hAnsi="Garamond"/>
          <w:b/>
          <w:color w:val="365F91"/>
        </w:rPr>
        <w:t xml:space="preserve">Figure 14 : Movement of </w:t>
      </w:r>
      <w:r w:rsidR="004B2189">
        <w:rPr>
          <w:rFonts w:ascii="Garamond" w:hAnsi="Garamond"/>
          <w:b/>
          <w:color w:val="365F91"/>
        </w:rPr>
        <w:t>F</w:t>
      </w:r>
      <w:r w:rsidRPr="00211715">
        <w:rPr>
          <w:rFonts w:ascii="Garamond" w:hAnsi="Garamond"/>
          <w:b/>
          <w:color w:val="365F91"/>
        </w:rPr>
        <w:t xml:space="preserve">utures </w:t>
      </w:r>
      <w:r w:rsidR="004B2189">
        <w:rPr>
          <w:rFonts w:ascii="Garamond" w:hAnsi="Garamond"/>
          <w:b/>
          <w:color w:val="365F91"/>
        </w:rPr>
        <w:t>P</w:t>
      </w:r>
      <w:r w:rsidRPr="00211715">
        <w:rPr>
          <w:rFonts w:ascii="Garamond" w:hAnsi="Garamond"/>
          <w:b/>
          <w:color w:val="365F91"/>
        </w:rPr>
        <w:t xml:space="preserve">rices (M-o-M) for </w:t>
      </w:r>
      <w:r w:rsidR="004B2189">
        <w:rPr>
          <w:rFonts w:ascii="Garamond" w:hAnsi="Garamond"/>
          <w:b/>
          <w:color w:val="365F91"/>
        </w:rPr>
        <w:t>C</w:t>
      </w:r>
      <w:r w:rsidRPr="00211715">
        <w:rPr>
          <w:rFonts w:ascii="Garamond" w:hAnsi="Garamond"/>
          <w:b/>
          <w:color w:val="365F91"/>
        </w:rPr>
        <w:t xml:space="preserve">ommodities </w:t>
      </w:r>
      <w:r w:rsidR="004B2189">
        <w:rPr>
          <w:rFonts w:ascii="Garamond" w:hAnsi="Garamond"/>
          <w:b/>
          <w:color w:val="365F91"/>
        </w:rPr>
        <w:t>T</w:t>
      </w:r>
      <w:r w:rsidRPr="00211715">
        <w:rPr>
          <w:rFonts w:ascii="Garamond" w:hAnsi="Garamond"/>
          <w:b/>
          <w:color w:val="365F91"/>
        </w:rPr>
        <w:t xml:space="preserve">raded on </w:t>
      </w:r>
      <w:r w:rsidR="004B2189">
        <w:rPr>
          <w:rFonts w:ascii="Garamond" w:hAnsi="Garamond"/>
          <w:b/>
          <w:color w:val="365F91"/>
        </w:rPr>
        <w:t>D</w:t>
      </w:r>
      <w:r w:rsidRPr="00211715">
        <w:rPr>
          <w:rFonts w:ascii="Garamond" w:hAnsi="Garamond"/>
          <w:b/>
          <w:color w:val="365F91"/>
        </w:rPr>
        <w:t xml:space="preserve">omestic </w:t>
      </w:r>
      <w:r w:rsidR="004B2189">
        <w:rPr>
          <w:rFonts w:ascii="Garamond" w:hAnsi="Garamond"/>
          <w:b/>
          <w:color w:val="365F91"/>
        </w:rPr>
        <w:t>E</w:t>
      </w:r>
      <w:r w:rsidRPr="00211715">
        <w:rPr>
          <w:rFonts w:ascii="Garamond" w:hAnsi="Garamond"/>
          <w:b/>
          <w:color w:val="365F91"/>
        </w:rPr>
        <w:t>xchanges during September 2018</w:t>
      </w:r>
    </w:p>
    <w:p w14:paraId="31294220" w14:textId="77777777" w:rsidR="00C5624F" w:rsidRDefault="00C5624F" w:rsidP="00C5624F">
      <w:pPr>
        <w:ind w:left="709"/>
        <w:rPr>
          <w:rFonts w:ascii="Garamond" w:hAnsi="Garamond" w:cs="Arial"/>
          <w:b/>
        </w:rPr>
      </w:pPr>
    </w:p>
    <w:p w14:paraId="16DA9820" w14:textId="77777777" w:rsidR="00C5624F" w:rsidRDefault="00C5624F" w:rsidP="00C5624F">
      <w:pPr>
        <w:ind w:left="709"/>
        <w:rPr>
          <w:rFonts w:ascii="Garamond" w:hAnsi="Garamond" w:cs="Arial"/>
          <w:bCs/>
        </w:rPr>
      </w:pPr>
      <w:r>
        <w:rPr>
          <w:noProof/>
          <w:lang w:val="en-IN" w:eastAsia="en-IN"/>
        </w:rPr>
        <w:drawing>
          <wp:inline distT="0" distB="0" distL="0" distR="0" wp14:anchorId="647B5842" wp14:editId="6AF5D3A2">
            <wp:extent cx="5505450" cy="794385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Garamond" w:hAnsi="Garamond" w:cs="Arial"/>
          <w:bCs/>
        </w:rPr>
        <w:t>Source : MCX, NCDEX, NMCE, ICEX</w:t>
      </w:r>
    </w:p>
    <w:p w14:paraId="5B0AB693" w14:textId="77777777" w:rsidR="00C5624F" w:rsidRDefault="00C5624F" w:rsidP="00C5624F">
      <w:pPr>
        <w:pStyle w:val="ListParagraph"/>
        <w:spacing w:after="0" w:line="240" w:lineRule="auto"/>
        <w:ind w:left="709"/>
        <w:jc w:val="both"/>
        <w:rPr>
          <w:rFonts w:ascii="Garamond" w:hAnsi="Garamond" w:cs="Arial"/>
          <w:bCs/>
          <w:sz w:val="24"/>
          <w:szCs w:val="24"/>
        </w:rPr>
      </w:pPr>
    </w:p>
    <w:p w14:paraId="450B1306" w14:textId="77777777" w:rsidR="00C5624F" w:rsidRDefault="00C5624F">
      <w:pPr>
        <w:rPr>
          <w:rFonts w:ascii="Palatino Linotype" w:hAnsi="Palatino Linotype"/>
          <w:b/>
          <w:sz w:val="22"/>
          <w:szCs w:val="22"/>
        </w:rPr>
      </w:pPr>
      <w:r>
        <w:rPr>
          <w:rFonts w:ascii="Palatino Linotype" w:hAnsi="Palatino Linotype"/>
          <w:b/>
          <w:sz w:val="22"/>
          <w:szCs w:val="22"/>
        </w:rPr>
        <w:br w:type="page"/>
      </w:r>
    </w:p>
    <w:p w14:paraId="54E59D0D" w14:textId="77777777" w:rsidR="002924F3" w:rsidRPr="00D13863" w:rsidRDefault="002924F3" w:rsidP="006859F1">
      <w:pPr>
        <w:widowControl w:val="0"/>
        <w:numPr>
          <w:ilvl w:val="0"/>
          <w:numId w:val="2"/>
        </w:numPr>
        <w:contextualSpacing/>
        <w:jc w:val="both"/>
        <w:rPr>
          <w:rFonts w:ascii="Palatino Linotype" w:hAnsi="Palatino Linotype"/>
          <w:b/>
          <w:sz w:val="22"/>
          <w:szCs w:val="22"/>
        </w:rPr>
      </w:pPr>
      <w:r w:rsidRPr="00D13863">
        <w:rPr>
          <w:rFonts w:ascii="Palatino Linotype" w:hAnsi="Palatino Linotype"/>
          <w:b/>
          <w:sz w:val="22"/>
          <w:szCs w:val="22"/>
        </w:rPr>
        <w:t>Trading in Corporate Debt Market</w:t>
      </w:r>
    </w:p>
    <w:p w14:paraId="07C6EDB1" w14:textId="77777777" w:rsidR="002924F3" w:rsidRPr="00D13863" w:rsidRDefault="002924F3" w:rsidP="002924F3">
      <w:pPr>
        <w:widowControl w:val="0"/>
        <w:ind w:left="720"/>
        <w:contextualSpacing/>
        <w:jc w:val="both"/>
        <w:rPr>
          <w:rFonts w:ascii="Palatino Linotype" w:eastAsia="Times New Roman" w:hAnsi="Palatino Linotype"/>
          <w:sz w:val="22"/>
          <w:szCs w:val="22"/>
          <w:highlight w:val="lightGray"/>
        </w:rPr>
      </w:pPr>
    </w:p>
    <w:p w14:paraId="20CBA48B" w14:textId="77777777" w:rsidR="00885921" w:rsidRPr="0038777E" w:rsidRDefault="00885921" w:rsidP="00885921">
      <w:pPr>
        <w:jc w:val="both"/>
        <w:rPr>
          <w:rFonts w:ascii="Palatino Linotype" w:hAnsi="Palatino Linotype" w:cs="Arial"/>
          <w:bCs/>
          <w:sz w:val="22"/>
          <w:szCs w:val="22"/>
        </w:rPr>
      </w:pPr>
      <w:r>
        <w:rPr>
          <w:rFonts w:ascii="Palatino Linotype" w:hAnsi="Palatino Linotype" w:cs="Arial"/>
          <w:bCs/>
          <w:sz w:val="22"/>
          <w:szCs w:val="22"/>
        </w:rPr>
        <w:t xml:space="preserve">Indian companies raised a total of </w:t>
      </w:r>
      <w:r w:rsidRPr="0038777E">
        <w:rPr>
          <w:rFonts w:ascii="Rupee Foradian" w:hAnsi="Rupee Foradian" w:cs="Arial"/>
          <w:bCs/>
          <w:sz w:val="22"/>
          <w:szCs w:val="22"/>
        </w:rPr>
        <w:t>`</w:t>
      </w:r>
      <w:r>
        <w:rPr>
          <w:rFonts w:ascii="Palatino Linotype" w:hAnsi="Palatino Linotype" w:cs="Arial"/>
          <w:bCs/>
          <w:sz w:val="22"/>
          <w:szCs w:val="22"/>
        </w:rPr>
        <w:t xml:space="preserve"> 1,23,019 crore d</w:t>
      </w:r>
      <w:r w:rsidRPr="00FD1D35">
        <w:rPr>
          <w:rFonts w:ascii="Palatino Linotype" w:hAnsi="Palatino Linotype" w:cs="Arial"/>
          <w:bCs/>
          <w:sz w:val="22"/>
          <w:szCs w:val="22"/>
        </w:rPr>
        <w:t>uri</w:t>
      </w:r>
      <w:r>
        <w:rPr>
          <w:rFonts w:ascii="Palatino Linotype" w:hAnsi="Palatino Linotype" w:cs="Arial"/>
          <w:bCs/>
          <w:sz w:val="22"/>
          <w:szCs w:val="22"/>
        </w:rPr>
        <w:t xml:space="preserve">ng September 2018 through the corporate debt route. </w:t>
      </w:r>
      <w:r w:rsidRPr="00FD1D35">
        <w:rPr>
          <w:rFonts w:ascii="Palatino Linotype" w:hAnsi="Palatino Linotype" w:cs="Arial"/>
          <w:bCs/>
          <w:sz w:val="22"/>
          <w:szCs w:val="22"/>
        </w:rPr>
        <w:t xml:space="preserve">BSE noted 2,840 trades with a traded value of </w:t>
      </w:r>
      <w:r w:rsidRPr="00FD1D35">
        <w:rPr>
          <w:rFonts w:ascii="Tahoma" w:hAnsi="Tahoma" w:cs="Tahoma"/>
          <w:bCs/>
          <w:sz w:val="22"/>
          <w:szCs w:val="22"/>
        </w:rPr>
        <w:t>₹</w:t>
      </w:r>
      <w:r w:rsidRPr="00FD1D35">
        <w:rPr>
          <w:rFonts w:ascii="Palatino Linotype" w:hAnsi="Palatino Linotype" w:cs="Arial"/>
          <w:bCs/>
          <w:sz w:val="22"/>
          <w:szCs w:val="22"/>
        </w:rPr>
        <w:t xml:space="preserve"> 37,395 crore as compared to 3,534 trades </w:t>
      </w:r>
      <w:r>
        <w:rPr>
          <w:rFonts w:ascii="Palatino Linotype" w:hAnsi="Palatino Linotype" w:cs="Arial"/>
          <w:bCs/>
          <w:sz w:val="22"/>
          <w:szCs w:val="22"/>
        </w:rPr>
        <w:t xml:space="preserve">worth </w:t>
      </w:r>
      <w:r w:rsidRPr="00FD1D35">
        <w:rPr>
          <w:rFonts w:ascii="Tahoma" w:hAnsi="Tahoma" w:cs="Tahoma"/>
          <w:bCs/>
          <w:sz w:val="22"/>
          <w:szCs w:val="22"/>
        </w:rPr>
        <w:t>₹</w:t>
      </w:r>
      <w:r w:rsidRPr="00FD1D35">
        <w:rPr>
          <w:rFonts w:ascii="Palatino Linotype" w:hAnsi="Palatino Linotype" w:cs="Arial"/>
          <w:bCs/>
          <w:sz w:val="22"/>
          <w:szCs w:val="22"/>
        </w:rPr>
        <w:t xml:space="preserve"> 43,548 crore in August 2018. At NSE, 4,388 trades were noted with a traded value of </w:t>
      </w:r>
      <w:r w:rsidRPr="0038777E">
        <w:rPr>
          <w:rFonts w:ascii="Rupee Foradian" w:hAnsi="Rupee Foradian" w:cs="Arial"/>
          <w:bCs/>
          <w:sz w:val="22"/>
          <w:szCs w:val="22"/>
        </w:rPr>
        <w:t>`</w:t>
      </w:r>
      <w:r>
        <w:rPr>
          <w:rFonts w:ascii="Palatino Linotype" w:hAnsi="Palatino Linotype" w:cs="Arial"/>
          <w:bCs/>
          <w:sz w:val="22"/>
          <w:szCs w:val="22"/>
        </w:rPr>
        <w:t xml:space="preserve"> </w:t>
      </w:r>
      <w:r w:rsidRPr="00FD1D35">
        <w:rPr>
          <w:rFonts w:ascii="Palatino Linotype" w:hAnsi="Palatino Linotype" w:cs="Arial"/>
          <w:bCs/>
          <w:sz w:val="22"/>
          <w:szCs w:val="22"/>
        </w:rPr>
        <w:t xml:space="preserve">85,624 crore in September 2018 as compared to 5,036 </w:t>
      </w:r>
      <w:r w:rsidRPr="00FD1D35">
        <w:rPr>
          <w:rFonts w:ascii="Palatino Linotype" w:eastAsia="Times New Roman" w:hAnsi="Palatino Linotype" w:cs="Calibri"/>
          <w:sz w:val="22"/>
          <w:szCs w:val="22"/>
          <w:lang w:val="en-US"/>
        </w:rPr>
        <w:t xml:space="preserve">trades </w:t>
      </w:r>
      <w:r w:rsidRPr="00FD1D35">
        <w:rPr>
          <w:rFonts w:ascii="Palatino Linotype" w:hAnsi="Palatino Linotype" w:cs="Arial"/>
          <w:bCs/>
          <w:sz w:val="22"/>
          <w:szCs w:val="22"/>
        </w:rPr>
        <w:t xml:space="preserve">with a traded value of </w:t>
      </w:r>
      <w:r w:rsidRPr="00FD1D35">
        <w:rPr>
          <w:rFonts w:ascii="Times New Roman" w:hAnsi="Times New Roman"/>
          <w:bCs/>
          <w:sz w:val="22"/>
          <w:szCs w:val="22"/>
        </w:rPr>
        <w:t>₹</w:t>
      </w:r>
      <w:r w:rsidRPr="00FD1D35">
        <w:rPr>
          <w:rFonts w:ascii="Palatino Linotype" w:eastAsia="Times New Roman" w:hAnsi="Palatino Linotype"/>
          <w:bCs/>
          <w:sz w:val="22"/>
          <w:szCs w:val="22"/>
          <w:lang w:eastAsia="en-GB" w:bidi="bn-IN"/>
        </w:rPr>
        <w:t xml:space="preserve"> 92,455 </w:t>
      </w:r>
      <w:r w:rsidRPr="00FD1D35">
        <w:rPr>
          <w:rFonts w:ascii="Palatino Linotype" w:eastAsia="Times New Roman" w:hAnsi="Palatino Linotype"/>
          <w:color w:val="000000"/>
          <w:sz w:val="22"/>
          <w:szCs w:val="22"/>
          <w:lang w:val="en-US"/>
        </w:rPr>
        <w:t>crore</w:t>
      </w:r>
      <w:r w:rsidRPr="00FD1D35">
        <w:rPr>
          <w:rFonts w:ascii="Palatino Linotype" w:hAnsi="Palatino Linotype" w:cs="Arial"/>
          <w:bCs/>
          <w:sz w:val="22"/>
          <w:szCs w:val="22"/>
        </w:rPr>
        <w:t xml:space="preserve"> reported in August 2018. </w:t>
      </w:r>
    </w:p>
    <w:p w14:paraId="3F743419" w14:textId="77777777" w:rsidR="00885921" w:rsidRPr="00D13863" w:rsidRDefault="00885921" w:rsidP="00885921">
      <w:pPr>
        <w:rPr>
          <w:rFonts w:ascii="Palatino Linotype" w:hAnsi="Palatino Linotype"/>
          <w:b/>
          <w:sz w:val="22"/>
          <w:szCs w:val="22"/>
        </w:rPr>
      </w:pPr>
    </w:p>
    <w:p w14:paraId="67FF877C" w14:textId="4E74F5C6" w:rsidR="00885921" w:rsidRDefault="00885921" w:rsidP="00885921">
      <w:pPr>
        <w:outlineLvl w:val="0"/>
        <w:rPr>
          <w:rFonts w:ascii="Palatino Linotype" w:hAnsi="Palatino Linotype"/>
          <w:b/>
          <w:sz w:val="22"/>
          <w:szCs w:val="22"/>
        </w:rPr>
      </w:pPr>
      <w:r>
        <w:rPr>
          <w:noProof/>
          <w:lang w:val="en-IN" w:eastAsia="en-IN"/>
        </w:rPr>
        <w:drawing>
          <wp:anchor distT="0" distB="0" distL="114300" distR="114300" simplePos="0" relativeHeight="251675648" behindDoc="0" locked="0" layoutInCell="1" allowOverlap="1" wp14:anchorId="6834D845" wp14:editId="4E59C587">
            <wp:simplePos x="0" y="0"/>
            <wp:positionH relativeFrom="margin">
              <wp:align>center</wp:align>
            </wp:positionH>
            <wp:positionV relativeFrom="paragraph">
              <wp:posOffset>380365</wp:posOffset>
            </wp:positionV>
            <wp:extent cx="5419725" cy="2314575"/>
            <wp:effectExtent l="0" t="0" r="9525" b="9525"/>
            <wp:wrapTopAndBottom/>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r w:rsidRPr="00D13863">
        <w:rPr>
          <w:rFonts w:ascii="Palatino Linotype" w:hAnsi="Palatino Linotype"/>
          <w:b/>
          <w:sz w:val="22"/>
          <w:szCs w:val="22"/>
        </w:rPr>
        <w:t>Figure 1</w:t>
      </w:r>
      <w:r w:rsidR="00B0603F">
        <w:rPr>
          <w:rFonts w:ascii="Palatino Linotype" w:hAnsi="Palatino Linotype"/>
          <w:b/>
          <w:sz w:val="22"/>
          <w:szCs w:val="22"/>
        </w:rPr>
        <w:t>5</w:t>
      </w:r>
      <w:r w:rsidRPr="00D13863">
        <w:rPr>
          <w:rFonts w:ascii="Palatino Linotype" w:hAnsi="Palatino Linotype"/>
          <w:b/>
          <w:sz w:val="22"/>
          <w:szCs w:val="22"/>
        </w:rPr>
        <w:t xml:space="preserve">: Trends in Reported Turnover of Corporate Bonds </w:t>
      </w:r>
      <w:r>
        <w:rPr>
          <w:rFonts w:ascii="Palatino Linotype" w:hAnsi="Palatino Linotype"/>
          <w:b/>
          <w:sz w:val="22"/>
          <w:szCs w:val="22"/>
        </w:rPr>
        <w:t>(</w:t>
      </w:r>
      <w:r>
        <w:rPr>
          <w:rFonts w:ascii="Times New Roman" w:hAnsi="Times New Roman"/>
          <w:b/>
          <w:sz w:val="22"/>
          <w:szCs w:val="22"/>
        </w:rPr>
        <w:t>₹</w:t>
      </w:r>
      <w:r w:rsidRPr="00D13863">
        <w:rPr>
          <w:rFonts w:ascii="Palatino Linotype" w:eastAsia="Times New Roman" w:hAnsi="Palatino Linotype" w:cs="Garamond"/>
          <w:sz w:val="22"/>
          <w:szCs w:val="22"/>
        </w:rPr>
        <w:t xml:space="preserve"> </w:t>
      </w:r>
      <w:r w:rsidRPr="00D13863">
        <w:rPr>
          <w:rFonts w:ascii="Palatino Linotype" w:hAnsi="Palatino Linotype"/>
          <w:b/>
          <w:sz w:val="22"/>
          <w:szCs w:val="22"/>
        </w:rPr>
        <w:t>crore)</w:t>
      </w:r>
    </w:p>
    <w:p w14:paraId="50FD892C" w14:textId="77777777" w:rsidR="00885921" w:rsidRPr="00AB7C34" w:rsidRDefault="00885921" w:rsidP="00885921">
      <w:pPr>
        <w:outlineLvl w:val="0"/>
        <w:rPr>
          <w:rFonts w:ascii="Palatino Linotype" w:hAnsi="Palatino Linotype"/>
          <w:b/>
          <w:sz w:val="22"/>
          <w:szCs w:val="22"/>
        </w:rPr>
      </w:pPr>
    </w:p>
    <w:p w14:paraId="298430C2" w14:textId="77777777" w:rsidR="00885921" w:rsidRPr="00D13863" w:rsidRDefault="00885921" w:rsidP="00885921">
      <w:pPr>
        <w:rPr>
          <w:rFonts w:ascii="Palatino Linotype" w:hAnsi="Palatino Linotype"/>
          <w:b/>
          <w:noProof/>
          <w:color w:val="000099"/>
          <w:sz w:val="22"/>
          <w:szCs w:val="22"/>
          <w:highlight w:val="lightGray"/>
        </w:rPr>
      </w:pPr>
    </w:p>
    <w:p w14:paraId="4F4F38CD" w14:textId="77777777" w:rsidR="00885921" w:rsidRPr="00D13863" w:rsidRDefault="00885921" w:rsidP="00885921">
      <w:pPr>
        <w:widowControl w:val="0"/>
        <w:numPr>
          <w:ilvl w:val="0"/>
          <w:numId w:val="2"/>
        </w:numPr>
        <w:contextualSpacing/>
        <w:jc w:val="both"/>
        <w:rPr>
          <w:rFonts w:ascii="Palatino Linotype" w:hAnsi="Palatino Linotype"/>
          <w:b/>
          <w:sz w:val="22"/>
          <w:szCs w:val="22"/>
        </w:rPr>
      </w:pPr>
      <w:r w:rsidRPr="00D13863">
        <w:rPr>
          <w:rFonts w:ascii="Palatino Linotype" w:hAnsi="Palatino Linotype"/>
          <w:b/>
          <w:sz w:val="22"/>
          <w:szCs w:val="22"/>
        </w:rPr>
        <w:t>Trends in Institutional Investment</w:t>
      </w:r>
    </w:p>
    <w:p w14:paraId="2D42DE66" w14:textId="77777777" w:rsidR="00885921" w:rsidRPr="00D13863" w:rsidRDefault="00885921" w:rsidP="00885921">
      <w:pPr>
        <w:widowControl w:val="0"/>
        <w:jc w:val="both"/>
        <w:rPr>
          <w:rFonts w:ascii="Palatino Linotype" w:hAnsi="Palatino Linotype"/>
          <w:sz w:val="22"/>
          <w:szCs w:val="22"/>
          <w:highlight w:val="lightGray"/>
        </w:rPr>
      </w:pPr>
    </w:p>
    <w:p w14:paraId="795AC54B" w14:textId="77777777" w:rsidR="00885921" w:rsidRPr="00D13863" w:rsidRDefault="00885921" w:rsidP="00885921">
      <w:pPr>
        <w:widowControl w:val="0"/>
        <w:numPr>
          <w:ilvl w:val="0"/>
          <w:numId w:val="1"/>
        </w:numPr>
        <w:tabs>
          <w:tab w:val="left" w:pos="0"/>
        </w:tabs>
        <w:contextualSpacing/>
        <w:jc w:val="both"/>
        <w:rPr>
          <w:rFonts w:ascii="Palatino Linotype" w:hAnsi="Palatino Linotype"/>
          <w:b/>
          <w:sz w:val="22"/>
          <w:szCs w:val="22"/>
        </w:rPr>
      </w:pPr>
      <w:r w:rsidRPr="00D13863">
        <w:rPr>
          <w:rFonts w:ascii="Palatino Linotype" w:hAnsi="Palatino Linotype"/>
          <w:b/>
          <w:sz w:val="22"/>
          <w:szCs w:val="22"/>
        </w:rPr>
        <w:t>Trends in Investment by Mutual Funds</w:t>
      </w:r>
    </w:p>
    <w:p w14:paraId="2A4FD113" w14:textId="77777777" w:rsidR="00885921" w:rsidRPr="00D13863" w:rsidRDefault="00885921" w:rsidP="00885921">
      <w:pPr>
        <w:jc w:val="both"/>
        <w:rPr>
          <w:rFonts w:ascii="Palatino Linotype" w:eastAsia="Times New Roman" w:hAnsi="Palatino Linotype"/>
          <w:bCs/>
          <w:sz w:val="22"/>
          <w:szCs w:val="22"/>
        </w:rPr>
      </w:pPr>
    </w:p>
    <w:p w14:paraId="53147F12" w14:textId="77777777" w:rsidR="00885921" w:rsidRPr="00FD1D35" w:rsidRDefault="00885921" w:rsidP="00885921">
      <w:pPr>
        <w:jc w:val="both"/>
        <w:rPr>
          <w:rFonts w:ascii="Palatino Linotype" w:hAnsi="Palatino Linotype" w:cs="Arial"/>
          <w:sz w:val="22"/>
          <w:szCs w:val="22"/>
        </w:rPr>
      </w:pPr>
      <w:r w:rsidRPr="00FD1D35">
        <w:rPr>
          <w:rFonts w:ascii="Palatino Linotype" w:hAnsi="Palatino Linotype" w:cs="Arial"/>
          <w:sz w:val="22"/>
          <w:szCs w:val="22"/>
        </w:rPr>
        <w:t xml:space="preserve">The total net investment in the secondary market by mutual funds was </w:t>
      </w:r>
      <w:r w:rsidRPr="00FD1D35">
        <w:rPr>
          <w:rFonts w:ascii="Tahoma" w:hAnsi="Tahoma" w:cs="Tahoma"/>
          <w:sz w:val="22"/>
          <w:szCs w:val="22"/>
        </w:rPr>
        <w:t>₹</w:t>
      </w:r>
      <w:r w:rsidRPr="00FD1D35">
        <w:rPr>
          <w:rFonts w:ascii="Palatino Linotype" w:hAnsi="Palatino Linotype" w:cs="Arial"/>
          <w:sz w:val="22"/>
          <w:szCs w:val="22"/>
        </w:rPr>
        <w:t xml:space="preserve"> 30,325 crore in September 2018</w:t>
      </w:r>
      <w:r>
        <w:rPr>
          <w:rFonts w:ascii="Palatino Linotype" w:hAnsi="Palatino Linotype" w:cs="Arial"/>
          <w:sz w:val="22"/>
          <w:szCs w:val="22"/>
        </w:rPr>
        <w:t>,</w:t>
      </w:r>
      <w:r w:rsidRPr="00FD1D35">
        <w:rPr>
          <w:rFonts w:ascii="Palatino Linotype" w:hAnsi="Palatino Linotype" w:cs="Arial"/>
          <w:sz w:val="22"/>
          <w:szCs w:val="22"/>
        </w:rPr>
        <w:t xml:space="preserve"> compared to the total net investment of </w:t>
      </w:r>
      <w:r w:rsidRPr="00FD1D35">
        <w:rPr>
          <w:rFonts w:ascii="Tahoma" w:hAnsi="Tahoma" w:cs="Tahoma"/>
          <w:sz w:val="22"/>
          <w:szCs w:val="22"/>
        </w:rPr>
        <w:t>₹</w:t>
      </w:r>
      <w:r w:rsidRPr="00FD1D35">
        <w:rPr>
          <w:rFonts w:ascii="Palatino Linotype" w:hAnsi="Palatino Linotype" w:cs="Arial"/>
          <w:sz w:val="22"/>
          <w:szCs w:val="22"/>
        </w:rPr>
        <w:t xml:space="preserve"> 39,839 crore in August 2018. During </w:t>
      </w:r>
      <w:r>
        <w:rPr>
          <w:rFonts w:ascii="Palatino Linotype" w:hAnsi="Palatino Linotype" w:cs="Arial"/>
          <w:sz w:val="22"/>
          <w:szCs w:val="22"/>
        </w:rPr>
        <w:t>September 2018, m</w:t>
      </w:r>
      <w:r w:rsidRPr="00FD1D35">
        <w:rPr>
          <w:rFonts w:ascii="Palatino Linotype" w:hAnsi="Palatino Linotype" w:cs="Arial"/>
          <w:sz w:val="22"/>
          <w:szCs w:val="22"/>
        </w:rPr>
        <w:t xml:space="preserve">utual funds </w:t>
      </w:r>
      <w:r>
        <w:rPr>
          <w:rFonts w:ascii="Palatino Linotype" w:hAnsi="Palatino Linotype" w:cs="Arial"/>
          <w:sz w:val="22"/>
          <w:szCs w:val="22"/>
        </w:rPr>
        <w:t xml:space="preserve">net </w:t>
      </w:r>
      <w:r w:rsidRPr="00FD1D35">
        <w:rPr>
          <w:rFonts w:ascii="Palatino Linotype" w:hAnsi="Palatino Linotype" w:cs="Arial"/>
          <w:sz w:val="22"/>
          <w:szCs w:val="22"/>
        </w:rPr>
        <w:t xml:space="preserve">invested </w:t>
      </w:r>
      <w:r w:rsidRPr="00FD1D35">
        <w:rPr>
          <w:rFonts w:ascii="Tahoma" w:hAnsi="Tahoma" w:cs="Tahoma"/>
          <w:sz w:val="22"/>
          <w:szCs w:val="22"/>
        </w:rPr>
        <w:t>₹</w:t>
      </w:r>
      <w:r w:rsidRPr="00FD1D35">
        <w:rPr>
          <w:rFonts w:ascii="Palatino Linotype" w:hAnsi="Palatino Linotype" w:cs="Arial"/>
          <w:sz w:val="22"/>
          <w:szCs w:val="22"/>
        </w:rPr>
        <w:t xml:space="preserve">11,638 crore in equity as compared </w:t>
      </w:r>
      <w:r w:rsidRPr="00FD1D35">
        <w:rPr>
          <w:rFonts w:ascii="Tahoma" w:hAnsi="Tahoma" w:cs="Tahoma"/>
          <w:sz w:val="22"/>
          <w:szCs w:val="22"/>
        </w:rPr>
        <w:t>₹</w:t>
      </w:r>
      <w:r w:rsidRPr="00FD1D35">
        <w:rPr>
          <w:rFonts w:ascii="Palatino Linotype" w:hAnsi="Palatino Linotype" w:cs="Arial"/>
          <w:sz w:val="22"/>
          <w:szCs w:val="22"/>
        </w:rPr>
        <w:t xml:space="preserve"> 4,095 crore </w:t>
      </w:r>
      <w:r>
        <w:rPr>
          <w:rFonts w:ascii="Palatino Linotype" w:hAnsi="Palatino Linotype" w:cs="Arial"/>
          <w:sz w:val="22"/>
          <w:szCs w:val="22"/>
        </w:rPr>
        <w:t xml:space="preserve">net </w:t>
      </w:r>
      <w:r w:rsidRPr="00FD1D35">
        <w:rPr>
          <w:rFonts w:ascii="Palatino Linotype" w:hAnsi="Palatino Linotype" w:cs="Arial"/>
          <w:sz w:val="22"/>
          <w:szCs w:val="22"/>
        </w:rPr>
        <w:t xml:space="preserve">investment in August 2018. In addition, mutual funds </w:t>
      </w:r>
      <w:r>
        <w:rPr>
          <w:rFonts w:ascii="Palatino Linotype" w:hAnsi="Palatino Linotype" w:cs="Arial"/>
          <w:sz w:val="22"/>
          <w:szCs w:val="22"/>
        </w:rPr>
        <w:t xml:space="preserve">net </w:t>
      </w:r>
      <w:r w:rsidRPr="00FD1D35">
        <w:rPr>
          <w:rFonts w:ascii="Palatino Linotype" w:hAnsi="Palatino Linotype" w:cs="Arial"/>
          <w:sz w:val="22"/>
          <w:szCs w:val="22"/>
        </w:rPr>
        <w:t xml:space="preserve">invested </w:t>
      </w:r>
      <w:r w:rsidRPr="00FD1D35">
        <w:rPr>
          <w:rFonts w:ascii="Tahoma" w:hAnsi="Tahoma" w:cs="Tahoma"/>
          <w:sz w:val="22"/>
          <w:szCs w:val="22"/>
        </w:rPr>
        <w:t>₹</w:t>
      </w:r>
      <w:r w:rsidRPr="00FD1D35">
        <w:rPr>
          <w:rFonts w:ascii="Palatino Linotype" w:hAnsi="Palatino Linotype" w:cs="Arial"/>
          <w:sz w:val="22"/>
          <w:szCs w:val="22"/>
        </w:rPr>
        <w:t xml:space="preserve"> 18,686 crore in debt securities </w:t>
      </w:r>
      <w:r>
        <w:rPr>
          <w:rFonts w:ascii="Palatino Linotype" w:hAnsi="Palatino Linotype" w:cs="Arial"/>
          <w:sz w:val="22"/>
          <w:szCs w:val="22"/>
        </w:rPr>
        <w:t xml:space="preserve">as compared to </w:t>
      </w:r>
      <w:r w:rsidRPr="00FD1D35">
        <w:rPr>
          <w:rFonts w:ascii="Tahoma" w:hAnsi="Tahoma" w:cs="Tahoma"/>
          <w:sz w:val="22"/>
          <w:szCs w:val="22"/>
        </w:rPr>
        <w:t>₹</w:t>
      </w:r>
      <w:r w:rsidRPr="00FD1D35">
        <w:rPr>
          <w:rFonts w:ascii="Palatino Linotype" w:hAnsi="Palatino Linotype" w:cs="Arial"/>
          <w:sz w:val="22"/>
          <w:szCs w:val="22"/>
        </w:rPr>
        <w:t xml:space="preserve"> 35,744 crore</w:t>
      </w:r>
      <w:r>
        <w:rPr>
          <w:rFonts w:ascii="Palatino Linotype" w:hAnsi="Palatino Linotype" w:cs="Arial"/>
          <w:sz w:val="22"/>
          <w:szCs w:val="22"/>
        </w:rPr>
        <w:t xml:space="preserve"> investment</w:t>
      </w:r>
      <w:r w:rsidRPr="00FD1D35">
        <w:rPr>
          <w:rFonts w:ascii="Palatino Linotype" w:hAnsi="Palatino Linotype" w:cs="Arial"/>
          <w:sz w:val="22"/>
          <w:szCs w:val="22"/>
        </w:rPr>
        <w:t xml:space="preserve"> in August 2018.</w:t>
      </w:r>
    </w:p>
    <w:p w14:paraId="545BC615" w14:textId="77777777" w:rsidR="00885921" w:rsidRPr="00FD1D35" w:rsidRDefault="00885921" w:rsidP="00885921">
      <w:pPr>
        <w:jc w:val="both"/>
        <w:rPr>
          <w:rFonts w:ascii="Palatino Linotype" w:eastAsia="Times New Roman" w:hAnsi="Palatino Linotype"/>
          <w:bCs/>
          <w:sz w:val="22"/>
          <w:szCs w:val="22"/>
        </w:rPr>
      </w:pPr>
    </w:p>
    <w:p w14:paraId="5FCAE6B9" w14:textId="77777777" w:rsidR="00885921" w:rsidRPr="00FD1D35" w:rsidRDefault="00885921" w:rsidP="00885921">
      <w:pPr>
        <w:jc w:val="both"/>
        <w:rPr>
          <w:rFonts w:ascii="Palatino Linotype" w:hAnsi="Palatino Linotype" w:cs="Arial"/>
          <w:sz w:val="22"/>
          <w:szCs w:val="22"/>
        </w:rPr>
      </w:pPr>
      <w:r w:rsidRPr="00FD1D35">
        <w:rPr>
          <w:rFonts w:ascii="Palatino Linotype" w:hAnsi="Palatino Linotype" w:cs="Arial"/>
          <w:sz w:val="22"/>
          <w:szCs w:val="22"/>
        </w:rPr>
        <w:t xml:space="preserve">During September 2018, there was a net outflow of </w:t>
      </w:r>
      <w:r w:rsidRPr="00FD1D35">
        <w:rPr>
          <w:rFonts w:ascii="Tahoma" w:hAnsi="Tahoma" w:cs="Tahoma"/>
          <w:sz w:val="22"/>
          <w:szCs w:val="22"/>
        </w:rPr>
        <w:t>₹</w:t>
      </w:r>
      <w:r w:rsidRPr="00FD1D35">
        <w:rPr>
          <w:rFonts w:ascii="Palatino Linotype" w:hAnsi="Palatino Linotype" w:cs="Arial"/>
          <w:sz w:val="22"/>
          <w:szCs w:val="22"/>
        </w:rPr>
        <w:t>2</w:t>
      </w:r>
      <w:r>
        <w:rPr>
          <w:rFonts w:ascii="Palatino Linotype" w:hAnsi="Palatino Linotype" w:cs="Arial"/>
          <w:sz w:val="22"/>
          <w:szCs w:val="22"/>
        </w:rPr>
        <w:t>,</w:t>
      </w:r>
      <w:r w:rsidRPr="00FD1D35">
        <w:rPr>
          <w:rFonts w:ascii="Palatino Linotype" w:hAnsi="Palatino Linotype" w:cs="Arial"/>
          <w:sz w:val="22"/>
          <w:szCs w:val="22"/>
        </w:rPr>
        <w:t xml:space="preserve">30,159 by the mutual funds industry as against a net inflow </w:t>
      </w:r>
      <w:r w:rsidRPr="00FD1D35">
        <w:rPr>
          <w:rFonts w:ascii="Tahoma" w:hAnsi="Tahoma" w:cs="Tahoma"/>
          <w:sz w:val="22"/>
          <w:szCs w:val="22"/>
        </w:rPr>
        <w:t>₹</w:t>
      </w:r>
      <w:r w:rsidRPr="00FD1D35">
        <w:rPr>
          <w:rFonts w:ascii="Palatino Linotype" w:hAnsi="Palatino Linotype" w:cs="Arial"/>
          <w:sz w:val="22"/>
          <w:szCs w:val="22"/>
        </w:rPr>
        <w:t>1</w:t>
      </w:r>
      <w:r>
        <w:rPr>
          <w:rFonts w:ascii="Palatino Linotype" w:hAnsi="Palatino Linotype" w:cs="Arial"/>
          <w:sz w:val="22"/>
          <w:szCs w:val="22"/>
        </w:rPr>
        <w:t>,</w:t>
      </w:r>
      <w:r w:rsidRPr="00FD1D35">
        <w:rPr>
          <w:rFonts w:ascii="Palatino Linotype" w:hAnsi="Palatino Linotype" w:cs="Arial"/>
          <w:sz w:val="22"/>
          <w:szCs w:val="22"/>
        </w:rPr>
        <w:t xml:space="preserve">74,649 crore during August 2018. </w:t>
      </w:r>
      <w:r>
        <w:rPr>
          <w:rFonts w:ascii="Palatino Linotype" w:hAnsi="Palatino Linotype" w:cs="Arial"/>
          <w:sz w:val="22"/>
          <w:szCs w:val="22"/>
        </w:rPr>
        <w:t>During the month</w:t>
      </w:r>
      <w:r w:rsidRPr="00FD1D35">
        <w:rPr>
          <w:rFonts w:ascii="Palatino Linotype" w:hAnsi="Palatino Linotype" w:cs="Arial"/>
          <w:sz w:val="22"/>
          <w:szCs w:val="22"/>
        </w:rPr>
        <w:t xml:space="preserve">, Growth / equity oriented schemes mobilised </w:t>
      </w:r>
      <w:r w:rsidRPr="00FD1D35">
        <w:rPr>
          <w:rFonts w:ascii="Tahoma" w:hAnsi="Tahoma" w:cs="Tahoma"/>
          <w:sz w:val="22"/>
          <w:szCs w:val="22"/>
        </w:rPr>
        <w:t>₹</w:t>
      </w:r>
      <w:r w:rsidRPr="00FD1D35">
        <w:rPr>
          <w:rFonts w:ascii="Palatino Linotype" w:hAnsi="Palatino Linotype" w:cs="Arial"/>
          <w:sz w:val="22"/>
          <w:szCs w:val="22"/>
        </w:rPr>
        <w:t xml:space="preserve"> 11,250 crore, followed by Exchange traded funds (</w:t>
      </w:r>
      <w:r w:rsidRPr="00FD1D35">
        <w:rPr>
          <w:rFonts w:ascii="Rupee Foradian" w:hAnsi="Rupee Foradian" w:cs="Arial"/>
          <w:sz w:val="22"/>
          <w:szCs w:val="22"/>
        </w:rPr>
        <w:t>`</w:t>
      </w:r>
      <w:r w:rsidRPr="00FD1D35">
        <w:rPr>
          <w:rFonts w:ascii="Palatino Linotype" w:hAnsi="Palatino Linotype" w:cs="Arial"/>
          <w:sz w:val="22"/>
          <w:szCs w:val="22"/>
        </w:rPr>
        <w:t xml:space="preserve"> 2,377 crore), Balanced schemes (</w:t>
      </w:r>
      <w:r w:rsidRPr="00FD1D35">
        <w:rPr>
          <w:rFonts w:ascii="Tahoma" w:hAnsi="Tahoma" w:cs="Tahoma"/>
          <w:sz w:val="22"/>
          <w:szCs w:val="22"/>
        </w:rPr>
        <w:t>₹</w:t>
      </w:r>
      <w:r w:rsidRPr="00FD1D35">
        <w:rPr>
          <w:rFonts w:ascii="Palatino Linotype" w:hAnsi="Palatino Linotype" w:cs="Arial"/>
          <w:sz w:val="22"/>
          <w:szCs w:val="22"/>
        </w:rPr>
        <w:t xml:space="preserve"> 730 crore), and Fund of funds schemes investing overseas (</w:t>
      </w:r>
      <w:r w:rsidRPr="00FD1D35">
        <w:rPr>
          <w:rFonts w:ascii="Tahoma" w:hAnsi="Tahoma" w:cs="Tahoma"/>
          <w:sz w:val="22"/>
          <w:szCs w:val="22"/>
        </w:rPr>
        <w:t>₹</w:t>
      </w:r>
      <w:r w:rsidRPr="00FD1D35">
        <w:rPr>
          <w:rFonts w:ascii="Palatino Linotype" w:hAnsi="Palatino Linotype" w:cs="Arial"/>
          <w:sz w:val="22"/>
          <w:szCs w:val="22"/>
        </w:rPr>
        <w:t xml:space="preserve"> 7 crore).</w:t>
      </w:r>
      <w:r>
        <w:rPr>
          <w:rFonts w:ascii="Palatino Linotype" w:hAnsi="Palatino Linotype" w:cs="Arial"/>
          <w:sz w:val="22"/>
          <w:szCs w:val="22"/>
        </w:rPr>
        <w:t xml:space="preserve"> </w:t>
      </w:r>
      <w:r w:rsidRPr="00FD1D35">
        <w:rPr>
          <w:rFonts w:ascii="Palatino Linotype" w:hAnsi="Palatino Linotype" w:cs="Arial"/>
          <w:sz w:val="22"/>
          <w:szCs w:val="22"/>
        </w:rPr>
        <w:t>However, income / debt oriented schemes</w:t>
      </w:r>
      <w:r>
        <w:rPr>
          <w:rFonts w:ascii="Palatino Linotype" w:hAnsi="Palatino Linotype" w:cs="Arial"/>
          <w:sz w:val="22"/>
          <w:szCs w:val="22"/>
        </w:rPr>
        <w:t xml:space="preserve"> saw liquidation to the tune of</w:t>
      </w:r>
      <w:r w:rsidRPr="00FD1D35">
        <w:rPr>
          <w:rFonts w:ascii="Palatino Linotype" w:hAnsi="Palatino Linotype" w:cs="Arial"/>
          <w:sz w:val="22"/>
          <w:szCs w:val="22"/>
        </w:rPr>
        <w:t xml:space="preserve"> </w:t>
      </w:r>
      <w:r w:rsidRPr="00FD1D35">
        <w:rPr>
          <w:rFonts w:ascii="Tahoma" w:hAnsi="Tahoma" w:cs="Tahoma"/>
          <w:sz w:val="22"/>
          <w:szCs w:val="22"/>
        </w:rPr>
        <w:t>₹</w:t>
      </w:r>
      <w:r w:rsidRPr="00FD1D35">
        <w:rPr>
          <w:rFonts w:ascii="Palatino Linotype" w:hAnsi="Palatino Linotype" w:cs="Arial"/>
          <w:sz w:val="22"/>
          <w:szCs w:val="22"/>
        </w:rPr>
        <w:t xml:space="preserve">2,44,522 crore in </w:t>
      </w:r>
      <w:r>
        <w:rPr>
          <w:rFonts w:ascii="Palatino Linotype" w:hAnsi="Palatino Linotype" w:cs="Arial"/>
          <w:sz w:val="22"/>
          <w:szCs w:val="22"/>
        </w:rPr>
        <w:t xml:space="preserve">September 2018 as  compared to </w:t>
      </w:r>
      <w:r w:rsidRPr="00FD1D35">
        <w:rPr>
          <w:rFonts w:ascii="Tahoma" w:hAnsi="Tahoma" w:cs="Tahoma"/>
          <w:sz w:val="22"/>
          <w:szCs w:val="22"/>
        </w:rPr>
        <w:t>₹</w:t>
      </w:r>
      <w:r w:rsidRPr="00FD1D35">
        <w:rPr>
          <w:rFonts w:ascii="Palatino Linotype" w:hAnsi="Palatino Linotype" w:cs="Arial"/>
          <w:sz w:val="22"/>
          <w:szCs w:val="22"/>
        </w:rPr>
        <w:t xml:space="preserve">1,64,305 crore mobilised in August 2018. The cumulative net assets under management of all mutual funds decreased to </w:t>
      </w:r>
      <w:r w:rsidRPr="00FD1D35">
        <w:rPr>
          <w:rFonts w:ascii="Tahoma" w:hAnsi="Tahoma" w:cs="Tahoma"/>
          <w:sz w:val="22"/>
          <w:szCs w:val="22"/>
        </w:rPr>
        <w:t>₹</w:t>
      </w:r>
      <w:r w:rsidRPr="00FD1D35">
        <w:rPr>
          <w:rFonts w:ascii="Palatino Linotype" w:hAnsi="Palatino Linotype" w:cs="Arial"/>
          <w:sz w:val="22"/>
          <w:szCs w:val="22"/>
        </w:rPr>
        <w:t xml:space="preserve">22, 04,423 crore at the end of September 2018 from </w:t>
      </w:r>
      <w:r w:rsidRPr="00FD1D35">
        <w:rPr>
          <w:rFonts w:ascii="Tahoma" w:hAnsi="Tahoma" w:cs="Tahoma"/>
          <w:sz w:val="22"/>
          <w:szCs w:val="22"/>
        </w:rPr>
        <w:t>₹</w:t>
      </w:r>
      <w:r w:rsidRPr="00FD1D35">
        <w:rPr>
          <w:rFonts w:ascii="Palatino Linotype" w:hAnsi="Palatino Linotype" w:cs="Arial"/>
          <w:sz w:val="22"/>
          <w:szCs w:val="22"/>
        </w:rPr>
        <w:t xml:space="preserve"> 25</w:t>
      </w:r>
      <w:r>
        <w:rPr>
          <w:rFonts w:ascii="Palatino Linotype" w:hAnsi="Palatino Linotype" w:cs="Arial"/>
          <w:sz w:val="22"/>
          <w:szCs w:val="22"/>
        </w:rPr>
        <w:t xml:space="preserve">, </w:t>
      </w:r>
      <w:r w:rsidRPr="00FD1D35">
        <w:rPr>
          <w:rFonts w:ascii="Palatino Linotype" w:hAnsi="Palatino Linotype" w:cs="Arial"/>
          <w:sz w:val="22"/>
          <w:szCs w:val="22"/>
        </w:rPr>
        <w:t>20,430 crore at the end of August 2018.</w:t>
      </w:r>
    </w:p>
    <w:p w14:paraId="060231E9" w14:textId="77777777" w:rsidR="00885921" w:rsidRPr="00FD1D35" w:rsidRDefault="00885921" w:rsidP="00885921">
      <w:pPr>
        <w:jc w:val="both"/>
        <w:rPr>
          <w:rFonts w:ascii="Palatino Linotype" w:hAnsi="Palatino Linotype" w:cs="Garamond"/>
          <w:sz w:val="22"/>
          <w:szCs w:val="22"/>
        </w:rPr>
      </w:pPr>
    </w:p>
    <w:p w14:paraId="1D415DEF" w14:textId="77777777" w:rsidR="00885921" w:rsidRPr="00FD1D35" w:rsidRDefault="00885921" w:rsidP="00885921">
      <w:pPr>
        <w:jc w:val="both"/>
        <w:rPr>
          <w:rFonts w:ascii="Palatino Linotype" w:eastAsia="Times New Roman" w:hAnsi="Palatino Linotype"/>
          <w:bCs/>
          <w:color w:val="000000" w:themeColor="text1"/>
          <w:sz w:val="22"/>
          <w:szCs w:val="22"/>
        </w:rPr>
      </w:pPr>
      <w:r w:rsidRPr="00FD1D35">
        <w:rPr>
          <w:rFonts w:ascii="Palatino Linotype" w:eastAsia="Times New Roman" w:hAnsi="Palatino Linotype"/>
          <w:bCs/>
          <w:color w:val="000000" w:themeColor="text1"/>
          <w:sz w:val="22"/>
          <w:szCs w:val="22"/>
        </w:rPr>
        <w:t>As on September 30, 2018, there were a total of 1,901 mutual fund schemes in the market, of which 1,236 (</w:t>
      </w:r>
      <w:r>
        <w:rPr>
          <w:rFonts w:ascii="Palatino Linotype" w:eastAsia="Times New Roman" w:hAnsi="Palatino Linotype"/>
          <w:bCs/>
          <w:color w:val="000000" w:themeColor="text1"/>
          <w:sz w:val="22"/>
          <w:szCs w:val="22"/>
        </w:rPr>
        <w:t xml:space="preserve">65 </w:t>
      </w:r>
      <w:r w:rsidRPr="00FD1D35">
        <w:rPr>
          <w:rFonts w:ascii="Palatino Linotype" w:eastAsia="Times New Roman" w:hAnsi="Palatino Linotype"/>
          <w:bCs/>
          <w:color w:val="000000" w:themeColor="text1"/>
          <w:sz w:val="22"/>
          <w:szCs w:val="22"/>
        </w:rPr>
        <w:t>per cent) were income / debt oriented schemes</w:t>
      </w:r>
      <w:r>
        <w:rPr>
          <w:rFonts w:ascii="Palatino Linotype" w:eastAsia="Times New Roman" w:hAnsi="Palatino Linotype"/>
          <w:bCs/>
          <w:color w:val="000000" w:themeColor="text1"/>
          <w:sz w:val="22"/>
          <w:szCs w:val="22"/>
        </w:rPr>
        <w:t>,</w:t>
      </w:r>
      <w:r w:rsidRPr="00FD1D35">
        <w:rPr>
          <w:rFonts w:ascii="Palatino Linotype" w:eastAsia="Times New Roman" w:hAnsi="Palatino Linotype"/>
          <w:bCs/>
          <w:color w:val="000000" w:themeColor="text1"/>
          <w:sz w:val="22"/>
          <w:szCs w:val="22"/>
        </w:rPr>
        <w:t xml:space="preserve"> 537 (28.3 per cent) were growth / equity oriented schemes, 27 (1.4 per cent) were balanced schemes, 72 (3.8 per cent) were exchange traded funds and 29 (1.5 per cent) were fund of funds investing overseas</w:t>
      </w:r>
      <w:r w:rsidRPr="00FD1D35">
        <w:rPr>
          <w:rFonts w:ascii="Palatino Linotype" w:eastAsia="Times New Roman" w:hAnsi="Palatino Linotype"/>
          <w:b/>
          <w:bCs/>
          <w:color w:val="000000" w:themeColor="text1"/>
          <w:sz w:val="22"/>
          <w:szCs w:val="22"/>
        </w:rPr>
        <w:t>.</w:t>
      </w:r>
    </w:p>
    <w:p w14:paraId="6FBD6CB1" w14:textId="77777777" w:rsidR="00885921" w:rsidRPr="00FD1D35" w:rsidRDefault="00885921" w:rsidP="00885921">
      <w:pPr>
        <w:rPr>
          <w:rFonts w:ascii="Palatino Linotype" w:hAnsi="Palatino Linotype"/>
          <w:b/>
          <w:sz w:val="22"/>
          <w:szCs w:val="22"/>
        </w:rPr>
      </w:pPr>
    </w:p>
    <w:p w14:paraId="21A50AF0" w14:textId="0ABC0957" w:rsidR="00885921" w:rsidRPr="00D131E9" w:rsidRDefault="00885921" w:rsidP="00885921">
      <w:pPr>
        <w:rPr>
          <w:rFonts w:ascii="Palatino Linotype" w:hAnsi="Palatino Linotype"/>
          <w:b/>
          <w:sz w:val="22"/>
          <w:szCs w:val="22"/>
        </w:rPr>
      </w:pPr>
      <w:r w:rsidRPr="00D13863">
        <w:rPr>
          <w:rFonts w:ascii="Palatino Linotype" w:hAnsi="Palatino Linotype"/>
          <w:b/>
          <w:sz w:val="22"/>
          <w:szCs w:val="22"/>
        </w:rPr>
        <w:t>Figure 1</w:t>
      </w:r>
      <w:r w:rsidR="00B0603F">
        <w:rPr>
          <w:rFonts w:ascii="Palatino Linotype" w:hAnsi="Palatino Linotype"/>
          <w:b/>
          <w:sz w:val="22"/>
          <w:szCs w:val="22"/>
        </w:rPr>
        <w:t>6</w:t>
      </w:r>
      <w:r w:rsidRPr="00D13863">
        <w:rPr>
          <w:rFonts w:ascii="Palatino Linotype" w:hAnsi="Palatino Linotype"/>
          <w:b/>
          <w:sz w:val="22"/>
          <w:szCs w:val="22"/>
        </w:rPr>
        <w:t xml:space="preserve">: Trends in Mutual Funds Investment </w:t>
      </w:r>
      <w:r>
        <w:rPr>
          <w:rFonts w:ascii="Palatino Linotype" w:hAnsi="Palatino Linotype"/>
          <w:b/>
          <w:sz w:val="22"/>
          <w:szCs w:val="22"/>
        </w:rPr>
        <w:t>(</w:t>
      </w:r>
      <w:r>
        <w:rPr>
          <w:rFonts w:ascii="Times New Roman" w:hAnsi="Times New Roman"/>
          <w:b/>
          <w:sz w:val="22"/>
          <w:szCs w:val="22"/>
        </w:rPr>
        <w:t>₹</w:t>
      </w:r>
      <w:r w:rsidRPr="00D13863">
        <w:rPr>
          <w:rFonts w:ascii="Palatino Linotype" w:eastAsia="Times New Roman" w:hAnsi="Palatino Linotype" w:cs="Garamond"/>
          <w:b/>
          <w:sz w:val="22"/>
          <w:szCs w:val="22"/>
        </w:rPr>
        <w:t xml:space="preserve"> </w:t>
      </w:r>
      <w:r>
        <w:rPr>
          <w:rFonts w:ascii="Palatino Linotype" w:hAnsi="Palatino Linotype"/>
          <w:b/>
          <w:sz w:val="22"/>
          <w:szCs w:val="22"/>
        </w:rPr>
        <w:t>crore)</w:t>
      </w:r>
    </w:p>
    <w:p w14:paraId="53A14F0F" w14:textId="77777777" w:rsidR="00885921" w:rsidRPr="00D13863" w:rsidRDefault="00885921" w:rsidP="00885921">
      <w:pPr>
        <w:rPr>
          <w:rFonts w:ascii="Palatino Linotype" w:hAnsi="Palatino Linotype"/>
          <w:b/>
          <w:color w:val="000099"/>
          <w:sz w:val="22"/>
          <w:szCs w:val="22"/>
          <w:highlight w:val="lightGray"/>
        </w:rPr>
      </w:pPr>
    </w:p>
    <w:p w14:paraId="6E62E34A" w14:textId="77777777" w:rsidR="00885921" w:rsidRPr="00D13863" w:rsidRDefault="00885921" w:rsidP="00885921">
      <w:pPr>
        <w:jc w:val="center"/>
        <w:rPr>
          <w:rFonts w:ascii="Palatino Linotype" w:hAnsi="Palatino Linotype"/>
          <w:b/>
          <w:color w:val="000099"/>
          <w:sz w:val="22"/>
          <w:szCs w:val="22"/>
          <w:highlight w:val="lightGray"/>
        </w:rPr>
      </w:pPr>
      <w:r>
        <w:rPr>
          <w:noProof/>
          <w:lang w:val="en-IN" w:eastAsia="en-IN"/>
        </w:rPr>
        <w:drawing>
          <wp:inline distT="0" distB="0" distL="0" distR="0" wp14:anchorId="64FBAC8C" wp14:editId="26177544">
            <wp:extent cx="5343527" cy="2788920"/>
            <wp:effectExtent l="0" t="0" r="9525" b="1143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2B67CDA" w14:textId="77777777" w:rsidR="00885921" w:rsidRDefault="00885921" w:rsidP="00885921">
      <w:pPr>
        <w:rPr>
          <w:rFonts w:ascii="Palatino Linotype" w:hAnsi="Palatino Linotype"/>
          <w:b/>
          <w:color w:val="000099"/>
          <w:sz w:val="22"/>
          <w:szCs w:val="22"/>
          <w:highlight w:val="lightGray"/>
        </w:rPr>
      </w:pPr>
    </w:p>
    <w:p w14:paraId="0DE0917D" w14:textId="77777777" w:rsidR="00885921" w:rsidRDefault="00885921" w:rsidP="00885921">
      <w:pPr>
        <w:rPr>
          <w:rFonts w:ascii="Palatino Linotype" w:hAnsi="Palatino Linotype"/>
          <w:b/>
          <w:color w:val="000099"/>
          <w:sz w:val="22"/>
          <w:szCs w:val="22"/>
          <w:highlight w:val="lightGray"/>
        </w:rPr>
      </w:pPr>
    </w:p>
    <w:p w14:paraId="7B3A172A" w14:textId="77777777" w:rsidR="00885921" w:rsidRPr="00D13863" w:rsidRDefault="00885921" w:rsidP="00885921">
      <w:pPr>
        <w:widowControl w:val="0"/>
        <w:numPr>
          <w:ilvl w:val="0"/>
          <w:numId w:val="1"/>
        </w:numPr>
        <w:tabs>
          <w:tab w:val="left" w:pos="0"/>
        </w:tabs>
        <w:spacing w:before="240"/>
        <w:contextualSpacing/>
        <w:jc w:val="both"/>
        <w:rPr>
          <w:rFonts w:ascii="Palatino Linotype" w:hAnsi="Palatino Linotype"/>
          <w:b/>
          <w:color w:val="000099"/>
          <w:sz w:val="22"/>
          <w:szCs w:val="22"/>
        </w:rPr>
      </w:pPr>
      <w:r w:rsidRPr="00D13863">
        <w:rPr>
          <w:rFonts w:ascii="Palatino Linotype" w:hAnsi="Palatino Linotype"/>
          <w:b/>
          <w:sz w:val="22"/>
          <w:szCs w:val="22"/>
        </w:rPr>
        <w:t>Trends in Investment by the Foreign Portfolio Investors (FPIs)</w:t>
      </w:r>
    </w:p>
    <w:p w14:paraId="1713FA12" w14:textId="77777777" w:rsidR="00885921" w:rsidRPr="00F25C19" w:rsidRDefault="00885921" w:rsidP="00885921">
      <w:pPr>
        <w:widowControl w:val="0"/>
        <w:tabs>
          <w:tab w:val="left" w:pos="0"/>
        </w:tabs>
        <w:jc w:val="both"/>
        <w:rPr>
          <w:rFonts w:ascii="Palatino Linotype" w:eastAsia="Times New Roman" w:hAnsi="Palatino Linotype"/>
          <w:sz w:val="22"/>
          <w:szCs w:val="22"/>
        </w:rPr>
      </w:pPr>
      <w:r w:rsidRPr="00F25C19">
        <w:rPr>
          <w:rFonts w:ascii="Palatino Linotype" w:eastAsia="Times New Roman" w:hAnsi="Palatino Linotype"/>
          <w:sz w:val="22"/>
          <w:szCs w:val="22"/>
        </w:rPr>
        <w:t xml:space="preserve">Foreign portfolio investors turned net sellers in September 2018. FPIs withdrew </w:t>
      </w:r>
      <w:r w:rsidRPr="00F25C19">
        <w:rPr>
          <w:rFonts w:ascii="Tahoma" w:eastAsia="Times New Roman" w:hAnsi="Tahoma" w:cs="Tahoma"/>
          <w:sz w:val="22"/>
          <w:szCs w:val="22"/>
        </w:rPr>
        <w:t>₹</w:t>
      </w:r>
      <w:r w:rsidRPr="00F25C19">
        <w:rPr>
          <w:rFonts w:ascii="Palatino Linotype" w:eastAsia="Times New Roman" w:hAnsi="Palatino Linotype"/>
          <w:sz w:val="22"/>
          <w:szCs w:val="22"/>
        </w:rPr>
        <w:t xml:space="preserve">21,035 crore from Indian securities market during September 2018 compared to an inflow of </w:t>
      </w:r>
      <w:r w:rsidRPr="00F25C19">
        <w:rPr>
          <w:rFonts w:ascii="Tahoma" w:eastAsia="Times New Roman" w:hAnsi="Tahoma" w:cs="Tahoma"/>
          <w:sz w:val="22"/>
          <w:szCs w:val="22"/>
        </w:rPr>
        <w:t>₹</w:t>
      </w:r>
      <w:r w:rsidRPr="00F25C19">
        <w:rPr>
          <w:rFonts w:ascii="Palatino Linotype" w:eastAsia="Times New Roman" w:hAnsi="Palatino Linotype"/>
          <w:sz w:val="22"/>
          <w:szCs w:val="22"/>
        </w:rPr>
        <w:t xml:space="preserve"> 5,146 crore in August 2018. FPI’s liquidated (net) </w:t>
      </w:r>
      <w:r w:rsidRPr="00F25C19">
        <w:rPr>
          <w:rFonts w:ascii="Tahoma" w:eastAsia="Times New Roman" w:hAnsi="Tahoma" w:cs="Tahoma"/>
          <w:sz w:val="22"/>
          <w:szCs w:val="22"/>
        </w:rPr>
        <w:t>₹</w:t>
      </w:r>
      <w:r w:rsidRPr="00F25C19">
        <w:rPr>
          <w:rFonts w:ascii="Palatino Linotype" w:eastAsia="Times New Roman" w:hAnsi="Palatino Linotype"/>
          <w:sz w:val="22"/>
          <w:szCs w:val="22"/>
        </w:rPr>
        <w:t xml:space="preserve"> 10,825 crore worth of equity securities in September 2018, compared to a net</w:t>
      </w:r>
      <w:r>
        <w:rPr>
          <w:rFonts w:ascii="Palatino Linotype" w:eastAsia="Times New Roman" w:hAnsi="Palatino Linotype"/>
          <w:sz w:val="22"/>
          <w:szCs w:val="22"/>
        </w:rPr>
        <w:t xml:space="preserve"> investment of </w:t>
      </w:r>
      <w:r w:rsidRPr="00F25C19">
        <w:rPr>
          <w:rFonts w:ascii="Tahoma" w:eastAsia="Times New Roman" w:hAnsi="Tahoma" w:cs="Tahoma"/>
          <w:sz w:val="22"/>
          <w:szCs w:val="22"/>
        </w:rPr>
        <w:t>₹</w:t>
      </w:r>
      <w:r w:rsidRPr="00F25C19">
        <w:rPr>
          <w:rFonts w:ascii="Palatino Linotype" w:eastAsia="Times New Roman" w:hAnsi="Palatino Linotype"/>
          <w:sz w:val="22"/>
          <w:szCs w:val="22"/>
        </w:rPr>
        <w:t xml:space="preserve"> 1,775 crore in equity in August 2018. In addition, FPI also liquidated (net) </w:t>
      </w:r>
      <w:r w:rsidRPr="006770F9">
        <w:rPr>
          <w:rFonts w:ascii="Rupee Foradian" w:eastAsia="Times New Roman" w:hAnsi="Rupee Foradian"/>
          <w:sz w:val="22"/>
          <w:szCs w:val="22"/>
        </w:rPr>
        <w:t>`</w:t>
      </w:r>
      <w:r w:rsidRPr="00F25C19">
        <w:rPr>
          <w:rFonts w:ascii="Palatino Linotype" w:eastAsia="Times New Roman" w:hAnsi="Palatino Linotype"/>
          <w:sz w:val="22"/>
          <w:szCs w:val="22"/>
        </w:rPr>
        <w:t xml:space="preserve"> 10,198 crore worth of debt securities, as compared to a net investment of </w:t>
      </w:r>
      <w:r w:rsidRPr="006770F9">
        <w:rPr>
          <w:rFonts w:ascii="Rupee Foradian" w:eastAsia="Times New Roman" w:hAnsi="Rupee Foradian"/>
          <w:sz w:val="22"/>
          <w:szCs w:val="22"/>
        </w:rPr>
        <w:t>`</w:t>
      </w:r>
      <w:r w:rsidRPr="00F25C19">
        <w:rPr>
          <w:rFonts w:ascii="Palatino Linotype" w:eastAsia="Times New Roman" w:hAnsi="Palatino Linotype"/>
          <w:sz w:val="22"/>
          <w:szCs w:val="22"/>
        </w:rPr>
        <w:t xml:space="preserve"> 3,414 crore in August 2018. Similarly, FPIs continued to liquidate their holdings of hybrid securities in September 2018 as well amounting to </w:t>
      </w:r>
      <w:r w:rsidRPr="00F25C19">
        <w:rPr>
          <w:rFonts w:ascii="Tahoma" w:eastAsia="Times New Roman" w:hAnsi="Tahoma" w:cs="Tahoma"/>
          <w:sz w:val="22"/>
          <w:szCs w:val="22"/>
        </w:rPr>
        <w:t>₹</w:t>
      </w:r>
      <w:r w:rsidRPr="00F25C19">
        <w:rPr>
          <w:rFonts w:ascii="Palatino Linotype" w:eastAsia="Times New Roman" w:hAnsi="Palatino Linotype"/>
          <w:sz w:val="22"/>
          <w:szCs w:val="22"/>
        </w:rPr>
        <w:t xml:space="preserve"> 11 crore.</w:t>
      </w:r>
    </w:p>
    <w:p w14:paraId="746D4234" w14:textId="77777777" w:rsidR="00885921" w:rsidRPr="00D13863" w:rsidRDefault="00885921" w:rsidP="00885921">
      <w:pPr>
        <w:widowControl w:val="0"/>
        <w:tabs>
          <w:tab w:val="left" w:pos="0"/>
        </w:tabs>
        <w:jc w:val="both"/>
        <w:rPr>
          <w:rFonts w:ascii="Palatino Linotype" w:eastAsia="Times New Roman" w:hAnsi="Palatino Linotype"/>
          <w:sz w:val="22"/>
          <w:szCs w:val="22"/>
        </w:rPr>
      </w:pPr>
    </w:p>
    <w:p w14:paraId="1E91B18A" w14:textId="77777777" w:rsidR="00885921" w:rsidRPr="00FC1AD5" w:rsidRDefault="00885921" w:rsidP="00885921">
      <w:pPr>
        <w:jc w:val="both"/>
        <w:rPr>
          <w:rFonts w:ascii="Palatino Linotype" w:eastAsia="Times New Roman" w:hAnsi="Palatino Linotype" w:cs="Calibri"/>
          <w:color w:val="000000" w:themeColor="text1"/>
          <w:sz w:val="22"/>
          <w:szCs w:val="22"/>
          <w:lang w:val="en-US"/>
        </w:rPr>
      </w:pPr>
      <w:r w:rsidRPr="0053331A">
        <w:rPr>
          <w:rFonts w:ascii="Palatino Linotype" w:eastAsia="Times New Roman" w:hAnsi="Palatino Linotype"/>
          <w:sz w:val="22"/>
          <w:szCs w:val="22"/>
        </w:rPr>
        <w:t>The assets of the FPIs in India, as reported by the custodians, at the end of September 2018 was</w:t>
      </w:r>
      <w:r w:rsidRPr="0053331A">
        <w:rPr>
          <w:rFonts w:ascii="Palatino Linotype" w:hAnsi="Palatino Linotype"/>
          <w:sz w:val="22"/>
          <w:szCs w:val="22"/>
        </w:rPr>
        <w:t xml:space="preserve"> </w:t>
      </w:r>
      <w:r w:rsidRPr="0053331A">
        <w:rPr>
          <w:rFonts w:ascii="Times New Roman" w:hAnsi="Times New Roman"/>
          <w:sz w:val="22"/>
          <w:szCs w:val="22"/>
        </w:rPr>
        <w:t>₹</w:t>
      </w:r>
      <w:r w:rsidRPr="0053331A">
        <w:rPr>
          <w:rFonts w:ascii="Palatino Linotype" w:eastAsia="Times New Roman" w:hAnsi="Palatino Linotype" w:cs="Calibri"/>
          <w:sz w:val="22"/>
          <w:szCs w:val="22"/>
          <w:lang w:val="en-US"/>
        </w:rPr>
        <w:t xml:space="preserve">31,38,334 </w:t>
      </w:r>
      <w:r>
        <w:rPr>
          <w:rFonts w:ascii="Palatino Linotype" w:eastAsia="Times New Roman" w:hAnsi="Palatino Linotype" w:cs="Calibri"/>
          <w:sz w:val="22"/>
          <w:szCs w:val="22"/>
        </w:rPr>
        <w:t xml:space="preserve">crore, </w:t>
      </w:r>
      <w:r w:rsidRPr="00FC1AD5">
        <w:rPr>
          <w:rFonts w:ascii="Palatino Linotype" w:eastAsia="Times New Roman" w:hAnsi="Palatino Linotype" w:cs="Calibri"/>
          <w:color w:val="000000" w:themeColor="text1"/>
          <w:sz w:val="22"/>
          <w:szCs w:val="22"/>
        </w:rPr>
        <w:t xml:space="preserve">out of which the notional value of offshore derivative instruments (including ODIs on derivatives) was </w:t>
      </w:r>
      <w:r w:rsidRPr="00FC1AD5">
        <w:rPr>
          <w:rFonts w:ascii="Times New Roman" w:eastAsia="Times New Roman" w:hAnsi="Times New Roman"/>
          <w:color w:val="000000" w:themeColor="text1"/>
          <w:sz w:val="22"/>
          <w:szCs w:val="22"/>
        </w:rPr>
        <w:t>₹</w:t>
      </w:r>
      <w:r w:rsidRPr="00FC1AD5">
        <w:rPr>
          <w:rFonts w:ascii="Palatino Linotype" w:eastAsia="Times New Roman" w:hAnsi="Palatino Linotype" w:cs="Calibri"/>
          <w:color w:val="000000" w:themeColor="text1"/>
          <w:sz w:val="22"/>
          <w:szCs w:val="22"/>
          <w:lang w:val="en-US"/>
        </w:rPr>
        <w:t xml:space="preserve">79,548 </w:t>
      </w:r>
      <w:r w:rsidRPr="00FC1AD5">
        <w:rPr>
          <w:rFonts w:ascii="Palatino Linotype" w:eastAsia="Times New Roman" w:hAnsi="Palatino Linotype" w:cs="Calibri"/>
          <w:color w:val="000000" w:themeColor="text1"/>
          <w:sz w:val="22"/>
          <w:szCs w:val="22"/>
        </w:rPr>
        <w:t>crore, constituting 2.5 per cent of the total assets of the F</w:t>
      </w:r>
      <w:r w:rsidRPr="00FC1AD5">
        <w:rPr>
          <w:rFonts w:ascii="Palatino Linotype" w:eastAsia="Times New Roman" w:hAnsi="Palatino Linotype"/>
          <w:color w:val="000000" w:themeColor="text1"/>
          <w:sz w:val="22"/>
          <w:szCs w:val="22"/>
        </w:rPr>
        <w:t>PIs.</w:t>
      </w:r>
    </w:p>
    <w:p w14:paraId="5654BD4B" w14:textId="77777777" w:rsidR="00885921" w:rsidRPr="00D13863" w:rsidRDefault="00885921" w:rsidP="00885921">
      <w:pPr>
        <w:rPr>
          <w:rFonts w:ascii="Palatino Linotype" w:hAnsi="Palatino Linotype"/>
          <w:b/>
          <w:sz w:val="22"/>
          <w:szCs w:val="22"/>
        </w:rPr>
      </w:pPr>
    </w:p>
    <w:p w14:paraId="0BEECF00" w14:textId="3B3E82A2" w:rsidR="00885921" w:rsidRPr="00D13863" w:rsidRDefault="00885921" w:rsidP="00885921">
      <w:pPr>
        <w:outlineLvl w:val="0"/>
        <w:rPr>
          <w:rFonts w:ascii="Palatino Linotype" w:hAnsi="Palatino Linotype"/>
          <w:b/>
          <w:sz w:val="22"/>
          <w:szCs w:val="22"/>
        </w:rPr>
      </w:pPr>
      <w:r>
        <w:rPr>
          <w:noProof/>
          <w:lang w:val="en-IN" w:eastAsia="en-IN"/>
        </w:rPr>
        <w:drawing>
          <wp:anchor distT="0" distB="0" distL="114300" distR="114300" simplePos="0" relativeHeight="251674624" behindDoc="0" locked="0" layoutInCell="1" allowOverlap="1" wp14:anchorId="6CFA7596" wp14:editId="5F7DEB0F">
            <wp:simplePos x="0" y="0"/>
            <wp:positionH relativeFrom="margin">
              <wp:align>right</wp:align>
            </wp:positionH>
            <wp:positionV relativeFrom="paragraph">
              <wp:posOffset>375285</wp:posOffset>
            </wp:positionV>
            <wp:extent cx="5923280" cy="2286000"/>
            <wp:effectExtent l="0" t="0" r="1270" b="0"/>
            <wp:wrapTopAndBottom/>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r w:rsidRPr="00D13863">
        <w:rPr>
          <w:rFonts w:ascii="Palatino Linotype" w:hAnsi="Palatino Linotype"/>
          <w:b/>
          <w:sz w:val="22"/>
          <w:szCs w:val="22"/>
        </w:rPr>
        <w:t>Figure 1</w:t>
      </w:r>
      <w:r w:rsidR="00B0603F">
        <w:rPr>
          <w:rFonts w:ascii="Palatino Linotype" w:hAnsi="Palatino Linotype"/>
          <w:b/>
          <w:sz w:val="22"/>
          <w:szCs w:val="22"/>
        </w:rPr>
        <w:t>7</w:t>
      </w:r>
      <w:r w:rsidRPr="00D13863">
        <w:rPr>
          <w:rFonts w:ascii="Palatino Linotype" w:hAnsi="Palatino Linotype"/>
          <w:b/>
          <w:sz w:val="22"/>
          <w:szCs w:val="22"/>
        </w:rPr>
        <w:t>: Trends in FPIs Investment (</w:t>
      </w:r>
      <w:r w:rsidRPr="00643350">
        <w:rPr>
          <w:rFonts w:ascii="Times New Roman" w:eastAsia="Times New Roman" w:hAnsi="Times New Roman"/>
          <w:b/>
          <w:sz w:val="22"/>
          <w:szCs w:val="22"/>
        </w:rPr>
        <w:t>₹</w:t>
      </w:r>
      <w:r w:rsidRPr="00D13863">
        <w:rPr>
          <w:rFonts w:ascii="Palatino Linotype" w:hAnsi="Palatino Linotype"/>
          <w:b/>
          <w:sz w:val="22"/>
          <w:szCs w:val="22"/>
        </w:rPr>
        <w:t xml:space="preserve"> crore)</w:t>
      </w:r>
    </w:p>
    <w:p w14:paraId="6387E3ED" w14:textId="77777777" w:rsidR="00885921" w:rsidRPr="00D13863" w:rsidRDefault="00885921" w:rsidP="00885921">
      <w:pPr>
        <w:jc w:val="center"/>
        <w:rPr>
          <w:rFonts w:ascii="Palatino Linotype" w:hAnsi="Palatino Linotype"/>
          <w:b/>
          <w:sz w:val="22"/>
          <w:szCs w:val="22"/>
          <w:highlight w:val="lightGray"/>
        </w:rPr>
      </w:pPr>
    </w:p>
    <w:p w14:paraId="6F3FEC63" w14:textId="77777777" w:rsidR="00885921" w:rsidRDefault="00885921" w:rsidP="00885921">
      <w:pPr>
        <w:widowControl w:val="0"/>
        <w:spacing w:before="240"/>
        <w:contextualSpacing/>
        <w:jc w:val="both"/>
        <w:rPr>
          <w:rFonts w:ascii="Palatino Linotype" w:eastAsia="Times New Roman" w:hAnsi="Palatino Linotype"/>
          <w:i/>
          <w:sz w:val="18"/>
          <w:szCs w:val="22"/>
        </w:rPr>
      </w:pPr>
      <w:r w:rsidRPr="00FD1D35">
        <w:rPr>
          <w:rFonts w:ascii="Palatino Linotype" w:eastAsia="Times New Roman" w:hAnsi="Palatino Linotype"/>
          <w:b/>
          <w:i/>
          <w:sz w:val="18"/>
          <w:szCs w:val="22"/>
        </w:rPr>
        <w:t xml:space="preserve">Note: </w:t>
      </w:r>
      <w:r w:rsidRPr="00FD1D35">
        <w:rPr>
          <w:rFonts w:ascii="Palatino Linotype" w:eastAsia="Times New Roman" w:hAnsi="Palatino Linotype"/>
          <w:i/>
          <w:sz w:val="18"/>
          <w:szCs w:val="22"/>
        </w:rPr>
        <w:t>Data on</w:t>
      </w:r>
      <w:r w:rsidRPr="00FD1D35">
        <w:rPr>
          <w:rFonts w:ascii="Palatino Linotype" w:eastAsia="Times New Roman" w:hAnsi="Palatino Linotype"/>
          <w:b/>
          <w:i/>
          <w:sz w:val="18"/>
          <w:szCs w:val="22"/>
        </w:rPr>
        <w:t xml:space="preserve"> </w:t>
      </w:r>
      <w:r w:rsidRPr="00FD1D35">
        <w:rPr>
          <w:rFonts w:ascii="Palatino Linotype" w:eastAsia="Times New Roman" w:hAnsi="Palatino Linotype"/>
          <w:i/>
          <w:sz w:val="18"/>
          <w:szCs w:val="22"/>
        </w:rPr>
        <w:t>investment by FPIs in Hybrid securities has been compiled since December 26, 2017.</w:t>
      </w:r>
    </w:p>
    <w:p w14:paraId="025C8462" w14:textId="77777777" w:rsidR="00885921" w:rsidRDefault="00885921" w:rsidP="00885921">
      <w:pPr>
        <w:widowControl w:val="0"/>
        <w:spacing w:before="240"/>
        <w:contextualSpacing/>
        <w:jc w:val="both"/>
        <w:rPr>
          <w:rFonts w:ascii="Palatino Linotype" w:eastAsia="Times New Roman" w:hAnsi="Palatino Linotype"/>
          <w:i/>
          <w:sz w:val="18"/>
          <w:szCs w:val="22"/>
        </w:rPr>
      </w:pPr>
    </w:p>
    <w:p w14:paraId="324F652A" w14:textId="77777777" w:rsidR="00885921" w:rsidRPr="00FD1D35" w:rsidRDefault="00885921" w:rsidP="00885921">
      <w:pPr>
        <w:widowControl w:val="0"/>
        <w:spacing w:before="240"/>
        <w:contextualSpacing/>
        <w:jc w:val="both"/>
        <w:rPr>
          <w:rFonts w:ascii="Palatino Linotype" w:eastAsia="Times New Roman" w:hAnsi="Palatino Linotype"/>
          <w:i/>
          <w:sz w:val="18"/>
          <w:szCs w:val="22"/>
        </w:rPr>
      </w:pPr>
    </w:p>
    <w:p w14:paraId="2AE8D3A1" w14:textId="77777777" w:rsidR="00885921" w:rsidRPr="00F05BA8" w:rsidRDefault="00885921" w:rsidP="00885921">
      <w:pPr>
        <w:widowControl w:val="0"/>
        <w:numPr>
          <w:ilvl w:val="0"/>
          <w:numId w:val="2"/>
        </w:numPr>
        <w:contextualSpacing/>
        <w:jc w:val="both"/>
        <w:rPr>
          <w:rFonts w:ascii="Palatino Linotype" w:eastAsia="Times New Roman" w:hAnsi="Palatino Linotype"/>
          <w:b/>
          <w:sz w:val="22"/>
          <w:szCs w:val="22"/>
        </w:rPr>
      </w:pPr>
      <w:r w:rsidRPr="00F05BA8">
        <w:rPr>
          <w:rFonts w:ascii="Palatino Linotype" w:hAnsi="Palatino Linotype"/>
          <w:b/>
          <w:sz w:val="22"/>
          <w:szCs w:val="22"/>
        </w:rPr>
        <w:t>Trends in Portfolio Management Services</w:t>
      </w:r>
    </w:p>
    <w:p w14:paraId="410B8A06" w14:textId="77777777" w:rsidR="00885921" w:rsidRPr="00F05BA8" w:rsidRDefault="00885921" w:rsidP="00885921">
      <w:pPr>
        <w:widowControl w:val="0"/>
        <w:jc w:val="both"/>
        <w:rPr>
          <w:rFonts w:ascii="Palatino Linotype" w:eastAsia="Times New Roman" w:hAnsi="Palatino Linotype"/>
          <w:sz w:val="22"/>
          <w:szCs w:val="22"/>
        </w:rPr>
      </w:pPr>
    </w:p>
    <w:p w14:paraId="72BAED68" w14:textId="77777777" w:rsidR="00885921" w:rsidRPr="00FC1AD5" w:rsidRDefault="00885921" w:rsidP="00885921">
      <w:pPr>
        <w:jc w:val="both"/>
        <w:rPr>
          <w:rFonts w:ascii="Palatino Linotype" w:eastAsia="Times New Roman" w:hAnsi="Palatino Linotype" w:cs="Calibri"/>
          <w:color w:val="000000" w:themeColor="text1"/>
          <w:sz w:val="22"/>
          <w:szCs w:val="22"/>
        </w:rPr>
      </w:pPr>
      <w:r w:rsidRPr="00D131E9">
        <w:rPr>
          <w:rFonts w:ascii="Palatino Linotype" w:eastAsia="Times New Roman" w:hAnsi="Palatino Linotype"/>
          <w:color w:val="000000" w:themeColor="text1"/>
          <w:sz w:val="22"/>
          <w:szCs w:val="22"/>
        </w:rPr>
        <w:t xml:space="preserve">The total AUM of the portfolio management industry decreased to </w:t>
      </w:r>
      <w:r w:rsidRPr="00D131E9">
        <w:rPr>
          <w:rFonts w:ascii="Rupee Foradian" w:eastAsia="Times New Roman" w:hAnsi="Rupee Foradian"/>
          <w:color w:val="000000" w:themeColor="text1"/>
          <w:sz w:val="22"/>
          <w:szCs w:val="22"/>
        </w:rPr>
        <w:t>`</w:t>
      </w:r>
      <w:r w:rsidRPr="00D131E9">
        <w:rPr>
          <w:rFonts w:ascii="Palatino Linotype" w:eastAsia="Times New Roman" w:hAnsi="Palatino Linotype"/>
          <w:color w:val="000000" w:themeColor="text1"/>
          <w:sz w:val="22"/>
          <w:szCs w:val="22"/>
        </w:rPr>
        <w:t xml:space="preserve"> 14.8 lakh crore at the end of September 2018 from </w:t>
      </w:r>
      <w:r w:rsidRPr="00D131E9">
        <w:rPr>
          <w:rFonts w:ascii="Rupee Foradian" w:eastAsia="Times New Roman" w:hAnsi="Rupee Foradian"/>
          <w:color w:val="000000" w:themeColor="text1"/>
          <w:sz w:val="22"/>
          <w:szCs w:val="22"/>
        </w:rPr>
        <w:t>`</w:t>
      </w:r>
      <w:r w:rsidRPr="00D131E9">
        <w:rPr>
          <w:rFonts w:ascii="Palatino Linotype" w:eastAsia="Times New Roman" w:hAnsi="Palatino Linotype"/>
          <w:color w:val="000000" w:themeColor="text1"/>
          <w:sz w:val="22"/>
          <w:szCs w:val="22"/>
        </w:rPr>
        <w:t xml:space="preserve"> 14.9 lakh crore at the end of August 2018. T</w:t>
      </w:r>
      <w:r w:rsidRPr="00D131E9">
        <w:rPr>
          <w:rFonts w:ascii="Palatino Linotype" w:eastAsia="Times New Roman" w:hAnsi="Palatino Linotype" w:cs="Calibri"/>
          <w:color w:val="000000" w:themeColor="text1"/>
          <w:sz w:val="22"/>
          <w:szCs w:val="22"/>
        </w:rPr>
        <w:t>he AUM of discretionary and non-discretionary services increased by 1.7 and 4.9 per cent respectively</w:t>
      </w:r>
      <w:r w:rsidRPr="00FC1AD5">
        <w:rPr>
          <w:rFonts w:ascii="Palatino Linotype" w:eastAsia="Times New Roman" w:hAnsi="Palatino Linotype" w:cs="Calibri"/>
          <w:color w:val="000000" w:themeColor="text1"/>
          <w:sz w:val="22"/>
          <w:szCs w:val="22"/>
        </w:rPr>
        <w:t xml:space="preserve"> in September 2018, while, that of advisory services decreased by about 4 per cent.</w:t>
      </w:r>
    </w:p>
    <w:p w14:paraId="083297D6" w14:textId="77777777" w:rsidR="00885921" w:rsidRPr="00FC1AD5" w:rsidRDefault="00885921" w:rsidP="00885921">
      <w:pPr>
        <w:jc w:val="both"/>
        <w:rPr>
          <w:rFonts w:ascii="Palatino Linotype" w:eastAsia="Times New Roman" w:hAnsi="Palatino Linotype" w:cs="Calibri"/>
          <w:color w:val="000000" w:themeColor="text1"/>
          <w:sz w:val="22"/>
          <w:szCs w:val="22"/>
        </w:rPr>
      </w:pPr>
    </w:p>
    <w:p w14:paraId="17F79355" w14:textId="77777777" w:rsidR="00885921" w:rsidRPr="00FC1AD5" w:rsidRDefault="00885921" w:rsidP="00885921">
      <w:pPr>
        <w:jc w:val="both"/>
        <w:rPr>
          <w:rFonts w:ascii="Palatino Linotype" w:eastAsia="Times New Roman" w:hAnsi="Palatino Linotype" w:cs="Calibri"/>
          <w:color w:val="000000" w:themeColor="text1"/>
          <w:sz w:val="22"/>
          <w:szCs w:val="22"/>
        </w:rPr>
      </w:pPr>
      <w:r w:rsidRPr="00FC1AD5">
        <w:rPr>
          <w:rFonts w:ascii="Palatino Linotype" w:eastAsia="Times New Roman" w:hAnsi="Palatino Linotype" w:cs="Calibri"/>
          <w:color w:val="000000" w:themeColor="text1"/>
          <w:sz w:val="22"/>
          <w:szCs w:val="22"/>
        </w:rPr>
        <w:t>The discretionary services offered to the Employees Provident Fund Organization (EPFO)/Provident Fund (PF) constituted 60.6 per cent of the total AUM of the portfolio managers.</w:t>
      </w:r>
    </w:p>
    <w:p w14:paraId="0FDBEC43" w14:textId="77777777" w:rsidR="00885921" w:rsidRPr="00FC1AD5" w:rsidRDefault="00885921" w:rsidP="00885921">
      <w:pPr>
        <w:jc w:val="both"/>
        <w:rPr>
          <w:rFonts w:ascii="Palatino Linotype" w:eastAsia="Times New Roman" w:hAnsi="Palatino Linotype" w:cs="Calibri"/>
          <w:color w:val="000000" w:themeColor="text1"/>
          <w:sz w:val="22"/>
          <w:szCs w:val="22"/>
        </w:rPr>
      </w:pPr>
    </w:p>
    <w:p w14:paraId="03038BA7" w14:textId="77777777" w:rsidR="00885921" w:rsidRPr="00FC1AD5" w:rsidRDefault="00885921" w:rsidP="00885921">
      <w:pPr>
        <w:jc w:val="both"/>
        <w:rPr>
          <w:rFonts w:ascii="Calibri" w:eastAsia="Times New Roman" w:hAnsi="Calibri" w:cs="Calibri"/>
          <w:color w:val="000000" w:themeColor="text1"/>
          <w:lang w:val="en-US"/>
        </w:rPr>
      </w:pPr>
      <w:r w:rsidRPr="00FC1AD5">
        <w:rPr>
          <w:rFonts w:ascii="Palatino Linotype" w:eastAsia="Times New Roman" w:hAnsi="Palatino Linotype"/>
          <w:color w:val="000000" w:themeColor="text1"/>
          <w:sz w:val="22"/>
          <w:szCs w:val="22"/>
        </w:rPr>
        <w:t xml:space="preserve">Number of clients under discretionary services category were the highest with </w:t>
      </w:r>
      <w:r w:rsidRPr="00FC1AD5">
        <w:rPr>
          <w:rFonts w:ascii="Palatino Linotype" w:eastAsia="Times New Roman" w:hAnsi="Palatino Linotype" w:cs="Calibri"/>
          <w:color w:val="000000" w:themeColor="text1"/>
          <w:sz w:val="22"/>
          <w:szCs w:val="22"/>
          <w:lang w:val="en-US"/>
        </w:rPr>
        <w:t xml:space="preserve">1,28,312 </w:t>
      </w:r>
      <w:r w:rsidRPr="00FC1AD5">
        <w:rPr>
          <w:rFonts w:ascii="Palatino Linotype" w:eastAsia="Times New Roman" w:hAnsi="Palatino Linotype"/>
          <w:color w:val="000000" w:themeColor="text1"/>
          <w:sz w:val="22"/>
          <w:szCs w:val="22"/>
        </w:rPr>
        <w:t>clients, followed by non-discretionary category with 6,090 clients and advisory category with 2,465 clients.</w:t>
      </w:r>
    </w:p>
    <w:p w14:paraId="3A1139D2" w14:textId="77777777" w:rsidR="00885921" w:rsidRPr="00D13863" w:rsidRDefault="00885921" w:rsidP="00885921">
      <w:pPr>
        <w:widowControl w:val="0"/>
        <w:jc w:val="both"/>
        <w:rPr>
          <w:rFonts w:ascii="Palatino Linotype" w:eastAsia="Times New Roman" w:hAnsi="Palatino Linotype"/>
          <w:color w:val="000099"/>
          <w:sz w:val="22"/>
          <w:szCs w:val="22"/>
          <w:highlight w:val="lightGray"/>
        </w:rPr>
      </w:pPr>
    </w:p>
    <w:p w14:paraId="41E3F0F4" w14:textId="77777777" w:rsidR="00885921" w:rsidRPr="00D13863" w:rsidRDefault="00885921" w:rsidP="00885921">
      <w:pPr>
        <w:widowControl w:val="0"/>
        <w:numPr>
          <w:ilvl w:val="0"/>
          <w:numId w:val="2"/>
        </w:numPr>
        <w:contextualSpacing/>
        <w:jc w:val="both"/>
        <w:rPr>
          <w:rFonts w:ascii="Palatino Linotype" w:hAnsi="Palatino Linotype"/>
          <w:b/>
          <w:sz w:val="22"/>
          <w:szCs w:val="22"/>
        </w:rPr>
      </w:pPr>
      <w:r w:rsidRPr="00D13863">
        <w:rPr>
          <w:rFonts w:ascii="Palatino Linotype" w:hAnsi="Palatino Linotype"/>
          <w:b/>
          <w:sz w:val="22"/>
          <w:szCs w:val="22"/>
        </w:rPr>
        <w:t>Trends in Substantial Acquisition of Shares and Takeovers</w:t>
      </w:r>
    </w:p>
    <w:p w14:paraId="609F8BF1" w14:textId="77777777" w:rsidR="00885921" w:rsidRPr="00D13863" w:rsidRDefault="00885921" w:rsidP="00885921">
      <w:pPr>
        <w:jc w:val="both"/>
        <w:rPr>
          <w:rFonts w:ascii="Palatino Linotype" w:eastAsia="Times New Roman" w:hAnsi="Palatino Linotype"/>
          <w:sz w:val="22"/>
          <w:szCs w:val="22"/>
        </w:rPr>
      </w:pPr>
    </w:p>
    <w:p w14:paraId="63C88B71" w14:textId="77777777" w:rsidR="00885921" w:rsidRPr="00142329" w:rsidRDefault="00885921" w:rsidP="00885921">
      <w:pPr>
        <w:jc w:val="both"/>
        <w:rPr>
          <w:rFonts w:ascii="Garamond" w:eastAsia="Times New Roman" w:hAnsi="Garamond"/>
          <w:lang w:val="en-US"/>
        </w:rPr>
      </w:pPr>
      <w:r w:rsidRPr="00D13863">
        <w:rPr>
          <w:rFonts w:ascii="Palatino Linotype" w:eastAsia="Times New Roman" w:hAnsi="Palatino Linotype"/>
          <w:sz w:val="22"/>
          <w:szCs w:val="22"/>
        </w:rPr>
        <w:t xml:space="preserve">During </w:t>
      </w:r>
      <w:r>
        <w:rPr>
          <w:rFonts w:ascii="Palatino Linotype" w:eastAsia="Times New Roman" w:hAnsi="Palatino Linotype"/>
          <w:sz w:val="22"/>
          <w:szCs w:val="22"/>
        </w:rPr>
        <w:t>September</w:t>
      </w:r>
      <w:r w:rsidRPr="00D13863">
        <w:rPr>
          <w:rFonts w:ascii="Palatino Linotype" w:eastAsia="Times New Roman" w:hAnsi="Palatino Linotype"/>
          <w:sz w:val="22"/>
          <w:szCs w:val="22"/>
        </w:rPr>
        <w:t xml:space="preserve"> 2018, </w:t>
      </w:r>
      <w:r>
        <w:rPr>
          <w:rFonts w:ascii="Palatino Linotype" w:eastAsia="Times New Roman" w:hAnsi="Palatino Linotype"/>
          <w:sz w:val="22"/>
          <w:szCs w:val="22"/>
        </w:rPr>
        <w:t>three</w:t>
      </w:r>
      <w:r w:rsidRPr="00D13863">
        <w:rPr>
          <w:rFonts w:ascii="Palatino Linotype" w:eastAsia="Times New Roman" w:hAnsi="Palatino Linotype"/>
          <w:sz w:val="22"/>
          <w:szCs w:val="22"/>
        </w:rPr>
        <w:t xml:space="preserve"> open offers with offer value of</w:t>
      </w:r>
      <w:r>
        <w:rPr>
          <w:rFonts w:ascii="Palatino Linotype" w:eastAsia="Times New Roman" w:hAnsi="Palatino Linotype"/>
          <w:sz w:val="22"/>
          <w:szCs w:val="22"/>
        </w:rPr>
        <w:t xml:space="preserve"> </w:t>
      </w:r>
      <w:r>
        <w:rPr>
          <w:rFonts w:ascii="Times New Roman" w:eastAsia="Times New Roman" w:hAnsi="Times New Roman"/>
          <w:sz w:val="22"/>
          <w:szCs w:val="22"/>
        </w:rPr>
        <w:t>₹</w:t>
      </w:r>
      <w:r w:rsidRPr="00D13863">
        <w:rPr>
          <w:rFonts w:ascii="Palatino Linotype" w:eastAsia="Times New Roman" w:hAnsi="Palatino Linotype"/>
          <w:sz w:val="22"/>
          <w:szCs w:val="22"/>
          <w:lang w:val="en-US"/>
        </w:rPr>
        <w:t xml:space="preserve"> </w:t>
      </w:r>
      <w:r>
        <w:rPr>
          <w:rFonts w:ascii="Palatino Linotype" w:eastAsia="Times New Roman" w:hAnsi="Palatino Linotype"/>
          <w:sz w:val="22"/>
          <w:szCs w:val="22"/>
          <w:lang w:val="en-US"/>
        </w:rPr>
        <w:t>1,319 crore</w:t>
      </w:r>
      <w:r w:rsidRPr="00D13863">
        <w:rPr>
          <w:rFonts w:ascii="Palatino Linotype" w:eastAsia="Times New Roman" w:hAnsi="Palatino Linotype" w:cs="Garamond"/>
          <w:sz w:val="22"/>
          <w:szCs w:val="22"/>
        </w:rPr>
        <w:t xml:space="preserve"> were made to the shareholders as against </w:t>
      </w:r>
      <w:r>
        <w:rPr>
          <w:rFonts w:ascii="Palatino Linotype" w:eastAsia="Times New Roman" w:hAnsi="Palatino Linotype" w:cs="Garamond"/>
          <w:sz w:val="22"/>
          <w:szCs w:val="22"/>
        </w:rPr>
        <w:t>only one</w:t>
      </w:r>
      <w:r w:rsidRPr="00D13863">
        <w:rPr>
          <w:rFonts w:ascii="Palatino Linotype" w:eastAsia="Times New Roman" w:hAnsi="Palatino Linotype" w:cs="Garamond"/>
          <w:sz w:val="22"/>
          <w:szCs w:val="22"/>
        </w:rPr>
        <w:t xml:space="preserve"> </w:t>
      </w:r>
      <w:r w:rsidRPr="00D13863">
        <w:rPr>
          <w:rFonts w:ascii="Palatino Linotype" w:eastAsia="Times New Roman" w:hAnsi="Palatino Linotype"/>
          <w:sz w:val="22"/>
          <w:szCs w:val="22"/>
        </w:rPr>
        <w:t>open offer with offer value of</w:t>
      </w:r>
      <w:r>
        <w:rPr>
          <w:rFonts w:ascii="Palatino Linotype" w:eastAsia="Times New Roman" w:hAnsi="Palatino Linotype"/>
          <w:sz w:val="22"/>
          <w:szCs w:val="22"/>
        </w:rPr>
        <w:t xml:space="preserve"> </w:t>
      </w:r>
      <w:r>
        <w:rPr>
          <w:rFonts w:ascii="Times New Roman" w:eastAsia="Times New Roman" w:hAnsi="Times New Roman"/>
          <w:sz w:val="22"/>
          <w:szCs w:val="22"/>
        </w:rPr>
        <w:t>₹</w:t>
      </w:r>
      <w:r w:rsidRPr="00D13863">
        <w:rPr>
          <w:rFonts w:ascii="Palatino Linotype" w:eastAsia="Times New Roman" w:hAnsi="Palatino Linotype"/>
          <w:sz w:val="22"/>
          <w:szCs w:val="22"/>
          <w:lang w:val="en-US"/>
        </w:rPr>
        <w:t xml:space="preserve"> </w:t>
      </w:r>
      <w:r>
        <w:rPr>
          <w:rFonts w:ascii="Garamond" w:eastAsia="Times New Roman" w:hAnsi="Garamond"/>
          <w:lang w:val="en-US"/>
        </w:rPr>
        <w:t xml:space="preserve">2 </w:t>
      </w:r>
      <w:r w:rsidRPr="00D13863">
        <w:rPr>
          <w:rFonts w:ascii="Palatino Linotype" w:eastAsia="Times New Roman" w:hAnsi="Palatino Linotype"/>
          <w:sz w:val="22"/>
          <w:szCs w:val="22"/>
          <w:lang w:val="en-US"/>
        </w:rPr>
        <w:t xml:space="preserve">crore </w:t>
      </w:r>
      <w:r w:rsidRPr="00D13863">
        <w:rPr>
          <w:rFonts w:ascii="Palatino Linotype" w:eastAsia="Times New Roman" w:hAnsi="Palatino Linotype" w:cs="Garamond"/>
          <w:sz w:val="22"/>
          <w:szCs w:val="22"/>
        </w:rPr>
        <w:t xml:space="preserve">in </w:t>
      </w:r>
      <w:r>
        <w:rPr>
          <w:rFonts w:ascii="Palatino Linotype" w:eastAsia="Times New Roman" w:hAnsi="Palatino Linotype" w:cs="Garamond"/>
          <w:sz w:val="22"/>
          <w:szCs w:val="22"/>
        </w:rPr>
        <w:t>August</w:t>
      </w:r>
      <w:r w:rsidRPr="00D13863">
        <w:rPr>
          <w:rFonts w:ascii="Palatino Linotype" w:eastAsia="Times New Roman" w:hAnsi="Palatino Linotype" w:cs="Garamond"/>
          <w:sz w:val="22"/>
          <w:szCs w:val="22"/>
        </w:rPr>
        <w:t xml:space="preserve"> 2018. </w:t>
      </w:r>
    </w:p>
    <w:p w14:paraId="1F9A67A9" w14:textId="77777777" w:rsidR="00885921" w:rsidRPr="00D13863" w:rsidRDefault="00885921" w:rsidP="00885921">
      <w:pPr>
        <w:jc w:val="both"/>
        <w:rPr>
          <w:rFonts w:ascii="Palatino Linotype" w:eastAsia="Times New Roman" w:hAnsi="Palatino Linotype" w:cs="Garamond"/>
          <w:sz w:val="22"/>
          <w:szCs w:val="22"/>
        </w:rPr>
      </w:pPr>
    </w:p>
    <w:p w14:paraId="018790AC" w14:textId="77777777" w:rsidR="00885921" w:rsidRDefault="00885921" w:rsidP="00885921">
      <w:pPr>
        <w:jc w:val="both"/>
        <w:rPr>
          <w:rFonts w:ascii="Palatino Linotype" w:hAnsi="Palatino Linotype"/>
          <w:b/>
          <w:sz w:val="22"/>
          <w:szCs w:val="22"/>
        </w:rPr>
      </w:pPr>
    </w:p>
    <w:p w14:paraId="48C5B488" w14:textId="1EE5B2D8" w:rsidR="00885921" w:rsidRPr="00D13863" w:rsidRDefault="00885921" w:rsidP="00885921">
      <w:pPr>
        <w:jc w:val="both"/>
        <w:rPr>
          <w:rFonts w:ascii="Palatino Linotype" w:hAnsi="Palatino Linotype"/>
          <w:b/>
          <w:sz w:val="22"/>
          <w:szCs w:val="22"/>
        </w:rPr>
      </w:pPr>
      <w:r w:rsidRPr="00D13863">
        <w:rPr>
          <w:rFonts w:ascii="Palatino Linotype" w:hAnsi="Palatino Linotype"/>
          <w:b/>
          <w:sz w:val="22"/>
          <w:szCs w:val="22"/>
        </w:rPr>
        <w:t>Figure</w:t>
      </w:r>
      <w:r w:rsidRPr="00D13863">
        <w:rPr>
          <w:rFonts w:ascii="Palatino Linotype" w:eastAsia="Times New Roman" w:hAnsi="Palatino Linotype" w:cs="Garamond"/>
          <w:b/>
          <w:bCs/>
          <w:sz w:val="22"/>
          <w:szCs w:val="22"/>
        </w:rPr>
        <w:t xml:space="preserve"> 1</w:t>
      </w:r>
      <w:r w:rsidR="00B0603F">
        <w:rPr>
          <w:rFonts w:ascii="Palatino Linotype" w:eastAsia="Times New Roman" w:hAnsi="Palatino Linotype" w:cs="Garamond"/>
          <w:b/>
          <w:bCs/>
          <w:sz w:val="22"/>
          <w:szCs w:val="22"/>
        </w:rPr>
        <w:t>8</w:t>
      </w:r>
      <w:r w:rsidRPr="00D13863">
        <w:rPr>
          <w:rFonts w:ascii="Palatino Linotype" w:eastAsia="Times New Roman" w:hAnsi="Palatino Linotype" w:cs="Garamond"/>
          <w:b/>
          <w:bCs/>
          <w:sz w:val="22"/>
          <w:szCs w:val="22"/>
        </w:rPr>
        <w:t xml:space="preserve">: Details of Open Offers Made under the SEBI (SAST) Regulations </w:t>
      </w:r>
      <w:r>
        <w:rPr>
          <w:rFonts w:ascii="Palatino Linotype" w:hAnsi="Palatino Linotype"/>
          <w:b/>
          <w:sz w:val="22"/>
          <w:szCs w:val="22"/>
        </w:rPr>
        <w:t>(</w:t>
      </w:r>
      <w:r>
        <w:rPr>
          <w:rFonts w:ascii="Times New Roman" w:hAnsi="Times New Roman"/>
          <w:b/>
          <w:sz w:val="22"/>
          <w:szCs w:val="22"/>
        </w:rPr>
        <w:t>₹</w:t>
      </w:r>
      <w:r w:rsidRPr="00D13863">
        <w:rPr>
          <w:rFonts w:ascii="Palatino Linotype" w:hAnsi="Palatino Linotype"/>
          <w:b/>
          <w:sz w:val="22"/>
          <w:szCs w:val="22"/>
        </w:rPr>
        <w:t xml:space="preserve"> crore)</w:t>
      </w:r>
    </w:p>
    <w:p w14:paraId="63AB9907" w14:textId="77777777" w:rsidR="00885921" w:rsidRPr="00D13863" w:rsidRDefault="00885921" w:rsidP="00885921">
      <w:pPr>
        <w:jc w:val="both"/>
        <w:rPr>
          <w:rFonts w:ascii="Palatino Linotype" w:hAnsi="Palatino Linotype"/>
          <w:b/>
          <w:sz w:val="22"/>
          <w:szCs w:val="22"/>
        </w:rPr>
      </w:pPr>
    </w:p>
    <w:p w14:paraId="491A7BC2" w14:textId="77777777" w:rsidR="00885921" w:rsidRPr="00D13863" w:rsidRDefault="00885921" w:rsidP="00885921">
      <w:pPr>
        <w:jc w:val="both"/>
        <w:rPr>
          <w:rFonts w:ascii="Palatino Linotype" w:hAnsi="Palatino Linotype"/>
          <w:b/>
          <w:sz w:val="22"/>
          <w:szCs w:val="22"/>
        </w:rPr>
      </w:pPr>
      <w:r>
        <w:rPr>
          <w:noProof/>
          <w:lang w:val="en-IN" w:eastAsia="en-IN"/>
        </w:rPr>
        <w:drawing>
          <wp:inline distT="0" distB="0" distL="0" distR="0" wp14:anchorId="7CAF8A1E" wp14:editId="7552A1C6">
            <wp:extent cx="5923280" cy="2501900"/>
            <wp:effectExtent l="0" t="0" r="1270" b="12700"/>
            <wp:docPr id="25" name="Chart 25" title="Amount (Rs. Cror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80A8FA1" w14:textId="77777777" w:rsidR="00885921" w:rsidRDefault="00885921" w:rsidP="00885921">
      <w:pPr>
        <w:rPr>
          <w:rFonts w:ascii="Garamond" w:hAnsi="Garamond"/>
          <w:b/>
        </w:rPr>
      </w:pPr>
    </w:p>
    <w:p w14:paraId="7F50A7E4" w14:textId="46AB4957" w:rsidR="00C17881" w:rsidRDefault="00C17881">
      <w:pPr>
        <w:rPr>
          <w:rFonts w:ascii="Palatino Linotype" w:eastAsia="Times New Roman" w:hAnsi="Palatino Linotype"/>
          <w:color w:val="000099"/>
          <w:sz w:val="22"/>
          <w:szCs w:val="22"/>
          <w:highlight w:val="lightGray"/>
        </w:rPr>
      </w:pPr>
    </w:p>
    <w:p w14:paraId="352A5238" w14:textId="77777777" w:rsidR="002924F3" w:rsidRDefault="002924F3" w:rsidP="002924F3">
      <w:pPr>
        <w:rPr>
          <w:rFonts w:ascii="Garamond" w:hAnsi="Garamond"/>
          <w:b/>
        </w:rPr>
      </w:pPr>
    </w:p>
    <w:p w14:paraId="33A10377" w14:textId="77777777" w:rsidR="00C17881" w:rsidRDefault="00C17881">
      <w:pPr>
        <w:rPr>
          <w:rFonts w:ascii="Palatino Linotype" w:hAnsi="Palatino Linotype"/>
          <w:b/>
          <w:sz w:val="22"/>
          <w:szCs w:val="22"/>
        </w:rPr>
      </w:pPr>
      <w:r>
        <w:rPr>
          <w:rFonts w:ascii="Palatino Linotype" w:hAnsi="Palatino Linotype"/>
          <w:b/>
          <w:sz w:val="22"/>
          <w:szCs w:val="22"/>
        </w:rPr>
        <w:br w:type="page"/>
      </w:r>
    </w:p>
    <w:p w14:paraId="1B684B45" w14:textId="77777777" w:rsidR="009C313D" w:rsidRPr="002D46D6" w:rsidRDefault="009C313D" w:rsidP="009C313D">
      <w:pPr>
        <w:jc w:val="center"/>
        <w:outlineLvl w:val="0"/>
        <w:rPr>
          <w:rFonts w:ascii="Garamond" w:hAnsi="Garamond"/>
          <w:b/>
        </w:rPr>
      </w:pPr>
      <w:r w:rsidRPr="003F07E9">
        <w:rPr>
          <w:rFonts w:ascii="Garamond" w:hAnsi="Garamond" w:cs="Helvetica"/>
          <w:b/>
          <w:color w:val="000099"/>
          <w:sz w:val="32"/>
          <w:szCs w:val="40"/>
        </w:rPr>
        <w:t>REVIEW OF GLOBAL FINANCIAL MARKETS</w:t>
      </w:r>
    </w:p>
    <w:p w14:paraId="0B1C68CA" w14:textId="77777777" w:rsidR="009C313D" w:rsidRPr="002D46D6" w:rsidRDefault="009C313D" w:rsidP="009C313D">
      <w:pPr>
        <w:rPr>
          <w:rFonts w:ascii="Garamond" w:hAnsi="Garamond"/>
          <w:b/>
        </w:rPr>
      </w:pPr>
    </w:p>
    <w:p w14:paraId="5BECD53D" w14:textId="77777777" w:rsidR="009C313D" w:rsidRPr="002D46D6" w:rsidRDefault="009C313D" w:rsidP="009C313D">
      <w:pPr>
        <w:rPr>
          <w:rFonts w:ascii="Garamond" w:hAnsi="Garamond"/>
          <w:b/>
        </w:rPr>
      </w:pPr>
    </w:p>
    <w:p w14:paraId="27BD666B" w14:textId="77777777" w:rsidR="009C313D" w:rsidRPr="007D4FA5" w:rsidRDefault="009C313D" w:rsidP="009C313D">
      <w:pPr>
        <w:rPr>
          <w:rFonts w:ascii="Garamond" w:hAnsi="Garamond"/>
          <w:b/>
        </w:rPr>
      </w:pPr>
      <w:r>
        <w:rPr>
          <w:rFonts w:ascii="Garamond" w:hAnsi="Garamond"/>
          <w:b/>
        </w:rPr>
        <w:t>O</w:t>
      </w:r>
      <w:r w:rsidRPr="007D4FA5">
        <w:rPr>
          <w:rFonts w:ascii="Garamond" w:hAnsi="Garamond"/>
          <w:b/>
        </w:rPr>
        <w:t>verview of the Global Financial Markets:</w:t>
      </w:r>
    </w:p>
    <w:p w14:paraId="280EE7DF" w14:textId="77777777" w:rsidR="009C313D" w:rsidRPr="007D4FA5" w:rsidRDefault="009C313D" w:rsidP="009C313D">
      <w:pPr>
        <w:jc w:val="both"/>
        <w:rPr>
          <w:rFonts w:ascii="Garamond" w:eastAsia="Times New Roman" w:hAnsi="Garamond" w:cs="Arial"/>
          <w:lang w:eastAsia="en-GB"/>
        </w:rPr>
      </w:pPr>
    </w:p>
    <w:p w14:paraId="5EE2170C" w14:textId="77777777" w:rsidR="009C313D" w:rsidRDefault="009C313D" w:rsidP="009C313D">
      <w:pPr>
        <w:jc w:val="both"/>
        <w:rPr>
          <w:rFonts w:ascii="Garamond" w:eastAsia="Times New Roman" w:hAnsi="Garamond" w:cs="Arial"/>
          <w:lang w:eastAsia="en-GB"/>
        </w:rPr>
      </w:pPr>
      <w:r>
        <w:rPr>
          <w:rFonts w:ascii="Garamond" w:eastAsia="Times New Roman" w:hAnsi="Garamond" w:cs="Arial"/>
          <w:lang w:eastAsia="en-GB"/>
        </w:rPr>
        <w:t>The world economy continued to grow during September 2018, albeit at a muted pace as reflected by the PMI figures. E</w:t>
      </w:r>
      <w:r w:rsidRPr="00156B32">
        <w:rPr>
          <w:rFonts w:ascii="Garamond" w:eastAsia="Times New Roman" w:hAnsi="Garamond" w:cs="Arial"/>
          <w:lang w:eastAsia="en-GB"/>
        </w:rPr>
        <w:t>conomic activity expanded in the US, the Euro</w:t>
      </w:r>
      <w:r>
        <w:rPr>
          <w:rFonts w:ascii="Garamond" w:eastAsia="Times New Roman" w:hAnsi="Garamond" w:cs="Arial"/>
          <w:lang w:eastAsia="en-GB"/>
        </w:rPr>
        <w:t xml:space="preserve"> </w:t>
      </w:r>
      <w:r w:rsidRPr="00156B32">
        <w:rPr>
          <w:rFonts w:ascii="Garamond" w:eastAsia="Times New Roman" w:hAnsi="Garamond" w:cs="Arial"/>
          <w:lang w:eastAsia="en-GB"/>
        </w:rPr>
        <w:t xml:space="preserve">Area, Japan, the UK and Russia. </w:t>
      </w:r>
      <w:r>
        <w:rPr>
          <w:rFonts w:ascii="Garamond" w:eastAsia="Times New Roman" w:hAnsi="Garamond" w:cs="Arial"/>
          <w:lang w:eastAsia="en-GB"/>
        </w:rPr>
        <w:t>However</w:t>
      </w:r>
      <w:r w:rsidRPr="00156B32">
        <w:rPr>
          <w:rFonts w:ascii="Garamond" w:eastAsia="Times New Roman" w:hAnsi="Garamond" w:cs="Arial"/>
          <w:lang w:eastAsia="en-GB"/>
        </w:rPr>
        <w:t>, the Brazil</w:t>
      </w:r>
      <w:r>
        <w:rPr>
          <w:rFonts w:ascii="Garamond" w:eastAsia="Times New Roman" w:hAnsi="Garamond" w:cs="Arial"/>
          <w:lang w:eastAsia="en-GB"/>
        </w:rPr>
        <w:t>ian economy seems to be facing uncertainties before the Presidential election scheduled in October 2018. The global</w:t>
      </w:r>
      <w:r w:rsidRPr="00156B32">
        <w:rPr>
          <w:rFonts w:ascii="Garamond" w:eastAsia="Times New Roman" w:hAnsi="Garamond" w:cs="Arial"/>
          <w:lang w:eastAsia="en-GB"/>
        </w:rPr>
        <w:t xml:space="preserve"> manufacturing production </w:t>
      </w:r>
      <w:r>
        <w:rPr>
          <w:rFonts w:ascii="Garamond" w:eastAsia="Times New Roman" w:hAnsi="Garamond" w:cs="Arial"/>
          <w:lang w:eastAsia="en-GB"/>
        </w:rPr>
        <w:t>increased</w:t>
      </w:r>
      <w:r w:rsidRPr="00156B32">
        <w:rPr>
          <w:rFonts w:ascii="Garamond" w:eastAsia="Times New Roman" w:hAnsi="Garamond" w:cs="Arial"/>
          <w:lang w:eastAsia="en-GB"/>
        </w:rPr>
        <w:t xml:space="preserve"> at the slowest</w:t>
      </w:r>
      <w:r>
        <w:rPr>
          <w:rFonts w:ascii="Garamond" w:eastAsia="Times New Roman" w:hAnsi="Garamond" w:cs="Arial"/>
          <w:lang w:eastAsia="en-GB"/>
        </w:rPr>
        <w:t xml:space="preserve"> </w:t>
      </w:r>
      <w:r w:rsidRPr="00156B32">
        <w:rPr>
          <w:rFonts w:ascii="Garamond" w:eastAsia="Times New Roman" w:hAnsi="Garamond" w:cs="Arial"/>
          <w:lang w:eastAsia="en-GB"/>
        </w:rPr>
        <w:t>pace</w:t>
      </w:r>
      <w:r>
        <w:rPr>
          <w:rFonts w:ascii="Garamond" w:eastAsia="Times New Roman" w:hAnsi="Garamond" w:cs="Arial"/>
          <w:lang w:eastAsia="en-GB"/>
        </w:rPr>
        <w:t xml:space="preserve"> in two years. B</w:t>
      </w:r>
      <w:r w:rsidRPr="00156B32">
        <w:rPr>
          <w:rFonts w:ascii="Garamond" w:eastAsia="Times New Roman" w:hAnsi="Garamond" w:cs="Arial"/>
          <w:lang w:eastAsia="en-GB"/>
        </w:rPr>
        <w:t>usiness</w:t>
      </w:r>
      <w:r>
        <w:rPr>
          <w:rFonts w:ascii="Garamond" w:eastAsia="Times New Roman" w:hAnsi="Garamond" w:cs="Arial"/>
          <w:lang w:eastAsia="en-GB"/>
        </w:rPr>
        <w:t xml:space="preserve"> </w:t>
      </w:r>
      <w:r w:rsidRPr="00156B32">
        <w:rPr>
          <w:rFonts w:ascii="Garamond" w:eastAsia="Times New Roman" w:hAnsi="Garamond" w:cs="Arial"/>
          <w:lang w:eastAsia="en-GB"/>
        </w:rPr>
        <w:t xml:space="preserve">activity </w:t>
      </w:r>
      <w:r>
        <w:rPr>
          <w:rFonts w:ascii="Garamond" w:eastAsia="Times New Roman" w:hAnsi="Garamond" w:cs="Arial"/>
          <w:lang w:eastAsia="en-GB"/>
        </w:rPr>
        <w:t xml:space="preserve">in the service sector rose </w:t>
      </w:r>
      <w:r w:rsidRPr="00156B32">
        <w:rPr>
          <w:rFonts w:ascii="Garamond" w:eastAsia="Times New Roman" w:hAnsi="Garamond" w:cs="Arial"/>
          <w:lang w:eastAsia="en-GB"/>
        </w:rPr>
        <w:t xml:space="preserve">at a </w:t>
      </w:r>
      <w:r>
        <w:rPr>
          <w:rFonts w:ascii="Garamond" w:eastAsia="Times New Roman" w:hAnsi="Garamond" w:cs="Arial"/>
          <w:lang w:eastAsia="en-GB"/>
        </w:rPr>
        <w:t xml:space="preserve">slightly </w:t>
      </w:r>
      <w:r w:rsidRPr="00156B32">
        <w:rPr>
          <w:rFonts w:ascii="Garamond" w:eastAsia="Times New Roman" w:hAnsi="Garamond" w:cs="Arial"/>
          <w:lang w:eastAsia="en-GB"/>
        </w:rPr>
        <w:t>faster pace than manufacturing</w:t>
      </w:r>
      <w:r>
        <w:rPr>
          <w:rFonts w:ascii="Garamond" w:eastAsia="Times New Roman" w:hAnsi="Garamond" w:cs="Arial"/>
          <w:lang w:eastAsia="en-GB"/>
        </w:rPr>
        <w:t xml:space="preserve"> </w:t>
      </w:r>
      <w:r w:rsidRPr="00156B32">
        <w:rPr>
          <w:rFonts w:ascii="Garamond" w:eastAsia="Times New Roman" w:hAnsi="Garamond" w:cs="Arial"/>
          <w:lang w:eastAsia="en-GB"/>
        </w:rPr>
        <w:t>production.</w:t>
      </w:r>
      <w:r>
        <w:rPr>
          <w:rFonts w:ascii="Garamond" w:eastAsia="Times New Roman" w:hAnsi="Garamond" w:cs="Arial"/>
          <w:lang w:eastAsia="en-GB"/>
        </w:rPr>
        <w:t xml:space="preserve"> </w:t>
      </w:r>
    </w:p>
    <w:p w14:paraId="229B1AAD" w14:textId="77777777" w:rsidR="009C313D" w:rsidRDefault="009C313D" w:rsidP="009C313D">
      <w:pPr>
        <w:jc w:val="both"/>
        <w:rPr>
          <w:rFonts w:ascii="Garamond" w:eastAsia="Times New Roman" w:hAnsi="Garamond" w:cs="Arial"/>
          <w:lang w:eastAsia="en-GB"/>
        </w:rPr>
      </w:pPr>
    </w:p>
    <w:p w14:paraId="335B273B" w14:textId="77777777" w:rsidR="009C313D" w:rsidRDefault="009C313D" w:rsidP="009C313D">
      <w:pPr>
        <w:jc w:val="both"/>
        <w:rPr>
          <w:rFonts w:ascii="Garamond" w:eastAsia="Times New Roman" w:hAnsi="Garamond" w:cs="Arial"/>
          <w:lang w:eastAsia="en-GB"/>
        </w:rPr>
      </w:pPr>
      <w:r>
        <w:rPr>
          <w:rFonts w:ascii="Garamond" w:eastAsia="Times New Roman" w:hAnsi="Garamond" w:cs="Arial"/>
          <w:lang w:eastAsia="en-GB"/>
        </w:rPr>
        <w:t>The United States experienced strong recovery. The GDP growth in the second quarter of 2018 was 4.2 per cent (quarter-on-quarter) at an annualised rate. T</w:t>
      </w:r>
      <w:r w:rsidRPr="007F3135">
        <w:rPr>
          <w:rFonts w:ascii="Garamond" w:eastAsia="Times New Roman" w:hAnsi="Garamond" w:cs="Arial"/>
          <w:lang w:eastAsia="en-GB"/>
        </w:rPr>
        <w:t>he labo</w:t>
      </w:r>
      <w:r>
        <w:rPr>
          <w:rFonts w:ascii="Garamond" w:eastAsia="Times New Roman" w:hAnsi="Garamond" w:cs="Arial"/>
          <w:lang w:eastAsia="en-GB"/>
        </w:rPr>
        <w:t>u</w:t>
      </w:r>
      <w:r w:rsidRPr="007F3135">
        <w:rPr>
          <w:rFonts w:ascii="Garamond" w:eastAsia="Times New Roman" w:hAnsi="Garamond" w:cs="Arial"/>
          <w:lang w:eastAsia="en-GB"/>
        </w:rPr>
        <w:t>r market continued to strengthen.</w:t>
      </w:r>
      <w:r>
        <w:rPr>
          <w:rFonts w:ascii="Garamond" w:eastAsia="Times New Roman" w:hAnsi="Garamond" w:cs="Arial"/>
          <w:lang w:eastAsia="en-GB"/>
        </w:rPr>
        <w:t xml:space="preserve"> Considering</w:t>
      </w:r>
      <w:r w:rsidRPr="007F3135">
        <w:rPr>
          <w:rFonts w:ascii="Garamond" w:eastAsia="Times New Roman" w:hAnsi="Garamond" w:cs="Arial"/>
          <w:lang w:eastAsia="en-GB"/>
        </w:rPr>
        <w:t xml:space="preserve"> </w:t>
      </w:r>
      <w:r>
        <w:rPr>
          <w:rFonts w:ascii="Garamond" w:eastAsia="Times New Roman" w:hAnsi="Garamond" w:cs="Arial"/>
          <w:lang w:eastAsia="en-GB"/>
        </w:rPr>
        <w:t xml:space="preserve">the </w:t>
      </w:r>
      <w:r w:rsidRPr="007F3135">
        <w:rPr>
          <w:rFonts w:ascii="Garamond" w:eastAsia="Times New Roman" w:hAnsi="Garamond" w:cs="Arial"/>
          <w:lang w:eastAsia="en-GB"/>
        </w:rPr>
        <w:t>labo</w:t>
      </w:r>
      <w:r>
        <w:rPr>
          <w:rFonts w:ascii="Garamond" w:eastAsia="Times New Roman" w:hAnsi="Garamond" w:cs="Arial"/>
          <w:lang w:eastAsia="en-GB"/>
        </w:rPr>
        <w:t>u</w:t>
      </w:r>
      <w:r w:rsidRPr="007F3135">
        <w:rPr>
          <w:rFonts w:ascii="Garamond" w:eastAsia="Times New Roman" w:hAnsi="Garamond" w:cs="Arial"/>
          <w:lang w:eastAsia="en-GB"/>
        </w:rPr>
        <w:t>r market conditions and inflation</w:t>
      </w:r>
      <w:r>
        <w:rPr>
          <w:rFonts w:ascii="Garamond" w:eastAsia="Times New Roman" w:hAnsi="Garamond" w:cs="Arial"/>
          <w:lang w:eastAsia="en-GB"/>
        </w:rPr>
        <w:t xml:space="preserve"> expectations</w:t>
      </w:r>
      <w:r w:rsidRPr="007F3135">
        <w:rPr>
          <w:rFonts w:ascii="Garamond" w:eastAsia="Times New Roman" w:hAnsi="Garamond" w:cs="Arial"/>
          <w:lang w:eastAsia="en-GB"/>
        </w:rPr>
        <w:t xml:space="preserve">, the </w:t>
      </w:r>
      <w:r w:rsidRPr="007D5A99">
        <w:rPr>
          <w:rFonts w:ascii="Garamond" w:eastAsia="Times New Roman" w:hAnsi="Garamond" w:cs="Arial"/>
          <w:lang w:eastAsia="en-GB"/>
        </w:rPr>
        <w:t xml:space="preserve">Federal Reserve </w:t>
      </w:r>
      <w:r>
        <w:rPr>
          <w:rFonts w:ascii="Garamond" w:eastAsia="Times New Roman" w:hAnsi="Garamond" w:cs="Arial"/>
          <w:lang w:eastAsia="en-GB"/>
        </w:rPr>
        <w:t>hiked</w:t>
      </w:r>
      <w:r w:rsidRPr="007D5A99">
        <w:rPr>
          <w:rFonts w:ascii="Garamond" w:eastAsia="Times New Roman" w:hAnsi="Garamond" w:cs="Arial"/>
          <w:lang w:eastAsia="en-GB"/>
        </w:rPr>
        <w:t xml:space="preserve"> its benchmark interest rate to a range of between 2</w:t>
      </w:r>
      <w:r>
        <w:rPr>
          <w:rFonts w:ascii="Garamond" w:eastAsia="Times New Roman" w:hAnsi="Garamond" w:cs="Arial"/>
          <w:lang w:eastAsia="en-GB"/>
        </w:rPr>
        <w:t xml:space="preserve"> per cent</w:t>
      </w:r>
      <w:r w:rsidRPr="007D5A99">
        <w:rPr>
          <w:rFonts w:ascii="Garamond" w:eastAsia="Times New Roman" w:hAnsi="Garamond" w:cs="Arial"/>
          <w:lang w:eastAsia="en-GB"/>
        </w:rPr>
        <w:t xml:space="preserve"> and 2.25</w:t>
      </w:r>
      <w:r>
        <w:rPr>
          <w:rFonts w:ascii="Garamond" w:eastAsia="Times New Roman" w:hAnsi="Garamond" w:cs="Arial"/>
          <w:lang w:eastAsia="en-GB"/>
        </w:rPr>
        <w:t xml:space="preserve"> per cent. Economic activity in the Eurozone has been muted on the back of the looming trade tension between the US and China and </w:t>
      </w:r>
      <w:r w:rsidRPr="006D69D0">
        <w:rPr>
          <w:rFonts w:ascii="Garamond" w:eastAsia="Times New Roman" w:hAnsi="Garamond" w:cs="Arial"/>
          <w:lang w:eastAsia="en-GB"/>
        </w:rPr>
        <w:t>budget concerns</w:t>
      </w:r>
      <w:r>
        <w:rPr>
          <w:rFonts w:ascii="Garamond" w:eastAsia="Times New Roman" w:hAnsi="Garamond" w:cs="Arial"/>
          <w:lang w:eastAsia="en-GB"/>
        </w:rPr>
        <w:t xml:space="preserve"> in Italy. </w:t>
      </w:r>
      <w:r w:rsidRPr="00246FE3">
        <w:rPr>
          <w:rFonts w:ascii="Garamond" w:eastAsia="Times New Roman" w:hAnsi="Garamond" w:cs="Arial"/>
          <w:lang w:eastAsia="en-GB"/>
        </w:rPr>
        <w:t>The European Central Bank</w:t>
      </w:r>
      <w:r>
        <w:rPr>
          <w:rFonts w:ascii="Garamond" w:eastAsia="Times New Roman" w:hAnsi="Garamond" w:cs="Arial"/>
          <w:lang w:eastAsia="en-GB"/>
        </w:rPr>
        <w:t>, however, is going</w:t>
      </w:r>
      <w:r w:rsidRPr="00246FE3">
        <w:rPr>
          <w:rFonts w:ascii="Garamond" w:eastAsia="Times New Roman" w:hAnsi="Garamond" w:cs="Arial"/>
          <w:lang w:eastAsia="en-GB"/>
        </w:rPr>
        <w:t xml:space="preserve"> to wind down its programme of quantitative easing by halving monthly bond purchases, to €</w:t>
      </w:r>
      <w:r>
        <w:rPr>
          <w:rFonts w:ascii="Garamond" w:eastAsia="Times New Roman" w:hAnsi="Garamond" w:cs="Arial"/>
          <w:lang w:eastAsia="en-GB"/>
        </w:rPr>
        <w:t xml:space="preserve"> </w:t>
      </w:r>
      <w:r w:rsidRPr="00246FE3">
        <w:rPr>
          <w:rFonts w:ascii="Garamond" w:eastAsia="Times New Roman" w:hAnsi="Garamond" w:cs="Arial"/>
          <w:lang w:eastAsia="en-GB"/>
        </w:rPr>
        <w:t>15</w:t>
      </w:r>
      <w:r>
        <w:rPr>
          <w:rFonts w:ascii="Garamond" w:eastAsia="Times New Roman" w:hAnsi="Garamond" w:cs="Arial"/>
          <w:lang w:eastAsia="en-GB"/>
        </w:rPr>
        <w:t xml:space="preserve"> </w:t>
      </w:r>
      <w:r w:rsidRPr="00246FE3">
        <w:rPr>
          <w:rFonts w:ascii="Garamond" w:eastAsia="Times New Roman" w:hAnsi="Garamond" w:cs="Arial"/>
          <w:lang w:eastAsia="en-GB"/>
        </w:rPr>
        <w:t>b</w:t>
      </w:r>
      <w:r>
        <w:rPr>
          <w:rFonts w:ascii="Garamond" w:eastAsia="Times New Roman" w:hAnsi="Garamond" w:cs="Arial"/>
          <w:lang w:eastAsia="en-GB"/>
        </w:rPr>
        <w:t>illio</w:t>
      </w:r>
      <w:r w:rsidRPr="00246FE3">
        <w:rPr>
          <w:rFonts w:ascii="Garamond" w:eastAsia="Times New Roman" w:hAnsi="Garamond" w:cs="Arial"/>
          <w:lang w:eastAsia="en-GB"/>
        </w:rPr>
        <w:t>n (</w:t>
      </w:r>
      <w:r>
        <w:rPr>
          <w:rFonts w:ascii="Garamond" w:eastAsia="Times New Roman" w:hAnsi="Garamond" w:cs="Arial"/>
          <w:lang w:eastAsia="en-GB"/>
        </w:rPr>
        <w:t>US</w:t>
      </w:r>
      <w:r w:rsidRPr="00246FE3">
        <w:rPr>
          <w:rFonts w:ascii="Garamond" w:eastAsia="Times New Roman" w:hAnsi="Garamond" w:cs="Arial"/>
          <w:lang w:eastAsia="en-GB"/>
        </w:rPr>
        <w:t>$</w:t>
      </w:r>
      <w:r>
        <w:rPr>
          <w:rFonts w:ascii="Garamond" w:eastAsia="Times New Roman" w:hAnsi="Garamond" w:cs="Arial"/>
          <w:lang w:eastAsia="en-GB"/>
        </w:rPr>
        <w:t xml:space="preserve"> </w:t>
      </w:r>
      <w:r w:rsidRPr="00246FE3">
        <w:rPr>
          <w:rFonts w:ascii="Garamond" w:eastAsia="Times New Roman" w:hAnsi="Garamond" w:cs="Arial"/>
          <w:lang w:eastAsia="en-GB"/>
        </w:rPr>
        <w:t>17.5</w:t>
      </w:r>
      <w:r>
        <w:rPr>
          <w:rFonts w:ascii="Garamond" w:eastAsia="Times New Roman" w:hAnsi="Garamond" w:cs="Arial"/>
          <w:lang w:eastAsia="en-GB"/>
        </w:rPr>
        <w:t xml:space="preserve"> </w:t>
      </w:r>
      <w:r w:rsidRPr="00246FE3">
        <w:rPr>
          <w:rFonts w:ascii="Garamond" w:eastAsia="Times New Roman" w:hAnsi="Garamond" w:cs="Arial"/>
          <w:lang w:eastAsia="en-GB"/>
        </w:rPr>
        <w:t>b</w:t>
      </w:r>
      <w:r>
        <w:rPr>
          <w:rFonts w:ascii="Garamond" w:eastAsia="Times New Roman" w:hAnsi="Garamond" w:cs="Arial"/>
          <w:lang w:eastAsia="en-GB"/>
        </w:rPr>
        <w:t>illio</w:t>
      </w:r>
      <w:r w:rsidRPr="00246FE3">
        <w:rPr>
          <w:rFonts w:ascii="Garamond" w:eastAsia="Times New Roman" w:hAnsi="Garamond" w:cs="Arial"/>
          <w:lang w:eastAsia="en-GB"/>
        </w:rPr>
        <w:t>n), from October</w:t>
      </w:r>
      <w:r>
        <w:rPr>
          <w:rFonts w:ascii="Garamond" w:eastAsia="Times New Roman" w:hAnsi="Garamond" w:cs="Arial"/>
          <w:lang w:eastAsia="en-GB"/>
        </w:rPr>
        <w:t xml:space="preserve"> 2018</w:t>
      </w:r>
      <w:r w:rsidRPr="00246FE3">
        <w:rPr>
          <w:rFonts w:ascii="Garamond" w:eastAsia="Times New Roman" w:hAnsi="Garamond" w:cs="Arial"/>
          <w:lang w:eastAsia="en-GB"/>
        </w:rPr>
        <w:t>.</w:t>
      </w:r>
      <w:r>
        <w:rPr>
          <w:rFonts w:ascii="Garamond" w:eastAsia="Times New Roman" w:hAnsi="Garamond" w:cs="Arial"/>
          <w:lang w:eastAsia="en-GB"/>
        </w:rPr>
        <w:t xml:space="preserve"> </w:t>
      </w:r>
      <w:r w:rsidRPr="008D2D21">
        <w:rPr>
          <w:rFonts w:ascii="Garamond" w:eastAsia="Times New Roman" w:hAnsi="Garamond" w:cs="Arial"/>
          <w:lang w:eastAsia="en-GB"/>
        </w:rPr>
        <w:t>The spread on Italy’s ten-year government-bond yield over</w:t>
      </w:r>
      <w:r>
        <w:rPr>
          <w:rFonts w:ascii="Garamond" w:eastAsia="Times New Roman" w:hAnsi="Garamond" w:cs="Arial"/>
          <w:lang w:eastAsia="en-GB"/>
        </w:rPr>
        <w:t xml:space="preserve"> its</w:t>
      </w:r>
      <w:r w:rsidRPr="008D2D21">
        <w:rPr>
          <w:rFonts w:ascii="Garamond" w:eastAsia="Times New Roman" w:hAnsi="Garamond" w:cs="Arial"/>
          <w:lang w:eastAsia="en-GB"/>
        </w:rPr>
        <w:t xml:space="preserve"> German equivalent </w:t>
      </w:r>
      <w:r>
        <w:rPr>
          <w:rFonts w:ascii="Garamond" w:eastAsia="Times New Roman" w:hAnsi="Garamond" w:cs="Arial"/>
          <w:lang w:eastAsia="en-GB"/>
        </w:rPr>
        <w:t>increased</w:t>
      </w:r>
      <w:r w:rsidRPr="008D2D21">
        <w:rPr>
          <w:rFonts w:ascii="Garamond" w:eastAsia="Times New Roman" w:hAnsi="Garamond" w:cs="Arial"/>
          <w:lang w:eastAsia="en-GB"/>
        </w:rPr>
        <w:t xml:space="preserve">. </w:t>
      </w:r>
      <w:r>
        <w:rPr>
          <w:rFonts w:ascii="Garamond" w:eastAsia="Times New Roman" w:hAnsi="Garamond" w:cs="Arial"/>
          <w:lang w:eastAsia="en-GB"/>
        </w:rPr>
        <w:t>The rating agency Fitch</w:t>
      </w:r>
      <w:r w:rsidRPr="008D2D21">
        <w:rPr>
          <w:rFonts w:ascii="Garamond" w:eastAsia="Times New Roman" w:hAnsi="Garamond" w:cs="Arial"/>
          <w:lang w:eastAsia="en-GB"/>
        </w:rPr>
        <w:t xml:space="preserve"> changed its outlook o</w:t>
      </w:r>
      <w:r>
        <w:rPr>
          <w:rFonts w:ascii="Garamond" w:eastAsia="Times New Roman" w:hAnsi="Garamond" w:cs="Arial"/>
          <w:lang w:eastAsia="en-GB"/>
        </w:rPr>
        <w:t>n Italy to negative from stable</w:t>
      </w:r>
      <w:r w:rsidRPr="008D2D21">
        <w:rPr>
          <w:rFonts w:ascii="Garamond" w:eastAsia="Times New Roman" w:hAnsi="Garamond" w:cs="Arial"/>
          <w:lang w:eastAsia="en-GB"/>
        </w:rPr>
        <w:t xml:space="preserve">. </w:t>
      </w:r>
      <w:r>
        <w:rPr>
          <w:rFonts w:ascii="Garamond" w:eastAsia="Times New Roman" w:hAnsi="Garamond" w:cs="Arial"/>
          <w:lang w:eastAsia="en-GB"/>
        </w:rPr>
        <w:t xml:space="preserve">In the UK </w:t>
      </w:r>
      <w:r w:rsidRPr="00D519CF">
        <w:rPr>
          <w:rFonts w:ascii="Garamond" w:eastAsia="Times New Roman" w:hAnsi="Garamond" w:cs="Arial"/>
          <w:lang w:eastAsia="en-GB"/>
        </w:rPr>
        <w:t>Brexit worries con</w:t>
      </w:r>
      <w:r>
        <w:rPr>
          <w:rFonts w:ascii="Garamond" w:eastAsia="Times New Roman" w:hAnsi="Garamond" w:cs="Arial"/>
          <w:lang w:eastAsia="en-GB"/>
        </w:rPr>
        <w:t>tinue to dominate the outlook. H</w:t>
      </w:r>
      <w:r w:rsidRPr="00D519CF">
        <w:rPr>
          <w:rFonts w:ascii="Garamond" w:eastAsia="Times New Roman" w:hAnsi="Garamond" w:cs="Arial"/>
          <w:lang w:eastAsia="en-GB"/>
        </w:rPr>
        <w:t xml:space="preserve">owever, </w:t>
      </w:r>
      <w:r>
        <w:rPr>
          <w:rFonts w:ascii="Garamond" w:eastAsia="Times New Roman" w:hAnsi="Garamond" w:cs="Arial"/>
          <w:lang w:eastAsia="en-GB"/>
        </w:rPr>
        <w:t>the PMI indicators show that the manufacturing and services grew at a relatively faster pace in September 2018</w:t>
      </w:r>
      <w:r w:rsidRPr="00D519CF">
        <w:rPr>
          <w:rFonts w:ascii="Garamond" w:eastAsia="Times New Roman" w:hAnsi="Garamond" w:cs="Arial"/>
          <w:lang w:eastAsia="en-GB"/>
        </w:rPr>
        <w:t>.</w:t>
      </w:r>
      <w:r>
        <w:rPr>
          <w:rFonts w:ascii="Garamond" w:eastAsia="Times New Roman" w:hAnsi="Garamond" w:cs="Arial"/>
          <w:lang w:eastAsia="en-GB"/>
        </w:rPr>
        <w:t xml:space="preserve"> Business activities in Japan remained muted during September 2018 on account of two natural disasters – a typhoon and an earthquake in the first week of the month.</w:t>
      </w:r>
    </w:p>
    <w:p w14:paraId="4AFCC7BE" w14:textId="77777777" w:rsidR="009C313D" w:rsidRDefault="009C313D" w:rsidP="009C313D">
      <w:pPr>
        <w:jc w:val="both"/>
        <w:rPr>
          <w:rFonts w:ascii="Garamond" w:eastAsia="Times New Roman" w:hAnsi="Garamond" w:cs="Arial"/>
          <w:lang w:eastAsia="en-GB"/>
        </w:rPr>
      </w:pPr>
    </w:p>
    <w:p w14:paraId="5E879E89" w14:textId="77777777" w:rsidR="009C313D" w:rsidRDefault="009C313D" w:rsidP="009C313D">
      <w:pPr>
        <w:jc w:val="both"/>
        <w:rPr>
          <w:rFonts w:ascii="Garamond" w:eastAsia="Times New Roman" w:hAnsi="Garamond" w:cs="Arial"/>
          <w:lang w:eastAsia="en-GB"/>
        </w:rPr>
      </w:pPr>
      <w:r>
        <w:rPr>
          <w:rFonts w:ascii="Garamond" w:eastAsia="Times New Roman" w:hAnsi="Garamond" w:cs="Arial"/>
          <w:lang w:eastAsia="en-GB"/>
        </w:rPr>
        <w:t xml:space="preserve">As regards emerging nations, India stood out on account of its higher rate of growth. </w:t>
      </w:r>
      <w:r w:rsidRPr="00287A77">
        <w:rPr>
          <w:rFonts w:ascii="Garamond" w:eastAsia="Times New Roman" w:hAnsi="Garamond" w:cs="Arial"/>
          <w:lang w:eastAsia="en-GB"/>
        </w:rPr>
        <w:t>The Indian economy grew 8.2 per</w:t>
      </w:r>
      <w:r>
        <w:rPr>
          <w:rFonts w:ascii="Garamond" w:eastAsia="Times New Roman" w:hAnsi="Garamond" w:cs="Arial"/>
          <w:lang w:eastAsia="en-GB"/>
        </w:rPr>
        <w:t xml:space="preserve"> </w:t>
      </w:r>
      <w:r w:rsidRPr="00287A77">
        <w:rPr>
          <w:rFonts w:ascii="Garamond" w:eastAsia="Times New Roman" w:hAnsi="Garamond" w:cs="Arial"/>
          <w:lang w:eastAsia="en-GB"/>
        </w:rPr>
        <w:t xml:space="preserve">cent </w:t>
      </w:r>
      <w:r>
        <w:rPr>
          <w:rFonts w:ascii="Garamond" w:eastAsia="Times New Roman" w:hAnsi="Garamond" w:cs="Arial"/>
          <w:lang w:eastAsia="en-GB"/>
        </w:rPr>
        <w:t>(</w:t>
      </w:r>
      <w:r w:rsidRPr="00287A77">
        <w:rPr>
          <w:rFonts w:ascii="Garamond" w:eastAsia="Times New Roman" w:hAnsi="Garamond" w:cs="Arial"/>
          <w:lang w:eastAsia="en-GB"/>
        </w:rPr>
        <w:t>year-on-year</w:t>
      </w:r>
      <w:r>
        <w:rPr>
          <w:rFonts w:ascii="Garamond" w:eastAsia="Times New Roman" w:hAnsi="Garamond" w:cs="Arial"/>
          <w:lang w:eastAsia="en-GB"/>
        </w:rPr>
        <w:t>)</w:t>
      </w:r>
      <w:r w:rsidRPr="00287A77">
        <w:rPr>
          <w:rFonts w:ascii="Garamond" w:eastAsia="Times New Roman" w:hAnsi="Garamond" w:cs="Arial"/>
          <w:lang w:eastAsia="en-GB"/>
        </w:rPr>
        <w:t xml:space="preserve"> in the second quarter of 2018, above 7.7 per</w:t>
      </w:r>
      <w:r>
        <w:rPr>
          <w:rFonts w:ascii="Garamond" w:eastAsia="Times New Roman" w:hAnsi="Garamond" w:cs="Arial"/>
          <w:lang w:eastAsia="en-GB"/>
        </w:rPr>
        <w:t xml:space="preserve"> </w:t>
      </w:r>
      <w:r w:rsidRPr="00287A77">
        <w:rPr>
          <w:rFonts w:ascii="Garamond" w:eastAsia="Times New Roman" w:hAnsi="Garamond" w:cs="Arial"/>
          <w:lang w:eastAsia="en-GB"/>
        </w:rPr>
        <w:t>cent in the</w:t>
      </w:r>
      <w:r>
        <w:rPr>
          <w:rFonts w:ascii="Garamond" w:eastAsia="Times New Roman" w:hAnsi="Garamond" w:cs="Arial"/>
          <w:lang w:eastAsia="en-GB"/>
        </w:rPr>
        <w:t xml:space="preserve"> previous quarter. On the other hand, although the Chinese economy has been expanding at a robust rate, the growth tempo has been relatively slower in the second quarter of 2018. Besides, the trade war between China and the USA is slowly unravelling. The US</w:t>
      </w:r>
      <w:r w:rsidRPr="00FC73C6">
        <w:rPr>
          <w:rFonts w:ascii="Garamond" w:eastAsia="Times New Roman" w:hAnsi="Garamond" w:cs="Arial"/>
          <w:lang w:eastAsia="en-GB"/>
        </w:rPr>
        <w:t xml:space="preserve"> announced tariffs on a further US$</w:t>
      </w:r>
      <w:r>
        <w:rPr>
          <w:rFonts w:ascii="Garamond" w:eastAsia="Times New Roman" w:hAnsi="Garamond" w:cs="Arial"/>
          <w:lang w:eastAsia="en-GB"/>
        </w:rPr>
        <w:t xml:space="preserve"> </w:t>
      </w:r>
      <w:r w:rsidRPr="00FC73C6">
        <w:rPr>
          <w:rFonts w:ascii="Garamond" w:eastAsia="Times New Roman" w:hAnsi="Garamond" w:cs="Arial"/>
          <w:lang w:eastAsia="en-GB"/>
        </w:rPr>
        <w:t>200</w:t>
      </w:r>
      <w:r>
        <w:rPr>
          <w:rFonts w:ascii="Garamond" w:eastAsia="Times New Roman" w:hAnsi="Garamond" w:cs="Arial"/>
          <w:lang w:eastAsia="en-GB"/>
        </w:rPr>
        <w:t xml:space="preserve"> </w:t>
      </w:r>
      <w:r w:rsidRPr="00FC73C6">
        <w:rPr>
          <w:rFonts w:ascii="Garamond" w:eastAsia="Times New Roman" w:hAnsi="Garamond" w:cs="Arial"/>
          <w:lang w:eastAsia="en-GB"/>
        </w:rPr>
        <w:t>b</w:t>
      </w:r>
      <w:r>
        <w:rPr>
          <w:rFonts w:ascii="Garamond" w:eastAsia="Times New Roman" w:hAnsi="Garamond" w:cs="Arial"/>
          <w:lang w:eastAsia="en-GB"/>
        </w:rPr>
        <w:t>illio</w:t>
      </w:r>
      <w:r w:rsidRPr="00FC73C6">
        <w:rPr>
          <w:rFonts w:ascii="Garamond" w:eastAsia="Times New Roman" w:hAnsi="Garamond" w:cs="Arial"/>
          <w:lang w:eastAsia="en-GB"/>
        </w:rPr>
        <w:t xml:space="preserve">n of Chinese imports and, in response, China introduced a retaliatory tariff list </w:t>
      </w:r>
      <w:r>
        <w:rPr>
          <w:rFonts w:ascii="Garamond" w:eastAsia="Times New Roman" w:hAnsi="Garamond" w:cs="Arial"/>
          <w:lang w:eastAsia="en-GB"/>
        </w:rPr>
        <w:t>covering</w:t>
      </w:r>
      <w:r w:rsidRPr="00FC73C6">
        <w:rPr>
          <w:rFonts w:ascii="Garamond" w:eastAsia="Times New Roman" w:hAnsi="Garamond" w:cs="Arial"/>
          <w:lang w:eastAsia="en-GB"/>
        </w:rPr>
        <w:t xml:space="preserve"> US$</w:t>
      </w:r>
      <w:r>
        <w:rPr>
          <w:rFonts w:ascii="Garamond" w:eastAsia="Times New Roman" w:hAnsi="Garamond" w:cs="Arial"/>
          <w:lang w:eastAsia="en-GB"/>
        </w:rPr>
        <w:t xml:space="preserve"> </w:t>
      </w:r>
      <w:r w:rsidRPr="00FC73C6">
        <w:rPr>
          <w:rFonts w:ascii="Garamond" w:eastAsia="Times New Roman" w:hAnsi="Garamond" w:cs="Arial"/>
          <w:lang w:eastAsia="en-GB"/>
        </w:rPr>
        <w:t>60</w:t>
      </w:r>
      <w:r>
        <w:rPr>
          <w:rFonts w:ascii="Garamond" w:eastAsia="Times New Roman" w:hAnsi="Garamond" w:cs="Arial"/>
          <w:lang w:eastAsia="en-GB"/>
        </w:rPr>
        <w:t xml:space="preserve"> </w:t>
      </w:r>
      <w:r w:rsidRPr="00FC73C6">
        <w:rPr>
          <w:rFonts w:ascii="Garamond" w:eastAsia="Times New Roman" w:hAnsi="Garamond" w:cs="Arial"/>
          <w:lang w:eastAsia="en-GB"/>
        </w:rPr>
        <w:t>b</w:t>
      </w:r>
      <w:r>
        <w:rPr>
          <w:rFonts w:ascii="Garamond" w:eastAsia="Times New Roman" w:hAnsi="Garamond" w:cs="Arial"/>
          <w:lang w:eastAsia="en-GB"/>
        </w:rPr>
        <w:t>illio</w:t>
      </w:r>
      <w:r w:rsidRPr="00FC73C6">
        <w:rPr>
          <w:rFonts w:ascii="Garamond" w:eastAsia="Times New Roman" w:hAnsi="Garamond" w:cs="Arial"/>
          <w:lang w:eastAsia="en-GB"/>
        </w:rPr>
        <w:t xml:space="preserve">n </w:t>
      </w:r>
      <w:r>
        <w:rPr>
          <w:rFonts w:ascii="Garamond" w:eastAsia="Times New Roman" w:hAnsi="Garamond" w:cs="Arial"/>
          <w:lang w:eastAsia="en-GB"/>
        </w:rPr>
        <w:t xml:space="preserve">of </w:t>
      </w:r>
      <w:r w:rsidRPr="00FC73C6">
        <w:rPr>
          <w:rFonts w:ascii="Garamond" w:eastAsia="Times New Roman" w:hAnsi="Garamond" w:cs="Arial"/>
          <w:lang w:eastAsia="en-GB"/>
        </w:rPr>
        <w:t>US imports, with additi</w:t>
      </w:r>
      <w:r>
        <w:rPr>
          <w:rFonts w:ascii="Garamond" w:eastAsia="Times New Roman" w:hAnsi="Garamond" w:cs="Arial"/>
          <w:lang w:eastAsia="en-GB"/>
        </w:rPr>
        <w:t>onal tariffs ranging between 5 per cent and 10 per cent</w:t>
      </w:r>
      <w:r w:rsidRPr="00FC73C6">
        <w:rPr>
          <w:rFonts w:ascii="Garamond" w:eastAsia="Times New Roman" w:hAnsi="Garamond" w:cs="Arial"/>
          <w:lang w:eastAsia="en-GB"/>
        </w:rPr>
        <w:t>.</w:t>
      </w:r>
      <w:r>
        <w:rPr>
          <w:rFonts w:ascii="Garamond" w:eastAsia="Times New Roman" w:hAnsi="Garamond" w:cs="Arial"/>
          <w:lang w:eastAsia="en-GB"/>
        </w:rPr>
        <w:t xml:space="preserve"> The Russian economy, which recovered from a recession, is trying to combat with various challenges. </w:t>
      </w:r>
      <w:r w:rsidRPr="0017038C">
        <w:rPr>
          <w:rFonts w:ascii="Garamond" w:eastAsia="Times New Roman" w:hAnsi="Garamond" w:cs="Arial"/>
          <w:lang w:eastAsia="en-GB"/>
        </w:rPr>
        <w:t xml:space="preserve">Interest rates were </w:t>
      </w:r>
      <w:r>
        <w:rPr>
          <w:rFonts w:ascii="Garamond" w:eastAsia="Times New Roman" w:hAnsi="Garamond" w:cs="Arial"/>
          <w:lang w:eastAsia="en-GB"/>
        </w:rPr>
        <w:t xml:space="preserve">raised in Russia </w:t>
      </w:r>
      <w:r w:rsidRPr="0017038C">
        <w:rPr>
          <w:rFonts w:ascii="Garamond" w:eastAsia="Times New Roman" w:hAnsi="Garamond" w:cs="Arial"/>
          <w:lang w:eastAsia="en-GB"/>
        </w:rPr>
        <w:t>to 7.5</w:t>
      </w:r>
      <w:r>
        <w:rPr>
          <w:rFonts w:ascii="Garamond" w:eastAsia="Times New Roman" w:hAnsi="Garamond" w:cs="Arial"/>
          <w:lang w:eastAsia="en-GB"/>
        </w:rPr>
        <w:t xml:space="preserve"> per cent</w:t>
      </w:r>
      <w:r w:rsidRPr="0017038C">
        <w:rPr>
          <w:rFonts w:ascii="Garamond" w:eastAsia="Times New Roman" w:hAnsi="Garamond" w:cs="Arial"/>
          <w:lang w:eastAsia="en-GB"/>
        </w:rPr>
        <w:t xml:space="preserve"> from 7.25</w:t>
      </w:r>
      <w:r>
        <w:rPr>
          <w:rFonts w:ascii="Garamond" w:eastAsia="Times New Roman" w:hAnsi="Garamond" w:cs="Arial"/>
          <w:lang w:eastAsia="en-GB"/>
        </w:rPr>
        <w:t xml:space="preserve"> per cent</w:t>
      </w:r>
      <w:r w:rsidRPr="0017038C">
        <w:rPr>
          <w:rFonts w:ascii="Garamond" w:eastAsia="Times New Roman" w:hAnsi="Garamond" w:cs="Arial"/>
          <w:lang w:eastAsia="en-GB"/>
        </w:rPr>
        <w:t xml:space="preserve"> to combat inflationary pressures and currency volatility.</w:t>
      </w:r>
      <w:r>
        <w:rPr>
          <w:rFonts w:ascii="Garamond" w:eastAsia="Times New Roman" w:hAnsi="Garamond" w:cs="Arial"/>
          <w:lang w:eastAsia="en-GB"/>
        </w:rPr>
        <w:t xml:space="preserve"> As regards the Brazilian economy, although </w:t>
      </w:r>
      <w:r w:rsidRPr="00246FE3">
        <w:rPr>
          <w:rFonts w:ascii="Garamond" w:eastAsia="Times New Roman" w:hAnsi="Garamond" w:cs="Arial"/>
          <w:lang w:eastAsia="en-GB"/>
        </w:rPr>
        <w:t xml:space="preserve">economic activity is </w:t>
      </w:r>
      <w:r>
        <w:rPr>
          <w:rFonts w:ascii="Garamond" w:eastAsia="Times New Roman" w:hAnsi="Garamond" w:cs="Arial"/>
          <w:lang w:eastAsia="en-GB"/>
        </w:rPr>
        <w:t>recovering from the setback in the second quarter of 2018</w:t>
      </w:r>
      <w:r w:rsidRPr="00246FE3">
        <w:rPr>
          <w:rFonts w:ascii="Garamond" w:eastAsia="Times New Roman" w:hAnsi="Garamond" w:cs="Arial"/>
          <w:lang w:eastAsia="en-GB"/>
        </w:rPr>
        <w:t xml:space="preserve">, supported by improving business and consumer sentiment, </w:t>
      </w:r>
      <w:r>
        <w:rPr>
          <w:rFonts w:ascii="Garamond" w:eastAsia="Times New Roman" w:hAnsi="Garamond" w:cs="Arial"/>
          <w:lang w:eastAsia="en-GB"/>
        </w:rPr>
        <w:t>uncertainty continue to prevail as the nation is going to witness its presidential election in October 2018. T</w:t>
      </w:r>
      <w:r w:rsidRPr="00246FE3">
        <w:rPr>
          <w:rFonts w:ascii="Garamond" w:eastAsia="Times New Roman" w:hAnsi="Garamond" w:cs="Arial"/>
          <w:lang w:eastAsia="en-GB"/>
        </w:rPr>
        <w:t xml:space="preserve">he South African economy slipped into recession in </w:t>
      </w:r>
      <w:r>
        <w:rPr>
          <w:rFonts w:ascii="Garamond" w:eastAsia="Times New Roman" w:hAnsi="Garamond" w:cs="Arial"/>
          <w:lang w:eastAsia="en-GB"/>
        </w:rPr>
        <w:t xml:space="preserve">the second quarter of </w:t>
      </w:r>
      <w:r w:rsidRPr="00246FE3">
        <w:rPr>
          <w:rFonts w:ascii="Garamond" w:eastAsia="Times New Roman" w:hAnsi="Garamond" w:cs="Arial"/>
          <w:lang w:eastAsia="en-GB"/>
        </w:rPr>
        <w:t>2018</w:t>
      </w:r>
      <w:r>
        <w:rPr>
          <w:rFonts w:ascii="Garamond" w:eastAsia="Times New Roman" w:hAnsi="Garamond" w:cs="Arial"/>
          <w:lang w:eastAsia="en-GB"/>
        </w:rPr>
        <w:t>.</w:t>
      </w:r>
    </w:p>
    <w:p w14:paraId="13D9D7CC" w14:textId="77777777" w:rsidR="009C313D" w:rsidRDefault="009C313D" w:rsidP="009C313D">
      <w:pPr>
        <w:jc w:val="both"/>
        <w:rPr>
          <w:rFonts w:ascii="Garamond" w:eastAsia="Times New Roman" w:hAnsi="Garamond" w:cs="Arial"/>
          <w:lang w:eastAsia="en-GB"/>
        </w:rPr>
      </w:pPr>
    </w:p>
    <w:p w14:paraId="27386169" w14:textId="77777777" w:rsidR="009C313D" w:rsidRPr="002A016A" w:rsidRDefault="009C313D" w:rsidP="009C313D">
      <w:pPr>
        <w:jc w:val="both"/>
        <w:rPr>
          <w:rFonts w:ascii="Garamond" w:eastAsia="Times New Roman" w:hAnsi="Garamond" w:cs="Arial"/>
          <w:lang w:eastAsia="en-GB"/>
        </w:rPr>
      </w:pPr>
      <w:r>
        <w:rPr>
          <w:rFonts w:ascii="Garamond" w:eastAsia="Times New Roman" w:hAnsi="Garamond" w:cs="Arial"/>
          <w:lang w:eastAsia="en-GB"/>
        </w:rPr>
        <w:t>There are two leading challenges facing the world economy. The first is escalating oil prices which hit a four-year high in September 2018. The second challenge is t</w:t>
      </w:r>
      <w:r w:rsidRPr="007D4FA5">
        <w:rPr>
          <w:rFonts w:ascii="Garamond" w:eastAsia="Times New Roman" w:hAnsi="Garamond" w:cs="Arial"/>
          <w:lang w:eastAsia="en-GB"/>
        </w:rPr>
        <w:t xml:space="preserve">he ongoing trade war between the </w:t>
      </w:r>
      <w:r>
        <w:rPr>
          <w:rFonts w:ascii="Garamond" w:eastAsia="Times New Roman" w:hAnsi="Garamond" w:cs="Arial"/>
          <w:lang w:eastAsia="en-GB"/>
        </w:rPr>
        <w:t>top two economies in the world</w:t>
      </w:r>
      <w:r w:rsidRPr="007D4FA5">
        <w:rPr>
          <w:rFonts w:ascii="Garamond" w:eastAsia="Times New Roman" w:hAnsi="Garamond" w:cs="Arial"/>
          <w:lang w:eastAsia="en-GB"/>
        </w:rPr>
        <w:t xml:space="preserve"> </w:t>
      </w:r>
      <w:r>
        <w:rPr>
          <w:rFonts w:ascii="Garamond" w:eastAsia="Times New Roman" w:hAnsi="Garamond" w:cs="Arial"/>
          <w:lang w:eastAsia="en-GB"/>
        </w:rPr>
        <w:t xml:space="preserve">which </w:t>
      </w:r>
      <w:r w:rsidRPr="007D4FA5">
        <w:rPr>
          <w:rFonts w:ascii="Garamond" w:eastAsia="Times New Roman" w:hAnsi="Garamond" w:cs="Arial"/>
          <w:lang w:eastAsia="en-GB"/>
        </w:rPr>
        <w:t>is having negative impact on world trade which</w:t>
      </w:r>
      <w:r>
        <w:rPr>
          <w:rFonts w:ascii="Garamond" w:eastAsia="Times New Roman" w:hAnsi="Garamond" w:cs="Arial"/>
          <w:lang w:eastAsia="en-GB"/>
        </w:rPr>
        <w:t>,</w:t>
      </w:r>
      <w:r w:rsidRPr="007D4FA5">
        <w:rPr>
          <w:rFonts w:ascii="Garamond" w:eastAsia="Times New Roman" w:hAnsi="Garamond" w:cs="Arial"/>
          <w:lang w:eastAsia="en-GB"/>
        </w:rPr>
        <w:t xml:space="preserve"> in turn</w:t>
      </w:r>
      <w:r>
        <w:rPr>
          <w:rFonts w:ascii="Garamond" w:eastAsia="Times New Roman" w:hAnsi="Garamond" w:cs="Arial"/>
          <w:lang w:eastAsia="en-GB"/>
        </w:rPr>
        <w:t>,</w:t>
      </w:r>
      <w:r w:rsidRPr="007D4FA5">
        <w:rPr>
          <w:rFonts w:ascii="Garamond" w:eastAsia="Times New Roman" w:hAnsi="Garamond" w:cs="Arial"/>
          <w:lang w:eastAsia="en-GB"/>
        </w:rPr>
        <w:t xml:space="preserve"> is affecting the economic gro</w:t>
      </w:r>
      <w:r>
        <w:rPr>
          <w:rFonts w:ascii="Garamond" w:eastAsia="Times New Roman" w:hAnsi="Garamond" w:cs="Arial"/>
          <w:lang w:eastAsia="en-GB"/>
        </w:rPr>
        <w:t>wth of nations across the globe</w:t>
      </w:r>
      <w:r w:rsidRPr="00B572FC">
        <w:rPr>
          <w:rFonts w:ascii="Garamond" w:eastAsia="Times New Roman" w:hAnsi="Garamond" w:cs="Arial"/>
          <w:lang w:eastAsia="en-GB"/>
        </w:rPr>
        <w:t xml:space="preserve">. </w:t>
      </w:r>
      <w:r>
        <w:rPr>
          <w:rFonts w:ascii="Garamond" w:eastAsia="Times New Roman" w:hAnsi="Garamond" w:cs="Arial"/>
          <w:lang w:eastAsia="en-GB"/>
        </w:rPr>
        <w:t>In addition to these two challenges,</w:t>
      </w:r>
      <w:r w:rsidRPr="00DE0E19">
        <w:rPr>
          <w:rFonts w:ascii="Garamond" w:eastAsia="Times New Roman" w:hAnsi="Garamond" w:cs="Arial"/>
          <w:lang w:eastAsia="en-GB"/>
        </w:rPr>
        <w:t xml:space="preserve"> </w:t>
      </w:r>
      <w:r>
        <w:rPr>
          <w:rFonts w:ascii="Garamond" w:eastAsia="Times New Roman" w:hAnsi="Garamond" w:cs="Arial"/>
          <w:lang w:eastAsia="en-GB"/>
        </w:rPr>
        <w:t>the Federal Reserve’s rate hike</w:t>
      </w:r>
      <w:r w:rsidRPr="00DE0E19">
        <w:rPr>
          <w:rFonts w:ascii="Garamond" w:eastAsia="Times New Roman" w:hAnsi="Garamond" w:cs="Arial"/>
          <w:lang w:eastAsia="en-GB"/>
        </w:rPr>
        <w:t xml:space="preserve"> </w:t>
      </w:r>
      <w:r>
        <w:rPr>
          <w:rFonts w:ascii="Garamond" w:eastAsia="Times New Roman" w:hAnsi="Garamond" w:cs="Arial"/>
          <w:lang w:eastAsia="en-GB"/>
        </w:rPr>
        <w:t>is</w:t>
      </w:r>
      <w:r w:rsidRPr="00DE0E19">
        <w:rPr>
          <w:rFonts w:ascii="Garamond" w:eastAsia="Times New Roman" w:hAnsi="Garamond" w:cs="Arial"/>
          <w:lang w:eastAsia="en-GB"/>
        </w:rPr>
        <w:t xml:space="preserve"> </w:t>
      </w:r>
      <w:r>
        <w:rPr>
          <w:rFonts w:ascii="Garamond" w:eastAsia="Times New Roman" w:hAnsi="Garamond" w:cs="Arial"/>
          <w:lang w:eastAsia="en-GB"/>
        </w:rPr>
        <w:t xml:space="preserve">also </w:t>
      </w:r>
      <w:r w:rsidRPr="00DE0E19">
        <w:rPr>
          <w:rFonts w:ascii="Garamond" w:eastAsia="Times New Roman" w:hAnsi="Garamond" w:cs="Arial"/>
          <w:lang w:eastAsia="en-GB"/>
        </w:rPr>
        <w:t>fue</w:t>
      </w:r>
      <w:r>
        <w:rPr>
          <w:rFonts w:ascii="Garamond" w:eastAsia="Times New Roman" w:hAnsi="Garamond" w:cs="Arial"/>
          <w:lang w:eastAsia="en-GB"/>
        </w:rPr>
        <w:t>l</w:t>
      </w:r>
      <w:r w:rsidRPr="00DE0E19">
        <w:rPr>
          <w:rFonts w:ascii="Garamond" w:eastAsia="Times New Roman" w:hAnsi="Garamond" w:cs="Arial"/>
          <w:lang w:eastAsia="en-GB"/>
        </w:rPr>
        <w:t xml:space="preserve">ling the capital flight from the </w:t>
      </w:r>
      <w:r>
        <w:rPr>
          <w:rFonts w:ascii="Garamond" w:eastAsia="Times New Roman" w:hAnsi="Garamond" w:cs="Arial"/>
          <w:lang w:eastAsia="en-GB"/>
        </w:rPr>
        <w:t xml:space="preserve">emerging economies as </w:t>
      </w:r>
      <w:r w:rsidRPr="00DE0E19">
        <w:rPr>
          <w:rFonts w:ascii="Garamond" w:eastAsia="Times New Roman" w:hAnsi="Garamond" w:cs="Arial"/>
          <w:lang w:eastAsia="en-GB"/>
        </w:rPr>
        <w:t xml:space="preserve">investors </w:t>
      </w:r>
      <w:r>
        <w:rPr>
          <w:rFonts w:ascii="Garamond" w:eastAsia="Times New Roman" w:hAnsi="Garamond" w:cs="Arial"/>
          <w:lang w:eastAsia="en-GB"/>
        </w:rPr>
        <w:t xml:space="preserve">are </w:t>
      </w:r>
      <w:r w:rsidRPr="00DE0E19">
        <w:rPr>
          <w:rFonts w:ascii="Garamond" w:eastAsia="Times New Roman" w:hAnsi="Garamond" w:cs="Arial"/>
          <w:lang w:eastAsia="en-GB"/>
        </w:rPr>
        <w:t xml:space="preserve">chasing yield </w:t>
      </w:r>
      <w:r>
        <w:rPr>
          <w:rFonts w:ascii="Garamond" w:eastAsia="Times New Roman" w:hAnsi="Garamond" w:cs="Arial"/>
          <w:lang w:eastAsia="en-GB"/>
        </w:rPr>
        <w:t>in the</w:t>
      </w:r>
      <w:r w:rsidRPr="00DE0E19">
        <w:rPr>
          <w:rFonts w:ascii="Garamond" w:eastAsia="Times New Roman" w:hAnsi="Garamond" w:cs="Arial"/>
          <w:lang w:eastAsia="en-GB"/>
        </w:rPr>
        <w:t xml:space="preserve"> U.S.</w:t>
      </w:r>
    </w:p>
    <w:p w14:paraId="1FCBA430" w14:textId="77777777" w:rsidR="00C6763D" w:rsidRPr="001500B3" w:rsidRDefault="00C6763D" w:rsidP="009C313D">
      <w:pPr>
        <w:jc w:val="both"/>
        <w:rPr>
          <w:rFonts w:ascii="Garamond" w:eastAsia="Times New Roman" w:hAnsi="Garamond" w:cs="Arial"/>
          <w:color w:val="0000FF"/>
          <w:lang w:eastAsia="en-GB"/>
        </w:rPr>
      </w:pPr>
    </w:p>
    <w:p w14:paraId="7B57AD71" w14:textId="77777777" w:rsidR="009C313D" w:rsidRPr="00DD168D" w:rsidRDefault="009C313D" w:rsidP="009C313D">
      <w:pPr>
        <w:rPr>
          <w:rFonts w:ascii="Garamond" w:hAnsi="Garamond"/>
          <w:b/>
        </w:rPr>
      </w:pPr>
      <w:r w:rsidRPr="00DD168D">
        <w:rPr>
          <w:rFonts w:ascii="Garamond" w:hAnsi="Garamond"/>
          <w:b/>
        </w:rPr>
        <w:t>Equity Markets:</w:t>
      </w:r>
    </w:p>
    <w:p w14:paraId="0AE0C44C" w14:textId="77777777" w:rsidR="009C313D" w:rsidRDefault="009C313D" w:rsidP="009C313D">
      <w:pPr>
        <w:pStyle w:val="NormalWeb"/>
        <w:spacing w:after="0"/>
        <w:jc w:val="both"/>
        <w:rPr>
          <w:rFonts w:ascii="Garamond" w:hAnsi="Garamond" w:cs="Arial"/>
        </w:rPr>
      </w:pPr>
      <w:r w:rsidRPr="00147C30">
        <w:rPr>
          <w:rFonts w:ascii="Garamond" w:hAnsi="Garamond" w:cs="Arial"/>
        </w:rPr>
        <w:t>Global equity markets have ended in positive territory in September</w:t>
      </w:r>
      <w:r>
        <w:rPr>
          <w:rFonts w:ascii="Garamond" w:hAnsi="Garamond" w:cs="Arial"/>
        </w:rPr>
        <w:t xml:space="preserve"> 2018,</w:t>
      </w:r>
      <w:r w:rsidRPr="00147C30">
        <w:rPr>
          <w:rFonts w:ascii="Garamond" w:hAnsi="Garamond" w:cs="Arial"/>
        </w:rPr>
        <w:t xml:space="preserve"> </w:t>
      </w:r>
      <w:r>
        <w:rPr>
          <w:rFonts w:ascii="Garamond" w:hAnsi="Garamond" w:cs="Arial"/>
        </w:rPr>
        <w:t>as reflected by the MSCI global index,</w:t>
      </w:r>
      <w:r w:rsidRPr="00147C30">
        <w:rPr>
          <w:rFonts w:ascii="Garamond" w:hAnsi="Garamond" w:cs="Arial"/>
        </w:rPr>
        <w:t xml:space="preserve"> despite mounting political, trad</w:t>
      </w:r>
      <w:r>
        <w:rPr>
          <w:rFonts w:ascii="Garamond" w:hAnsi="Garamond" w:cs="Arial"/>
        </w:rPr>
        <w:t>e and monetary policy headwinds.</w:t>
      </w:r>
      <w:r w:rsidRPr="00147C30">
        <w:rPr>
          <w:rFonts w:ascii="Garamond" w:hAnsi="Garamond" w:cs="Arial"/>
        </w:rPr>
        <w:t xml:space="preserve"> </w:t>
      </w:r>
      <w:r>
        <w:rPr>
          <w:rFonts w:ascii="Garamond" w:hAnsi="Garamond" w:cs="Arial"/>
        </w:rPr>
        <w:t>The US equity market remained</w:t>
      </w:r>
      <w:r w:rsidRPr="00147C30">
        <w:rPr>
          <w:rFonts w:ascii="Garamond" w:hAnsi="Garamond" w:cs="Arial"/>
        </w:rPr>
        <w:t xml:space="preserve"> in positive territory despite escalating trade tensions between the US and China and the US Federal Reserve’s (Fed) decision to raise interest rates for the third time </w:t>
      </w:r>
      <w:r>
        <w:rPr>
          <w:rFonts w:ascii="Garamond" w:hAnsi="Garamond" w:cs="Arial"/>
        </w:rPr>
        <w:t>in 2018</w:t>
      </w:r>
      <w:r w:rsidRPr="00147C30">
        <w:rPr>
          <w:rFonts w:ascii="Garamond" w:hAnsi="Garamond" w:cs="Arial"/>
        </w:rPr>
        <w:t>.</w:t>
      </w:r>
      <w:r>
        <w:rPr>
          <w:rFonts w:ascii="Garamond" w:hAnsi="Garamond" w:cs="Arial"/>
        </w:rPr>
        <w:t xml:space="preserve"> Two US companies have crossed </w:t>
      </w:r>
      <w:r w:rsidRPr="00147C30">
        <w:rPr>
          <w:rFonts w:ascii="Garamond" w:hAnsi="Garamond" w:cs="Arial"/>
        </w:rPr>
        <w:t>US$</w:t>
      </w:r>
      <w:r>
        <w:rPr>
          <w:rFonts w:ascii="Garamond" w:hAnsi="Garamond" w:cs="Arial"/>
        </w:rPr>
        <w:t xml:space="preserve"> </w:t>
      </w:r>
      <w:r w:rsidRPr="00147C30">
        <w:rPr>
          <w:rFonts w:ascii="Garamond" w:hAnsi="Garamond" w:cs="Arial"/>
        </w:rPr>
        <w:t>1 trillion market capitalisation</w:t>
      </w:r>
      <w:r>
        <w:rPr>
          <w:rFonts w:ascii="Garamond" w:hAnsi="Garamond" w:cs="Arial"/>
        </w:rPr>
        <w:t xml:space="preserve"> for the first time in the world. </w:t>
      </w:r>
      <w:r w:rsidRPr="00147C30">
        <w:rPr>
          <w:rFonts w:ascii="Garamond" w:hAnsi="Garamond" w:cs="Arial"/>
        </w:rPr>
        <w:t xml:space="preserve">Eurozone equities </w:t>
      </w:r>
      <w:r>
        <w:rPr>
          <w:rFonts w:ascii="Garamond" w:hAnsi="Garamond" w:cs="Arial"/>
        </w:rPr>
        <w:t>remained</w:t>
      </w:r>
      <w:r w:rsidRPr="00147C30">
        <w:rPr>
          <w:rFonts w:ascii="Garamond" w:hAnsi="Garamond" w:cs="Arial"/>
        </w:rPr>
        <w:t xml:space="preserve"> broadly </w:t>
      </w:r>
      <w:r>
        <w:rPr>
          <w:rFonts w:ascii="Garamond" w:hAnsi="Garamond" w:cs="Arial"/>
        </w:rPr>
        <w:t>unchanged</w:t>
      </w:r>
      <w:r w:rsidRPr="00147C30">
        <w:rPr>
          <w:rFonts w:ascii="Garamond" w:hAnsi="Garamond" w:cs="Arial"/>
        </w:rPr>
        <w:t xml:space="preserve"> during </w:t>
      </w:r>
      <w:r>
        <w:rPr>
          <w:rFonts w:ascii="Garamond" w:hAnsi="Garamond" w:cs="Arial"/>
        </w:rPr>
        <w:t>the month under review. Uncertainties emanating from t</w:t>
      </w:r>
      <w:r w:rsidRPr="00147C30">
        <w:rPr>
          <w:rFonts w:ascii="Garamond" w:hAnsi="Garamond" w:cs="Arial"/>
        </w:rPr>
        <w:t>rade war and Italian budget concerns weighed on market sentiment.</w:t>
      </w:r>
      <w:r>
        <w:rPr>
          <w:rFonts w:ascii="Garamond" w:hAnsi="Garamond" w:cs="Arial"/>
        </w:rPr>
        <w:t xml:space="preserve"> The </w:t>
      </w:r>
      <w:r w:rsidRPr="00DD168D">
        <w:rPr>
          <w:rFonts w:ascii="Garamond" w:hAnsi="Garamond" w:cs="Arial"/>
        </w:rPr>
        <w:t xml:space="preserve">UK equity markets </w:t>
      </w:r>
      <w:r>
        <w:rPr>
          <w:rFonts w:ascii="Garamond" w:hAnsi="Garamond" w:cs="Arial"/>
        </w:rPr>
        <w:t xml:space="preserve">too </w:t>
      </w:r>
      <w:r w:rsidRPr="00DD168D">
        <w:rPr>
          <w:rFonts w:ascii="Garamond" w:hAnsi="Garamond" w:cs="Arial"/>
        </w:rPr>
        <w:t xml:space="preserve">were broadly </w:t>
      </w:r>
      <w:r>
        <w:rPr>
          <w:rFonts w:ascii="Garamond" w:hAnsi="Garamond" w:cs="Arial"/>
        </w:rPr>
        <w:t>flat during the month</w:t>
      </w:r>
      <w:r w:rsidRPr="00DD168D">
        <w:rPr>
          <w:rFonts w:ascii="Garamond" w:hAnsi="Garamond" w:cs="Arial"/>
        </w:rPr>
        <w:t xml:space="preserve">, </w:t>
      </w:r>
      <w:r>
        <w:rPr>
          <w:rFonts w:ascii="Garamond" w:hAnsi="Garamond" w:cs="Arial"/>
        </w:rPr>
        <w:t>on the back</w:t>
      </w:r>
      <w:r w:rsidRPr="00DD168D">
        <w:rPr>
          <w:rFonts w:ascii="Garamond" w:hAnsi="Garamond" w:cs="Arial"/>
        </w:rPr>
        <w:t xml:space="preserve"> of ongoing global trade tensions,</w:t>
      </w:r>
      <w:r>
        <w:rPr>
          <w:rFonts w:ascii="Garamond" w:hAnsi="Garamond" w:cs="Arial"/>
        </w:rPr>
        <w:t xml:space="preserve"> Brexit-related uncertainties,</w:t>
      </w:r>
      <w:r w:rsidRPr="00DD168D">
        <w:rPr>
          <w:rFonts w:ascii="Garamond" w:hAnsi="Garamond" w:cs="Arial"/>
        </w:rPr>
        <w:t xml:space="preserve"> </w:t>
      </w:r>
      <w:r>
        <w:rPr>
          <w:rFonts w:ascii="Garamond" w:hAnsi="Garamond" w:cs="Arial"/>
        </w:rPr>
        <w:t xml:space="preserve">a weak currency </w:t>
      </w:r>
      <w:r w:rsidRPr="00DD168D">
        <w:rPr>
          <w:rFonts w:ascii="Garamond" w:hAnsi="Garamond" w:cs="Arial"/>
        </w:rPr>
        <w:t>and rising crude oil prices.</w:t>
      </w:r>
      <w:r>
        <w:rPr>
          <w:rFonts w:ascii="Garamond" w:hAnsi="Garamond" w:cs="Arial"/>
        </w:rPr>
        <w:t xml:space="preserve"> The Japanese market, on the other hand showed robust performance although the country was hit by two natural disasters in the first week of September 2018.</w:t>
      </w:r>
    </w:p>
    <w:p w14:paraId="3CE9E25B" w14:textId="77777777" w:rsidR="009C313D" w:rsidRPr="0067757D" w:rsidRDefault="009C313D" w:rsidP="009C313D">
      <w:pPr>
        <w:pStyle w:val="NormalWeb"/>
        <w:spacing w:after="0"/>
        <w:jc w:val="both"/>
        <w:rPr>
          <w:rFonts w:ascii="Garamond" w:hAnsi="Garamond" w:cs="Arial"/>
        </w:rPr>
      </w:pPr>
      <w:r w:rsidRPr="0067757D">
        <w:rPr>
          <w:rFonts w:ascii="Garamond" w:hAnsi="Garamond" w:cs="Arial"/>
        </w:rPr>
        <w:t>Among the developed market indices, Nikkei 225 of Japan increased by 5.5 per cent at the end of September 2018 compared to its previous month’s closing, followed by the Dow Jones Industrial Average (1.9 per cent) and CAC 40 index of France (1.6 per cent). On the other hand, Dax index of Germany fell by 0.9 per cent followed by Nasdaq Composite index of the USA (0.8 per cent) and Taiex index of Taiwan (0.5 per cent) (Table A1).</w:t>
      </w:r>
    </w:p>
    <w:p w14:paraId="7E14D9D9" w14:textId="77777777" w:rsidR="009C313D" w:rsidRPr="004F5154" w:rsidRDefault="009C313D" w:rsidP="009C313D">
      <w:pPr>
        <w:pStyle w:val="NormalWeb"/>
        <w:spacing w:after="0"/>
        <w:jc w:val="both"/>
        <w:rPr>
          <w:rFonts w:ascii="Garamond" w:hAnsi="Garamond" w:cs="Arial"/>
        </w:rPr>
      </w:pPr>
      <w:r w:rsidRPr="004F5154">
        <w:rPr>
          <w:rFonts w:ascii="Garamond" w:hAnsi="Garamond" w:cs="Arial"/>
        </w:rPr>
        <w:t>The emerging market economies experienced a mixed trend during the month under review. The MSCI EM index fell by 0.8 per cent at the end of September 2018 from its previous month’s closing.</w:t>
      </w:r>
      <w:r>
        <w:rPr>
          <w:rFonts w:ascii="Garamond" w:hAnsi="Garamond" w:cs="Arial"/>
        </w:rPr>
        <w:t xml:space="preserve"> Both Brazil and Russia posted positive equity returns during the month.</w:t>
      </w:r>
      <w:r w:rsidRPr="004F5154">
        <w:rPr>
          <w:rFonts w:ascii="Garamond" w:hAnsi="Garamond" w:cs="Arial"/>
        </w:rPr>
        <w:t xml:space="preserve"> The Indian market</w:t>
      </w:r>
      <w:r>
        <w:rPr>
          <w:rFonts w:ascii="Garamond" w:hAnsi="Garamond" w:cs="Arial"/>
        </w:rPr>
        <w:t>, however,</w:t>
      </w:r>
      <w:r w:rsidRPr="004F5154">
        <w:rPr>
          <w:rFonts w:ascii="Garamond" w:hAnsi="Garamond" w:cs="Arial"/>
        </w:rPr>
        <w:t xml:space="preserve"> was among the weaker performers which dealt with increasing inflation, a widening trade deficit fuelled by spiralling oil prices and liquidity issues in the NBFC </w:t>
      </w:r>
      <w:r w:rsidRPr="00D519CF">
        <w:rPr>
          <w:rFonts w:ascii="Garamond" w:hAnsi="Garamond" w:cs="Arial"/>
        </w:rPr>
        <w:t>sector.</w:t>
      </w:r>
      <w:r>
        <w:rPr>
          <w:rFonts w:ascii="Garamond" w:hAnsi="Garamond" w:cs="Arial"/>
        </w:rPr>
        <w:t xml:space="preserve"> </w:t>
      </w:r>
    </w:p>
    <w:p w14:paraId="02CF80B7" w14:textId="77777777" w:rsidR="009C313D" w:rsidRPr="001500B3" w:rsidRDefault="009C313D" w:rsidP="009C313D">
      <w:pPr>
        <w:pStyle w:val="NormalWeb"/>
        <w:spacing w:after="0"/>
        <w:jc w:val="both"/>
        <w:rPr>
          <w:rFonts w:ascii="Garamond" w:hAnsi="Garamond" w:cs="Arial"/>
          <w:color w:val="0000FF"/>
        </w:rPr>
      </w:pPr>
      <w:r w:rsidRPr="007D6F0C">
        <w:rPr>
          <w:rFonts w:ascii="Garamond" w:hAnsi="Garamond" w:cs="Arial"/>
        </w:rPr>
        <w:t>Among the major emerging nations,</w:t>
      </w:r>
      <w:r w:rsidRPr="00A13071">
        <w:rPr>
          <w:rFonts w:ascii="Garamond" w:hAnsi="Garamond" w:cs="Arial"/>
        </w:rPr>
        <w:t xml:space="preserve"> Russian Traded index increased by 10.3 per cent at the end of September 2018 compared to its previous month’s closing, followed by Shanghai SE Composite index of (3.5 per cent) and Bovespa index of Brazil (3.5 per cent). </w:t>
      </w:r>
      <w:r w:rsidRPr="0042286B">
        <w:rPr>
          <w:rFonts w:ascii="Garamond" w:hAnsi="Garamond" w:cs="Arial"/>
        </w:rPr>
        <w:t xml:space="preserve">On the other hand, Nifty 50 index of National Stock Exchange of India fell by 6.4 per cent followed by S&amp;P BSE Sensex (6.3 per cent) and FTSE/JSE All Share index of South Africa (5.0 per cent) (Table A1). </w:t>
      </w:r>
    </w:p>
    <w:p w14:paraId="04EAB298" w14:textId="77777777" w:rsidR="009C313D" w:rsidRPr="006F347B" w:rsidRDefault="009C313D" w:rsidP="009C313D">
      <w:pPr>
        <w:pStyle w:val="NormalWeb"/>
        <w:spacing w:after="0"/>
        <w:jc w:val="both"/>
        <w:rPr>
          <w:rFonts w:ascii="Garamond" w:hAnsi="Garamond" w:cs="Arial"/>
          <w:b/>
          <w:bCs/>
        </w:rPr>
      </w:pPr>
      <w:r w:rsidRPr="006F347B">
        <w:rPr>
          <w:rFonts w:ascii="Garamond" w:hAnsi="Garamond" w:cs="Arial"/>
          <w:b/>
          <w:bCs/>
        </w:rPr>
        <w:t>Table A1: Performance of Stock Indices</w:t>
      </w:r>
    </w:p>
    <w:tbl>
      <w:tblPr>
        <w:tblW w:w="9558" w:type="dxa"/>
        <w:jc w:val="center"/>
        <w:tblLayout w:type="fixed"/>
        <w:tblCellMar>
          <w:left w:w="58" w:type="dxa"/>
          <w:right w:w="58" w:type="dxa"/>
        </w:tblCellMar>
        <w:tblLook w:val="04A0" w:firstRow="1" w:lastRow="0" w:firstColumn="1" w:lastColumn="0" w:noHBand="0" w:noVBand="1"/>
      </w:tblPr>
      <w:tblGrid>
        <w:gridCol w:w="1096"/>
        <w:gridCol w:w="2589"/>
        <w:gridCol w:w="1080"/>
        <w:gridCol w:w="810"/>
        <w:gridCol w:w="858"/>
        <w:gridCol w:w="810"/>
        <w:gridCol w:w="715"/>
        <w:gridCol w:w="987"/>
        <w:gridCol w:w="613"/>
      </w:tblGrid>
      <w:tr w:rsidR="009C313D" w:rsidRPr="006F347B" w14:paraId="3C27E021" w14:textId="77777777" w:rsidTr="00560A50">
        <w:trPr>
          <w:trHeight w:val="134"/>
          <w:jc w:val="center"/>
        </w:trPr>
        <w:tc>
          <w:tcPr>
            <w:tcW w:w="109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AD21662" w14:textId="77777777" w:rsidR="009C313D" w:rsidRPr="00794384" w:rsidRDefault="009C313D" w:rsidP="00560A50">
            <w:pPr>
              <w:jc w:val="cente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Country</w:t>
            </w:r>
          </w:p>
        </w:tc>
        <w:tc>
          <w:tcPr>
            <w:tcW w:w="2589"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28B18B0A" w14:textId="77777777" w:rsidR="009C313D" w:rsidRPr="00794384" w:rsidRDefault="009C313D" w:rsidP="00560A50">
            <w:pPr>
              <w:jc w:val="cente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Name of the Index</w:t>
            </w:r>
          </w:p>
        </w:tc>
        <w:tc>
          <w:tcPr>
            <w:tcW w:w="1080" w:type="dxa"/>
            <w:tcBorders>
              <w:top w:val="single" w:sz="4" w:space="0" w:color="auto"/>
              <w:left w:val="nil"/>
              <w:bottom w:val="single" w:sz="4" w:space="0" w:color="auto"/>
              <w:right w:val="single" w:sz="4" w:space="0" w:color="auto"/>
            </w:tcBorders>
            <w:shd w:val="clear" w:color="000000" w:fill="B4C6E7"/>
            <w:noWrap/>
            <w:vAlign w:val="center"/>
            <w:hideMark/>
          </w:tcPr>
          <w:p w14:paraId="3E2FC584" w14:textId="77777777" w:rsidR="009C313D" w:rsidRPr="00794384" w:rsidRDefault="009C313D" w:rsidP="00560A50">
            <w:pPr>
              <w:jc w:val="cente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Closing Value as on</w:t>
            </w:r>
          </w:p>
        </w:tc>
        <w:tc>
          <w:tcPr>
            <w:tcW w:w="3193" w:type="dxa"/>
            <w:gridSpan w:val="4"/>
            <w:tcBorders>
              <w:top w:val="single" w:sz="4" w:space="0" w:color="auto"/>
              <w:left w:val="nil"/>
              <w:bottom w:val="single" w:sz="4" w:space="0" w:color="auto"/>
              <w:right w:val="single" w:sz="4" w:space="0" w:color="auto"/>
            </w:tcBorders>
            <w:shd w:val="clear" w:color="000000" w:fill="B4C6E7"/>
            <w:vAlign w:val="center"/>
            <w:hideMark/>
          </w:tcPr>
          <w:p w14:paraId="49B92C59" w14:textId="77777777" w:rsidR="009C313D" w:rsidRPr="00794384" w:rsidRDefault="009C313D" w:rsidP="00560A50">
            <w:pPr>
              <w:jc w:val="cente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Closing Value before</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FE7328A" w14:textId="77777777" w:rsidR="009C313D" w:rsidRPr="00794384" w:rsidRDefault="009C313D" w:rsidP="00560A50">
            <w:pPr>
              <w:jc w:val="cente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Annualised Volatility (%)</w:t>
            </w:r>
          </w:p>
        </w:tc>
        <w:tc>
          <w:tcPr>
            <w:tcW w:w="613"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438ABAAA" w14:textId="77777777" w:rsidR="009C313D" w:rsidRPr="00794384" w:rsidRDefault="009C313D" w:rsidP="00560A50">
            <w:pPr>
              <w:jc w:val="cente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P/E Ratio</w:t>
            </w:r>
          </w:p>
        </w:tc>
      </w:tr>
      <w:tr w:rsidR="009C313D" w:rsidRPr="006F347B" w14:paraId="6C2A0FE2" w14:textId="77777777" w:rsidTr="00560A50">
        <w:trPr>
          <w:trHeight w:val="134"/>
          <w:jc w:val="center"/>
        </w:trPr>
        <w:tc>
          <w:tcPr>
            <w:tcW w:w="1096" w:type="dxa"/>
            <w:vMerge/>
            <w:tcBorders>
              <w:top w:val="single" w:sz="4" w:space="0" w:color="auto"/>
              <w:left w:val="single" w:sz="4" w:space="0" w:color="auto"/>
              <w:bottom w:val="single" w:sz="4" w:space="0" w:color="auto"/>
              <w:right w:val="single" w:sz="4" w:space="0" w:color="auto"/>
            </w:tcBorders>
            <w:vAlign w:val="center"/>
            <w:hideMark/>
          </w:tcPr>
          <w:p w14:paraId="60CE19B1" w14:textId="77777777" w:rsidR="009C313D" w:rsidRPr="00794384" w:rsidRDefault="009C313D" w:rsidP="00560A50">
            <w:pPr>
              <w:rPr>
                <w:rFonts w:ascii="Garamond" w:eastAsia="Times New Roman" w:hAnsi="Garamond" w:cs="Calibri"/>
                <w:b/>
                <w:bCs/>
                <w:sz w:val="18"/>
                <w:szCs w:val="18"/>
                <w:lang w:eastAsia="en-GB"/>
              </w:rPr>
            </w:pPr>
          </w:p>
        </w:tc>
        <w:tc>
          <w:tcPr>
            <w:tcW w:w="2589" w:type="dxa"/>
            <w:vMerge/>
            <w:tcBorders>
              <w:top w:val="single" w:sz="4" w:space="0" w:color="auto"/>
              <w:left w:val="single" w:sz="4" w:space="0" w:color="auto"/>
              <w:bottom w:val="single" w:sz="4" w:space="0" w:color="auto"/>
              <w:right w:val="single" w:sz="4" w:space="0" w:color="auto"/>
            </w:tcBorders>
            <w:vAlign w:val="center"/>
            <w:hideMark/>
          </w:tcPr>
          <w:p w14:paraId="5DBC94FC" w14:textId="77777777" w:rsidR="009C313D" w:rsidRPr="00794384" w:rsidRDefault="009C313D" w:rsidP="00560A50">
            <w:pPr>
              <w:rPr>
                <w:rFonts w:ascii="Garamond" w:eastAsia="Times New Roman" w:hAnsi="Garamond" w:cs="Calibri"/>
                <w:b/>
                <w:bCs/>
                <w:sz w:val="18"/>
                <w:szCs w:val="18"/>
                <w:lang w:eastAsia="en-GB"/>
              </w:rPr>
            </w:pPr>
          </w:p>
        </w:tc>
        <w:tc>
          <w:tcPr>
            <w:tcW w:w="1080" w:type="dxa"/>
            <w:tcBorders>
              <w:top w:val="nil"/>
              <w:left w:val="nil"/>
              <w:bottom w:val="single" w:sz="4" w:space="0" w:color="auto"/>
              <w:right w:val="single" w:sz="4" w:space="0" w:color="auto"/>
            </w:tcBorders>
            <w:shd w:val="clear" w:color="000000" w:fill="B4C6E7"/>
            <w:noWrap/>
            <w:vAlign w:val="center"/>
            <w:hideMark/>
          </w:tcPr>
          <w:p w14:paraId="26AC60CA" w14:textId="77777777" w:rsidR="009C313D" w:rsidRPr="00794384" w:rsidRDefault="009C313D" w:rsidP="00560A50">
            <w:pPr>
              <w:jc w:val="cente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September 30, 2018</w:t>
            </w:r>
          </w:p>
        </w:tc>
        <w:tc>
          <w:tcPr>
            <w:tcW w:w="810" w:type="dxa"/>
            <w:tcBorders>
              <w:top w:val="nil"/>
              <w:left w:val="nil"/>
              <w:bottom w:val="single" w:sz="4" w:space="0" w:color="auto"/>
              <w:right w:val="single" w:sz="4" w:space="0" w:color="auto"/>
            </w:tcBorders>
            <w:shd w:val="clear" w:color="000000" w:fill="B4C6E7"/>
            <w:noWrap/>
            <w:vAlign w:val="center"/>
            <w:hideMark/>
          </w:tcPr>
          <w:p w14:paraId="3E09E5AC" w14:textId="77777777" w:rsidR="009C313D" w:rsidRPr="00794384" w:rsidRDefault="009C313D" w:rsidP="00560A50">
            <w:pP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1-Month</w:t>
            </w:r>
          </w:p>
        </w:tc>
        <w:tc>
          <w:tcPr>
            <w:tcW w:w="858" w:type="dxa"/>
            <w:tcBorders>
              <w:top w:val="nil"/>
              <w:left w:val="nil"/>
              <w:bottom w:val="single" w:sz="4" w:space="0" w:color="auto"/>
              <w:right w:val="single" w:sz="4" w:space="0" w:color="auto"/>
            </w:tcBorders>
            <w:shd w:val="clear" w:color="000000" w:fill="B4C6E7"/>
            <w:noWrap/>
            <w:vAlign w:val="center"/>
            <w:hideMark/>
          </w:tcPr>
          <w:p w14:paraId="1CBCCB7B" w14:textId="77777777" w:rsidR="009C313D" w:rsidRPr="00794384" w:rsidRDefault="009C313D" w:rsidP="00560A50">
            <w:pP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3-Month</w:t>
            </w:r>
          </w:p>
        </w:tc>
        <w:tc>
          <w:tcPr>
            <w:tcW w:w="810" w:type="dxa"/>
            <w:tcBorders>
              <w:top w:val="nil"/>
              <w:left w:val="nil"/>
              <w:bottom w:val="single" w:sz="4" w:space="0" w:color="auto"/>
              <w:right w:val="single" w:sz="4" w:space="0" w:color="auto"/>
            </w:tcBorders>
            <w:shd w:val="clear" w:color="000000" w:fill="B4C6E7"/>
            <w:noWrap/>
            <w:vAlign w:val="center"/>
            <w:hideMark/>
          </w:tcPr>
          <w:p w14:paraId="11D6F8EA" w14:textId="77777777" w:rsidR="009C313D" w:rsidRPr="00794384" w:rsidRDefault="009C313D" w:rsidP="00560A50">
            <w:pP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6-Month</w:t>
            </w:r>
          </w:p>
        </w:tc>
        <w:tc>
          <w:tcPr>
            <w:tcW w:w="715" w:type="dxa"/>
            <w:tcBorders>
              <w:top w:val="nil"/>
              <w:left w:val="nil"/>
              <w:bottom w:val="single" w:sz="4" w:space="0" w:color="auto"/>
              <w:right w:val="single" w:sz="4" w:space="0" w:color="auto"/>
            </w:tcBorders>
            <w:shd w:val="clear" w:color="000000" w:fill="B4C6E7"/>
            <w:noWrap/>
            <w:vAlign w:val="center"/>
            <w:hideMark/>
          </w:tcPr>
          <w:p w14:paraId="7F17EA91" w14:textId="77777777" w:rsidR="009C313D" w:rsidRPr="00794384" w:rsidRDefault="009C313D" w:rsidP="00560A50">
            <w:pP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1-Year</w:t>
            </w: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538EBA68" w14:textId="77777777" w:rsidR="009C313D" w:rsidRPr="00794384" w:rsidRDefault="009C313D" w:rsidP="00560A50">
            <w:pPr>
              <w:rPr>
                <w:rFonts w:ascii="Garamond" w:eastAsia="Times New Roman" w:hAnsi="Garamond" w:cs="Calibri"/>
                <w:b/>
                <w:bCs/>
                <w:sz w:val="18"/>
                <w:szCs w:val="18"/>
                <w:lang w:eastAsia="en-GB"/>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14:paraId="2591F9D4" w14:textId="77777777" w:rsidR="009C313D" w:rsidRPr="00794384" w:rsidRDefault="009C313D" w:rsidP="00560A50">
            <w:pPr>
              <w:rPr>
                <w:rFonts w:ascii="Garamond" w:eastAsia="Times New Roman" w:hAnsi="Garamond" w:cs="Calibri"/>
                <w:b/>
                <w:bCs/>
                <w:sz w:val="18"/>
                <w:szCs w:val="18"/>
                <w:lang w:eastAsia="en-GB"/>
              </w:rPr>
            </w:pPr>
          </w:p>
        </w:tc>
      </w:tr>
      <w:tr w:rsidR="009C313D" w:rsidRPr="006F347B" w14:paraId="1657E6B2" w14:textId="77777777" w:rsidTr="00560A50">
        <w:trPr>
          <w:trHeight w:val="134"/>
          <w:jc w:val="center"/>
        </w:trPr>
        <w:tc>
          <w:tcPr>
            <w:tcW w:w="9558" w:type="dxa"/>
            <w:gridSpan w:val="9"/>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4B03116" w14:textId="77777777" w:rsidR="009C313D" w:rsidRPr="00794384" w:rsidRDefault="009C313D" w:rsidP="00560A50">
            <w:pPr>
              <w:jc w:val="cente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BRICS Nations</w:t>
            </w:r>
          </w:p>
        </w:tc>
      </w:tr>
      <w:tr w:rsidR="009C313D" w:rsidRPr="006F347B" w14:paraId="287C107C"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4539FC00"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Brazil</w:t>
            </w:r>
          </w:p>
        </w:tc>
        <w:tc>
          <w:tcPr>
            <w:tcW w:w="2589" w:type="dxa"/>
            <w:tcBorders>
              <w:top w:val="nil"/>
              <w:left w:val="nil"/>
              <w:bottom w:val="single" w:sz="4" w:space="0" w:color="auto"/>
              <w:right w:val="single" w:sz="4" w:space="0" w:color="auto"/>
            </w:tcBorders>
            <w:shd w:val="clear" w:color="000000" w:fill="D9E1F2"/>
            <w:noWrap/>
            <w:vAlign w:val="center"/>
            <w:hideMark/>
          </w:tcPr>
          <w:p w14:paraId="5C8574D3"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BRAZIL IBOVESPA INDEX</w:t>
            </w:r>
          </w:p>
        </w:tc>
        <w:tc>
          <w:tcPr>
            <w:tcW w:w="1080" w:type="dxa"/>
            <w:tcBorders>
              <w:top w:val="nil"/>
              <w:left w:val="nil"/>
              <w:bottom w:val="single" w:sz="4" w:space="0" w:color="auto"/>
              <w:right w:val="single" w:sz="4" w:space="0" w:color="auto"/>
            </w:tcBorders>
            <w:shd w:val="clear" w:color="auto" w:fill="auto"/>
            <w:noWrap/>
            <w:vAlign w:val="center"/>
            <w:hideMark/>
          </w:tcPr>
          <w:p w14:paraId="06DFA0EA"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79342.4</w:t>
            </w:r>
          </w:p>
        </w:tc>
        <w:tc>
          <w:tcPr>
            <w:tcW w:w="810" w:type="dxa"/>
            <w:tcBorders>
              <w:top w:val="nil"/>
              <w:left w:val="nil"/>
              <w:bottom w:val="single" w:sz="4" w:space="0" w:color="auto"/>
              <w:right w:val="single" w:sz="4" w:space="0" w:color="auto"/>
            </w:tcBorders>
            <w:shd w:val="clear" w:color="auto" w:fill="auto"/>
            <w:noWrap/>
            <w:vAlign w:val="center"/>
            <w:hideMark/>
          </w:tcPr>
          <w:p w14:paraId="4C2CF7D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76677.5</w:t>
            </w:r>
          </w:p>
        </w:tc>
        <w:tc>
          <w:tcPr>
            <w:tcW w:w="858" w:type="dxa"/>
            <w:tcBorders>
              <w:top w:val="nil"/>
              <w:left w:val="nil"/>
              <w:bottom w:val="single" w:sz="4" w:space="0" w:color="auto"/>
              <w:right w:val="single" w:sz="4" w:space="0" w:color="auto"/>
            </w:tcBorders>
            <w:shd w:val="clear" w:color="auto" w:fill="auto"/>
            <w:noWrap/>
            <w:vAlign w:val="center"/>
            <w:hideMark/>
          </w:tcPr>
          <w:p w14:paraId="742BD95A"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72762.5</w:t>
            </w:r>
          </w:p>
        </w:tc>
        <w:tc>
          <w:tcPr>
            <w:tcW w:w="810" w:type="dxa"/>
            <w:tcBorders>
              <w:top w:val="nil"/>
              <w:left w:val="nil"/>
              <w:bottom w:val="single" w:sz="4" w:space="0" w:color="auto"/>
              <w:right w:val="single" w:sz="4" w:space="0" w:color="auto"/>
            </w:tcBorders>
            <w:shd w:val="clear" w:color="auto" w:fill="auto"/>
            <w:noWrap/>
            <w:vAlign w:val="center"/>
            <w:hideMark/>
          </w:tcPr>
          <w:p w14:paraId="513E3606"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85365.6</w:t>
            </w:r>
          </w:p>
        </w:tc>
        <w:tc>
          <w:tcPr>
            <w:tcW w:w="715" w:type="dxa"/>
            <w:tcBorders>
              <w:top w:val="nil"/>
              <w:left w:val="nil"/>
              <w:bottom w:val="single" w:sz="4" w:space="0" w:color="auto"/>
              <w:right w:val="single" w:sz="4" w:space="0" w:color="auto"/>
            </w:tcBorders>
            <w:shd w:val="clear" w:color="auto" w:fill="auto"/>
            <w:noWrap/>
            <w:vAlign w:val="center"/>
            <w:hideMark/>
          </w:tcPr>
          <w:p w14:paraId="5AAB666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74293.5</w:t>
            </w:r>
          </w:p>
        </w:tc>
        <w:tc>
          <w:tcPr>
            <w:tcW w:w="987" w:type="dxa"/>
            <w:tcBorders>
              <w:top w:val="nil"/>
              <w:left w:val="nil"/>
              <w:bottom w:val="single" w:sz="4" w:space="0" w:color="auto"/>
              <w:right w:val="single" w:sz="4" w:space="0" w:color="auto"/>
            </w:tcBorders>
            <w:shd w:val="clear" w:color="auto" w:fill="auto"/>
            <w:noWrap/>
            <w:vAlign w:val="center"/>
            <w:hideMark/>
          </w:tcPr>
          <w:p w14:paraId="7C84A900"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19.3</w:t>
            </w:r>
          </w:p>
        </w:tc>
        <w:tc>
          <w:tcPr>
            <w:tcW w:w="613" w:type="dxa"/>
            <w:tcBorders>
              <w:top w:val="nil"/>
              <w:left w:val="nil"/>
              <w:bottom w:val="single" w:sz="4" w:space="0" w:color="auto"/>
              <w:right w:val="single" w:sz="4" w:space="0" w:color="auto"/>
            </w:tcBorders>
            <w:shd w:val="clear" w:color="auto" w:fill="auto"/>
            <w:noWrap/>
            <w:vAlign w:val="center"/>
            <w:hideMark/>
          </w:tcPr>
          <w:p w14:paraId="0854638F"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18.5</w:t>
            </w:r>
          </w:p>
        </w:tc>
      </w:tr>
      <w:tr w:rsidR="009C313D" w:rsidRPr="006F347B" w14:paraId="31BDAF1C"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3A912CFB"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Russia</w:t>
            </w:r>
          </w:p>
        </w:tc>
        <w:tc>
          <w:tcPr>
            <w:tcW w:w="2589" w:type="dxa"/>
            <w:tcBorders>
              <w:top w:val="nil"/>
              <w:left w:val="nil"/>
              <w:bottom w:val="single" w:sz="4" w:space="0" w:color="auto"/>
              <w:right w:val="single" w:sz="4" w:space="0" w:color="auto"/>
            </w:tcBorders>
            <w:shd w:val="clear" w:color="000000" w:fill="D9E1F2"/>
            <w:noWrap/>
            <w:vAlign w:val="center"/>
            <w:hideMark/>
          </w:tcPr>
          <w:p w14:paraId="6E775B0B"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RUSSIAN TRADED INDEX</w:t>
            </w:r>
          </w:p>
        </w:tc>
        <w:tc>
          <w:tcPr>
            <w:tcW w:w="1080" w:type="dxa"/>
            <w:tcBorders>
              <w:top w:val="nil"/>
              <w:left w:val="nil"/>
              <w:bottom w:val="single" w:sz="4" w:space="0" w:color="auto"/>
              <w:right w:val="single" w:sz="4" w:space="0" w:color="auto"/>
            </w:tcBorders>
            <w:shd w:val="clear" w:color="auto" w:fill="auto"/>
            <w:noWrap/>
            <w:vAlign w:val="center"/>
            <w:hideMark/>
          </w:tcPr>
          <w:p w14:paraId="73ECA83C"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1762.0</w:t>
            </w:r>
          </w:p>
        </w:tc>
        <w:tc>
          <w:tcPr>
            <w:tcW w:w="810" w:type="dxa"/>
            <w:tcBorders>
              <w:top w:val="nil"/>
              <w:left w:val="nil"/>
              <w:bottom w:val="single" w:sz="4" w:space="0" w:color="auto"/>
              <w:right w:val="single" w:sz="4" w:space="0" w:color="auto"/>
            </w:tcBorders>
            <w:shd w:val="clear" w:color="auto" w:fill="auto"/>
            <w:noWrap/>
            <w:vAlign w:val="center"/>
            <w:hideMark/>
          </w:tcPr>
          <w:p w14:paraId="58FEEDB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1597.8</w:t>
            </w:r>
          </w:p>
        </w:tc>
        <w:tc>
          <w:tcPr>
            <w:tcW w:w="858" w:type="dxa"/>
            <w:tcBorders>
              <w:top w:val="nil"/>
              <w:left w:val="nil"/>
              <w:bottom w:val="single" w:sz="4" w:space="0" w:color="auto"/>
              <w:right w:val="single" w:sz="4" w:space="0" w:color="auto"/>
            </w:tcBorders>
            <w:shd w:val="clear" w:color="auto" w:fill="auto"/>
            <w:noWrap/>
            <w:vAlign w:val="center"/>
            <w:hideMark/>
          </w:tcPr>
          <w:p w14:paraId="46F2A9A6"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1670.3</w:t>
            </w:r>
          </w:p>
        </w:tc>
        <w:tc>
          <w:tcPr>
            <w:tcW w:w="810" w:type="dxa"/>
            <w:tcBorders>
              <w:top w:val="nil"/>
              <w:left w:val="nil"/>
              <w:bottom w:val="single" w:sz="4" w:space="0" w:color="auto"/>
              <w:right w:val="single" w:sz="4" w:space="0" w:color="auto"/>
            </w:tcBorders>
            <w:shd w:val="clear" w:color="auto" w:fill="auto"/>
            <w:noWrap/>
            <w:vAlign w:val="center"/>
            <w:hideMark/>
          </w:tcPr>
          <w:p w14:paraId="66631E2B"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1771.9</w:t>
            </w:r>
          </w:p>
        </w:tc>
        <w:tc>
          <w:tcPr>
            <w:tcW w:w="715" w:type="dxa"/>
            <w:tcBorders>
              <w:top w:val="nil"/>
              <w:left w:val="nil"/>
              <w:bottom w:val="single" w:sz="4" w:space="0" w:color="auto"/>
              <w:right w:val="single" w:sz="4" w:space="0" w:color="auto"/>
            </w:tcBorders>
            <w:shd w:val="clear" w:color="auto" w:fill="auto"/>
            <w:noWrap/>
            <w:vAlign w:val="center"/>
            <w:hideMark/>
          </w:tcPr>
          <w:p w14:paraId="038941CC"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1552.9</w:t>
            </w:r>
          </w:p>
        </w:tc>
        <w:tc>
          <w:tcPr>
            <w:tcW w:w="987" w:type="dxa"/>
            <w:tcBorders>
              <w:top w:val="nil"/>
              <w:left w:val="nil"/>
              <w:bottom w:val="single" w:sz="4" w:space="0" w:color="auto"/>
              <w:right w:val="single" w:sz="4" w:space="0" w:color="auto"/>
            </w:tcBorders>
            <w:shd w:val="clear" w:color="auto" w:fill="auto"/>
            <w:noWrap/>
            <w:vAlign w:val="center"/>
            <w:hideMark/>
          </w:tcPr>
          <w:p w14:paraId="43ADF15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23.3</w:t>
            </w:r>
          </w:p>
        </w:tc>
        <w:tc>
          <w:tcPr>
            <w:tcW w:w="613" w:type="dxa"/>
            <w:tcBorders>
              <w:top w:val="nil"/>
              <w:left w:val="nil"/>
              <w:bottom w:val="single" w:sz="4" w:space="0" w:color="auto"/>
              <w:right w:val="single" w:sz="4" w:space="0" w:color="auto"/>
            </w:tcBorders>
            <w:shd w:val="clear" w:color="auto" w:fill="auto"/>
            <w:noWrap/>
            <w:vAlign w:val="center"/>
            <w:hideMark/>
          </w:tcPr>
          <w:p w14:paraId="0310ACB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6.2</w:t>
            </w:r>
          </w:p>
        </w:tc>
      </w:tr>
      <w:tr w:rsidR="009C313D" w:rsidRPr="006F347B" w14:paraId="1CB740B8"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54F3907A"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India</w:t>
            </w:r>
          </w:p>
        </w:tc>
        <w:tc>
          <w:tcPr>
            <w:tcW w:w="2589" w:type="dxa"/>
            <w:tcBorders>
              <w:top w:val="nil"/>
              <w:left w:val="nil"/>
              <w:bottom w:val="single" w:sz="4" w:space="0" w:color="auto"/>
              <w:right w:val="single" w:sz="4" w:space="0" w:color="auto"/>
            </w:tcBorders>
            <w:shd w:val="clear" w:color="000000" w:fill="D9E1F2"/>
            <w:noWrap/>
            <w:vAlign w:val="center"/>
            <w:hideMark/>
          </w:tcPr>
          <w:p w14:paraId="1EFA77DB"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Nifty 50</w:t>
            </w:r>
          </w:p>
        </w:tc>
        <w:tc>
          <w:tcPr>
            <w:tcW w:w="1080" w:type="dxa"/>
            <w:tcBorders>
              <w:top w:val="nil"/>
              <w:left w:val="nil"/>
              <w:bottom w:val="single" w:sz="4" w:space="0" w:color="auto"/>
              <w:right w:val="single" w:sz="4" w:space="0" w:color="auto"/>
            </w:tcBorders>
            <w:shd w:val="clear" w:color="auto" w:fill="auto"/>
            <w:noWrap/>
            <w:vAlign w:val="center"/>
            <w:hideMark/>
          </w:tcPr>
          <w:p w14:paraId="09D4D6BE"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10930.5</w:t>
            </w:r>
          </w:p>
        </w:tc>
        <w:tc>
          <w:tcPr>
            <w:tcW w:w="810" w:type="dxa"/>
            <w:tcBorders>
              <w:top w:val="nil"/>
              <w:left w:val="nil"/>
              <w:bottom w:val="single" w:sz="4" w:space="0" w:color="auto"/>
              <w:right w:val="single" w:sz="4" w:space="0" w:color="auto"/>
            </w:tcBorders>
            <w:shd w:val="clear" w:color="auto" w:fill="auto"/>
            <w:noWrap/>
            <w:vAlign w:val="center"/>
            <w:hideMark/>
          </w:tcPr>
          <w:p w14:paraId="453EE3C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11680.5</w:t>
            </w:r>
          </w:p>
        </w:tc>
        <w:tc>
          <w:tcPr>
            <w:tcW w:w="858" w:type="dxa"/>
            <w:tcBorders>
              <w:top w:val="nil"/>
              <w:left w:val="nil"/>
              <w:bottom w:val="single" w:sz="4" w:space="0" w:color="auto"/>
              <w:right w:val="single" w:sz="4" w:space="0" w:color="auto"/>
            </w:tcBorders>
            <w:shd w:val="clear" w:color="auto" w:fill="auto"/>
            <w:noWrap/>
            <w:vAlign w:val="center"/>
            <w:hideMark/>
          </w:tcPr>
          <w:p w14:paraId="18B44DD0"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10714.3</w:t>
            </w:r>
          </w:p>
        </w:tc>
        <w:tc>
          <w:tcPr>
            <w:tcW w:w="810" w:type="dxa"/>
            <w:tcBorders>
              <w:top w:val="nil"/>
              <w:left w:val="nil"/>
              <w:bottom w:val="single" w:sz="4" w:space="0" w:color="auto"/>
              <w:right w:val="single" w:sz="4" w:space="0" w:color="auto"/>
            </w:tcBorders>
            <w:shd w:val="clear" w:color="auto" w:fill="auto"/>
            <w:noWrap/>
            <w:vAlign w:val="center"/>
            <w:hideMark/>
          </w:tcPr>
          <w:p w14:paraId="5819F137"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10113.7</w:t>
            </w:r>
          </w:p>
        </w:tc>
        <w:tc>
          <w:tcPr>
            <w:tcW w:w="715" w:type="dxa"/>
            <w:tcBorders>
              <w:top w:val="nil"/>
              <w:left w:val="nil"/>
              <w:bottom w:val="single" w:sz="4" w:space="0" w:color="auto"/>
              <w:right w:val="single" w:sz="4" w:space="0" w:color="auto"/>
            </w:tcBorders>
            <w:shd w:val="clear" w:color="auto" w:fill="auto"/>
            <w:noWrap/>
            <w:vAlign w:val="center"/>
            <w:hideMark/>
          </w:tcPr>
          <w:p w14:paraId="76479DD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9788.6</w:t>
            </w:r>
          </w:p>
        </w:tc>
        <w:tc>
          <w:tcPr>
            <w:tcW w:w="987" w:type="dxa"/>
            <w:tcBorders>
              <w:top w:val="nil"/>
              <w:left w:val="nil"/>
              <w:bottom w:val="single" w:sz="4" w:space="0" w:color="auto"/>
              <w:right w:val="single" w:sz="4" w:space="0" w:color="auto"/>
            </w:tcBorders>
            <w:shd w:val="clear" w:color="auto" w:fill="auto"/>
            <w:noWrap/>
            <w:vAlign w:val="center"/>
            <w:hideMark/>
          </w:tcPr>
          <w:p w14:paraId="347F89FD"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10.2</w:t>
            </w:r>
          </w:p>
        </w:tc>
        <w:tc>
          <w:tcPr>
            <w:tcW w:w="613" w:type="dxa"/>
            <w:tcBorders>
              <w:top w:val="nil"/>
              <w:left w:val="nil"/>
              <w:bottom w:val="single" w:sz="4" w:space="0" w:color="auto"/>
              <w:right w:val="single" w:sz="4" w:space="0" w:color="auto"/>
            </w:tcBorders>
            <w:shd w:val="clear" w:color="auto" w:fill="auto"/>
            <w:noWrap/>
            <w:vAlign w:val="center"/>
            <w:hideMark/>
          </w:tcPr>
          <w:p w14:paraId="1BDD880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26.2</w:t>
            </w:r>
          </w:p>
        </w:tc>
      </w:tr>
      <w:tr w:rsidR="009C313D" w:rsidRPr="006F347B" w14:paraId="13F229EE"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3D3A88B8"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India</w:t>
            </w:r>
          </w:p>
        </w:tc>
        <w:tc>
          <w:tcPr>
            <w:tcW w:w="2589" w:type="dxa"/>
            <w:tcBorders>
              <w:top w:val="nil"/>
              <w:left w:val="nil"/>
              <w:bottom w:val="single" w:sz="4" w:space="0" w:color="auto"/>
              <w:right w:val="single" w:sz="4" w:space="0" w:color="auto"/>
            </w:tcBorders>
            <w:shd w:val="clear" w:color="000000" w:fill="D9E1F2"/>
            <w:noWrap/>
            <w:vAlign w:val="center"/>
            <w:hideMark/>
          </w:tcPr>
          <w:p w14:paraId="099BC553"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S&amp;P BSE SENSEX INDEX</w:t>
            </w:r>
          </w:p>
        </w:tc>
        <w:tc>
          <w:tcPr>
            <w:tcW w:w="1080" w:type="dxa"/>
            <w:tcBorders>
              <w:top w:val="nil"/>
              <w:left w:val="nil"/>
              <w:bottom w:val="single" w:sz="4" w:space="0" w:color="auto"/>
              <w:right w:val="single" w:sz="4" w:space="0" w:color="auto"/>
            </w:tcBorders>
            <w:shd w:val="clear" w:color="auto" w:fill="auto"/>
            <w:noWrap/>
            <w:vAlign w:val="center"/>
            <w:hideMark/>
          </w:tcPr>
          <w:p w14:paraId="37EDC9C2"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36227.1</w:t>
            </w:r>
          </w:p>
        </w:tc>
        <w:tc>
          <w:tcPr>
            <w:tcW w:w="810" w:type="dxa"/>
            <w:tcBorders>
              <w:top w:val="nil"/>
              <w:left w:val="nil"/>
              <w:bottom w:val="single" w:sz="4" w:space="0" w:color="auto"/>
              <w:right w:val="single" w:sz="4" w:space="0" w:color="auto"/>
            </w:tcBorders>
            <w:shd w:val="clear" w:color="auto" w:fill="auto"/>
            <w:noWrap/>
            <w:vAlign w:val="center"/>
            <w:hideMark/>
          </w:tcPr>
          <w:p w14:paraId="3861F1B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38645.1</w:t>
            </w:r>
          </w:p>
        </w:tc>
        <w:tc>
          <w:tcPr>
            <w:tcW w:w="858" w:type="dxa"/>
            <w:tcBorders>
              <w:top w:val="nil"/>
              <w:left w:val="nil"/>
              <w:bottom w:val="single" w:sz="4" w:space="0" w:color="auto"/>
              <w:right w:val="single" w:sz="4" w:space="0" w:color="auto"/>
            </w:tcBorders>
            <w:shd w:val="clear" w:color="auto" w:fill="auto"/>
            <w:noWrap/>
            <w:vAlign w:val="center"/>
            <w:hideMark/>
          </w:tcPr>
          <w:p w14:paraId="2081E174"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35423.5</w:t>
            </w:r>
          </w:p>
        </w:tc>
        <w:tc>
          <w:tcPr>
            <w:tcW w:w="810" w:type="dxa"/>
            <w:tcBorders>
              <w:top w:val="nil"/>
              <w:left w:val="nil"/>
              <w:bottom w:val="single" w:sz="4" w:space="0" w:color="auto"/>
              <w:right w:val="single" w:sz="4" w:space="0" w:color="auto"/>
            </w:tcBorders>
            <w:shd w:val="clear" w:color="auto" w:fill="auto"/>
            <w:noWrap/>
            <w:vAlign w:val="center"/>
            <w:hideMark/>
          </w:tcPr>
          <w:p w14:paraId="31B2E3ED"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32968.7</w:t>
            </w:r>
          </w:p>
        </w:tc>
        <w:tc>
          <w:tcPr>
            <w:tcW w:w="715" w:type="dxa"/>
            <w:tcBorders>
              <w:top w:val="nil"/>
              <w:left w:val="nil"/>
              <w:bottom w:val="single" w:sz="4" w:space="0" w:color="auto"/>
              <w:right w:val="single" w:sz="4" w:space="0" w:color="auto"/>
            </w:tcBorders>
            <w:shd w:val="clear" w:color="auto" w:fill="auto"/>
            <w:noWrap/>
            <w:vAlign w:val="center"/>
            <w:hideMark/>
          </w:tcPr>
          <w:p w14:paraId="36DECB32"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31283.7</w:t>
            </w:r>
          </w:p>
        </w:tc>
        <w:tc>
          <w:tcPr>
            <w:tcW w:w="987" w:type="dxa"/>
            <w:tcBorders>
              <w:top w:val="nil"/>
              <w:left w:val="nil"/>
              <w:bottom w:val="single" w:sz="4" w:space="0" w:color="auto"/>
              <w:right w:val="single" w:sz="4" w:space="0" w:color="auto"/>
            </w:tcBorders>
            <w:shd w:val="clear" w:color="auto" w:fill="auto"/>
            <w:noWrap/>
            <w:vAlign w:val="center"/>
            <w:hideMark/>
          </w:tcPr>
          <w:p w14:paraId="1C261DAD"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10.1</w:t>
            </w:r>
          </w:p>
        </w:tc>
        <w:tc>
          <w:tcPr>
            <w:tcW w:w="613" w:type="dxa"/>
            <w:tcBorders>
              <w:top w:val="nil"/>
              <w:left w:val="nil"/>
              <w:bottom w:val="single" w:sz="4" w:space="0" w:color="auto"/>
              <w:right w:val="single" w:sz="4" w:space="0" w:color="auto"/>
            </w:tcBorders>
            <w:shd w:val="clear" w:color="auto" w:fill="auto"/>
            <w:noWrap/>
            <w:vAlign w:val="center"/>
            <w:hideMark/>
          </w:tcPr>
          <w:p w14:paraId="7D4D2786"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28.4</w:t>
            </w:r>
          </w:p>
        </w:tc>
      </w:tr>
      <w:tr w:rsidR="009C313D" w:rsidRPr="006F347B" w14:paraId="46F649B4"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4C3F58D1"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China</w:t>
            </w:r>
          </w:p>
        </w:tc>
        <w:tc>
          <w:tcPr>
            <w:tcW w:w="2589" w:type="dxa"/>
            <w:tcBorders>
              <w:top w:val="nil"/>
              <w:left w:val="nil"/>
              <w:bottom w:val="single" w:sz="4" w:space="0" w:color="auto"/>
              <w:right w:val="single" w:sz="4" w:space="0" w:color="auto"/>
            </w:tcBorders>
            <w:shd w:val="clear" w:color="000000" w:fill="D9E1F2"/>
            <w:noWrap/>
            <w:vAlign w:val="center"/>
            <w:hideMark/>
          </w:tcPr>
          <w:p w14:paraId="353F1D19"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SHANGHAI SE COMPOSITE</w:t>
            </w:r>
          </w:p>
        </w:tc>
        <w:tc>
          <w:tcPr>
            <w:tcW w:w="1080" w:type="dxa"/>
            <w:tcBorders>
              <w:top w:val="nil"/>
              <w:left w:val="nil"/>
              <w:bottom w:val="single" w:sz="4" w:space="0" w:color="auto"/>
              <w:right w:val="single" w:sz="4" w:space="0" w:color="auto"/>
            </w:tcBorders>
            <w:shd w:val="clear" w:color="auto" w:fill="auto"/>
            <w:noWrap/>
            <w:vAlign w:val="center"/>
            <w:hideMark/>
          </w:tcPr>
          <w:p w14:paraId="514C1362"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2821.4</w:t>
            </w:r>
          </w:p>
        </w:tc>
        <w:tc>
          <w:tcPr>
            <w:tcW w:w="810" w:type="dxa"/>
            <w:tcBorders>
              <w:top w:val="nil"/>
              <w:left w:val="nil"/>
              <w:bottom w:val="single" w:sz="4" w:space="0" w:color="auto"/>
              <w:right w:val="single" w:sz="4" w:space="0" w:color="auto"/>
            </w:tcBorders>
            <w:shd w:val="clear" w:color="auto" w:fill="auto"/>
            <w:noWrap/>
            <w:vAlign w:val="center"/>
            <w:hideMark/>
          </w:tcPr>
          <w:p w14:paraId="6E90857E"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2725.3</w:t>
            </w:r>
          </w:p>
        </w:tc>
        <w:tc>
          <w:tcPr>
            <w:tcW w:w="858" w:type="dxa"/>
            <w:tcBorders>
              <w:top w:val="nil"/>
              <w:left w:val="nil"/>
              <w:bottom w:val="single" w:sz="4" w:space="0" w:color="auto"/>
              <w:right w:val="single" w:sz="4" w:space="0" w:color="auto"/>
            </w:tcBorders>
            <w:shd w:val="clear" w:color="auto" w:fill="auto"/>
            <w:noWrap/>
            <w:vAlign w:val="center"/>
            <w:hideMark/>
          </w:tcPr>
          <w:p w14:paraId="395E2C62"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2847.4</w:t>
            </w:r>
          </w:p>
        </w:tc>
        <w:tc>
          <w:tcPr>
            <w:tcW w:w="810" w:type="dxa"/>
            <w:tcBorders>
              <w:top w:val="nil"/>
              <w:left w:val="nil"/>
              <w:bottom w:val="single" w:sz="4" w:space="0" w:color="auto"/>
              <w:right w:val="single" w:sz="4" w:space="0" w:color="auto"/>
            </w:tcBorders>
            <w:shd w:val="clear" w:color="auto" w:fill="auto"/>
            <w:noWrap/>
            <w:vAlign w:val="center"/>
            <w:hideMark/>
          </w:tcPr>
          <w:p w14:paraId="6CD97DF2"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3168.9</w:t>
            </w:r>
          </w:p>
        </w:tc>
        <w:tc>
          <w:tcPr>
            <w:tcW w:w="715" w:type="dxa"/>
            <w:tcBorders>
              <w:top w:val="nil"/>
              <w:left w:val="nil"/>
              <w:bottom w:val="single" w:sz="4" w:space="0" w:color="auto"/>
              <w:right w:val="single" w:sz="4" w:space="0" w:color="auto"/>
            </w:tcBorders>
            <w:shd w:val="clear" w:color="auto" w:fill="auto"/>
            <w:noWrap/>
            <w:vAlign w:val="center"/>
            <w:hideMark/>
          </w:tcPr>
          <w:p w14:paraId="6EC19EA7"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3348.9</w:t>
            </w:r>
          </w:p>
        </w:tc>
        <w:tc>
          <w:tcPr>
            <w:tcW w:w="987" w:type="dxa"/>
            <w:tcBorders>
              <w:top w:val="nil"/>
              <w:left w:val="nil"/>
              <w:bottom w:val="single" w:sz="4" w:space="0" w:color="auto"/>
              <w:right w:val="single" w:sz="4" w:space="0" w:color="auto"/>
            </w:tcBorders>
            <w:shd w:val="clear" w:color="auto" w:fill="auto"/>
            <w:noWrap/>
            <w:vAlign w:val="center"/>
            <w:hideMark/>
          </w:tcPr>
          <w:p w14:paraId="14F062AF"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15.2</w:t>
            </w:r>
          </w:p>
        </w:tc>
        <w:tc>
          <w:tcPr>
            <w:tcW w:w="613" w:type="dxa"/>
            <w:tcBorders>
              <w:top w:val="nil"/>
              <w:left w:val="nil"/>
              <w:bottom w:val="single" w:sz="4" w:space="0" w:color="auto"/>
              <w:right w:val="single" w:sz="4" w:space="0" w:color="auto"/>
            </w:tcBorders>
            <w:shd w:val="clear" w:color="auto" w:fill="auto"/>
            <w:noWrap/>
            <w:vAlign w:val="center"/>
            <w:hideMark/>
          </w:tcPr>
          <w:p w14:paraId="65068A5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13.3</w:t>
            </w:r>
          </w:p>
        </w:tc>
      </w:tr>
      <w:tr w:rsidR="009C313D" w:rsidRPr="006F347B" w14:paraId="48ECFF01"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71766244"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South Africa</w:t>
            </w:r>
          </w:p>
        </w:tc>
        <w:tc>
          <w:tcPr>
            <w:tcW w:w="2589" w:type="dxa"/>
            <w:tcBorders>
              <w:top w:val="nil"/>
              <w:left w:val="nil"/>
              <w:bottom w:val="single" w:sz="4" w:space="0" w:color="auto"/>
              <w:right w:val="single" w:sz="4" w:space="0" w:color="auto"/>
            </w:tcBorders>
            <w:shd w:val="clear" w:color="000000" w:fill="D9E1F2"/>
            <w:noWrap/>
            <w:vAlign w:val="center"/>
            <w:hideMark/>
          </w:tcPr>
          <w:p w14:paraId="65A4CFC6"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FTSE/JSE AFRICA ALL SHR</w:t>
            </w:r>
          </w:p>
        </w:tc>
        <w:tc>
          <w:tcPr>
            <w:tcW w:w="1080" w:type="dxa"/>
            <w:tcBorders>
              <w:top w:val="nil"/>
              <w:left w:val="nil"/>
              <w:bottom w:val="single" w:sz="4" w:space="0" w:color="auto"/>
              <w:right w:val="single" w:sz="4" w:space="0" w:color="auto"/>
            </w:tcBorders>
            <w:shd w:val="clear" w:color="auto" w:fill="auto"/>
            <w:noWrap/>
            <w:vAlign w:val="center"/>
            <w:hideMark/>
          </w:tcPr>
          <w:p w14:paraId="7EC3CF8B"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55708.5</w:t>
            </w:r>
          </w:p>
        </w:tc>
        <w:tc>
          <w:tcPr>
            <w:tcW w:w="810" w:type="dxa"/>
            <w:tcBorders>
              <w:top w:val="nil"/>
              <w:left w:val="nil"/>
              <w:bottom w:val="single" w:sz="4" w:space="0" w:color="auto"/>
              <w:right w:val="single" w:sz="4" w:space="0" w:color="auto"/>
            </w:tcBorders>
            <w:shd w:val="clear" w:color="auto" w:fill="auto"/>
            <w:noWrap/>
            <w:vAlign w:val="center"/>
            <w:hideMark/>
          </w:tcPr>
          <w:p w14:paraId="38FE07ED"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58668.5</w:t>
            </w:r>
          </w:p>
        </w:tc>
        <w:tc>
          <w:tcPr>
            <w:tcW w:w="858" w:type="dxa"/>
            <w:tcBorders>
              <w:top w:val="nil"/>
              <w:left w:val="nil"/>
              <w:bottom w:val="single" w:sz="4" w:space="0" w:color="auto"/>
              <w:right w:val="single" w:sz="4" w:space="0" w:color="auto"/>
            </w:tcBorders>
            <w:shd w:val="clear" w:color="auto" w:fill="auto"/>
            <w:noWrap/>
            <w:vAlign w:val="center"/>
            <w:hideMark/>
          </w:tcPr>
          <w:p w14:paraId="0482CF77"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57611.0</w:t>
            </w:r>
          </w:p>
        </w:tc>
        <w:tc>
          <w:tcPr>
            <w:tcW w:w="810" w:type="dxa"/>
            <w:tcBorders>
              <w:top w:val="nil"/>
              <w:left w:val="nil"/>
              <w:bottom w:val="single" w:sz="4" w:space="0" w:color="auto"/>
              <w:right w:val="single" w:sz="4" w:space="0" w:color="auto"/>
            </w:tcBorders>
            <w:shd w:val="clear" w:color="auto" w:fill="auto"/>
            <w:noWrap/>
            <w:vAlign w:val="center"/>
            <w:hideMark/>
          </w:tcPr>
          <w:p w14:paraId="295DBCD5"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55474.5</w:t>
            </w:r>
          </w:p>
        </w:tc>
        <w:tc>
          <w:tcPr>
            <w:tcW w:w="715" w:type="dxa"/>
            <w:tcBorders>
              <w:top w:val="nil"/>
              <w:left w:val="nil"/>
              <w:bottom w:val="single" w:sz="4" w:space="0" w:color="auto"/>
              <w:right w:val="single" w:sz="4" w:space="0" w:color="auto"/>
            </w:tcBorders>
            <w:shd w:val="clear" w:color="auto" w:fill="auto"/>
            <w:noWrap/>
            <w:vAlign w:val="center"/>
            <w:hideMark/>
          </w:tcPr>
          <w:p w14:paraId="0C21FE7D"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55579.9</w:t>
            </w:r>
          </w:p>
        </w:tc>
        <w:tc>
          <w:tcPr>
            <w:tcW w:w="987" w:type="dxa"/>
            <w:tcBorders>
              <w:top w:val="nil"/>
              <w:left w:val="nil"/>
              <w:bottom w:val="single" w:sz="4" w:space="0" w:color="auto"/>
              <w:right w:val="single" w:sz="4" w:space="0" w:color="auto"/>
            </w:tcBorders>
            <w:shd w:val="clear" w:color="auto" w:fill="auto"/>
            <w:noWrap/>
            <w:vAlign w:val="center"/>
            <w:hideMark/>
          </w:tcPr>
          <w:p w14:paraId="0F2CC35A"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14.0</w:t>
            </w:r>
          </w:p>
        </w:tc>
        <w:tc>
          <w:tcPr>
            <w:tcW w:w="613" w:type="dxa"/>
            <w:tcBorders>
              <w:top w:val="nil"/>
              <w:left w:val="nil"/>
              <w:bottom w:val="single" w:sz="4" w:space="0" w:color="auto"/>
              <w:right w:val="single" w:sz="4" w:space="0" w:color="auto"/>
            </w:tcBorders>
            <w:shd w:val="clear" w:color="auto" w:fill="auto"/>
            <w:noWrap/>
            <w:vAlign w:val="center"/>
            <w:hideMark/>
          </w:tcPr>
          <w:p w14:paraId="434F012D"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17.2</w:t>
            </w:r>
          </w:p>
        </w:tc>
      </w:tr>
      <w:tr w:rsidR="009C313D" w:rsidRPr="006F347B" w14:paraId="55BDAF3D" w14:textId="77777777" w:rsidTr="00560A50">
        <w:trPr>
          <w:trHeight w:val="134"/>
          <w:jc w:val="center"/>
        </w:trPr>
        <w:tc>
          <w:tcPr>
            <w:tcW w:w="9558" w:type="dxa"/>
            <w:gridSpan w:val="9"/>
            <w:tcBorders>
              <w:top w:val="single" w:sz="4" w:space="0" w:color="auto"/>
              <w:left w:val="single" w:sz="4" w:space="0" w:color="auto"/>
              <w:bottom w:val="single" w:sz="4" w:space="0" w:color="auto"/>
              <w:right w:val="single" w:sz="4" w:space="0" w:color="auto"/>
            </w:tcBorders>
            <w:shd w:val="clear" w:color="000000" w:fill="D9E1F2"/>
            <w:vAlign w:val="center"/>
            <w:hideMark/>
          </w:tcPr>
          <w:p w14:paraId="46FF932B" w14:textId="77777777" w:rsidR="009C313D" w:rsidRPr="00794384" w:rsidRDefault="009C313D" w:rsidP="00560A50">
            <w:pPr>
              <w:jc w:val="center"/>
              <w:rPr>
                <w:rFonts w:ascii="Garamond" w:eastAsia="Times New Roman" w:hAnsi="Garamond" w:cs="Calibri"/>
                <w:b/>
                <w:bCs/>
                <w:sz w:val="18"/>
                <w:szCs w:val="18"/>
                <w:lang w:eastAsia="en-GB"/>
              </w:rPr>
            </w:pPr>
            <w:r w:rsidRPr="00794384">
              <w:rPr>
                <w:rFonts w:ascii="Garamond" w:eastAsia="Times New Roman" w:hAnsi="Garamond" w:cs="Calibri"/>
                <w:b/>
                <w:bCs/>
                <w:sz w:val="18"/>
                <w:szCs w:val="18"/>
                <w:lang w:eastAsia="en-GB"/>
              </w:rPr>
              <w:t>Developed Markets</w:t>
            </w:r>
          </w:p>
        </w:tc>
      </w:tr>
      <w:tr w:rsidR="009C313D" w:rsidRPr="006F347B" w14:paraId="58EB4336"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68F89019"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USA</w:t>
            </w:r>
          </w:p>
        </w:tc>
        <w:tc>
          <w:tcPr>
            <w:tcW w:w="2589" w:type="dxa"/>
            <w:tcBorders>
              <w:top w:val="nil"/>
              <w:left w:val="nil"/>
              <w:bottom w:val="single" w:sz="4" w:space="0" w:color="auto"/>
              <w:right w:val="single" w:sz="4" w:space="0" w:color="auto"/>
            </w:tcBorders>
            <w:shd w:val="clear" w:color="000000" w:fill="D9E1F2"/>
            <w:noWrap/>
            <w:vAlign w:val="center"/>
            <w:hideMark/>
          </w:tcPr>
          <w:p w14:paraId="22BD003A"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NASDAQ COMPOSITE INDEX</w:t>
            </w:r>
          </w:p>
        </w:tc>
        <w:tc>
          <w:tcPr>
            <w:tcW w:w="1080" w:type="dxa"/>
            <w:tcBorders>
              <w:top w:val="nil"/>
              <w:left w:val="nil"/>
              <w:bottom w:val="single" w:sz="4" w:space="0" w:color="auto"/>
              <w:right w:val="single" w:sz="4" w:space="0" w:color="auto"/>
            </w:tcBorders>
            <w:shd w:val="clear" w:color="auto" w:fill="auto"/>
            <w:noWrap/>
            <w:vAlign w:val="center"/>
            <w:hideMark/>
          </w:tcPr>
          <w:p w14:paraId="47BE6F30"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8046.4</w:t>
            </w:r>
          </w:p>
        </w:tc>
        <w:tc>
          <w:tcPr>
            <w:tcW w:w="810" w:type="dxa"/>
            <w:tcBorders>
              <w:top w:val="nil"/>
              <w:left w:val="nil"/>
              <w:bottom w:val="single" w:sz="4" w:space="0" w:color="auto"/>
              <w:right w:val="single" w:sz="4" w:space="0" w:color="auto"/>
            </w:tcBorders>
            <w:shd w:val="clear" w:color="auto" w:fill="auto"/>
            <w:noWrap/>
            <w:vAlign w:val="center"/>
            <w:hideMark/>
          </w:tcPr>
          <w:p w14:paraId="6FBC4E2A"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8109.5</w:t>
            </w:r>
          </w:p>
        </w:tc>
        <w:tc>
          <w:tcPr>
            <w:tcW w:w="858" w:type="dxa"/>
            <w:tcBorders>
              <w:top w:val="nil"/>
              <w:left w:val="nil"/>
              <w:bottom w:val="single" w:sz="4" w:space="0" w:color="auto"/>
              <w:right w:val="single" w:sz="4" w:space="0" w:color="auto"/>
            </w:tcBorders>
            <w:shd w:val="clear" w:color="auto" w:fill="auto"/>
            <w:noWrap/>
            <w:vAlign w:val="center"/>
            <w:hideMark/>
          </w:tcPr>
          <w:p w14:paraId="260F9746"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7510.3</w:t>
            </w:r>
          </w:p>
        </w:tc>
        <w:tc>
          <w:tcPr>
            <w:tcW w:w="810" w:type="dxa"/>
            <w:tcBorders>
              <w:top w:val="nil"/>
              <w:left w:val="nil"/>
              <w:bottom w:val="single" w:sz="4" w:space="0" w:color="auto"/>
              <w:right w:val="single" w:sz="4" w:space="0" w:color="auto"/>
            </w:tcBorders>
            <w:shd w:val="clear" w:color="auto" w:fill="auto"/>
            <w:noWrap/>
            <w:vAlign w:val="center"/>
            <w:hideMark/>
          </w:tcPr>
          <w:p w14:paraId="3F2B0F34"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7063.4</w:t>
            </w:r>
          </w:p>
        </w:tc>
        <w:tc>
          <w:tcPr>
            <w:tcW w:w="715" w:type="dxa"/>
            <w:tcBorders>
              <w:top w:val="nil"/>
              <w:left w:val="nil"/>
              <w:bottom w:val="single" w:sz="4" w:space="0" w:color="auto"/>
              <w:right w:val="single" w:sz="4" w:space="0" w:color="auto"/>
            </w:tcBorders>
            <w:shd w:val="clear" w:color="auto" w:fill="auto"/>
            <w:noWrap/>
            <w:vAlign w:val="center"/>
            <w:hideMark/>
          </w:tcPr>
          <w:p w14:paraId="71F30F43"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6496.0</w:t>
            </w:r>
          </w:p>
        </w:tc>
        <w:tc>
          <w:tcPr>
            <w:tcW w:w="987" w:type="dxa"/>
            <w:tcBorders>
              <w:top w:val="nil"/>
              <w:left w:val="nil"/>
              <w:bottom w:val="single" w:sz="4" w:space="0" w:color="auto"/>
              <w:right w:val="single" w:sz="4" w:space="0" w:color="auto"/>
            </w:tcBorders>
            <w:shd w:val="clear" w:color="auto" w:fill="auto"/>
            <w:noWrap/>
            <w:vAlign w:val="center"/>
            <w:hideMark/>
          </w:tcPr>
          <w:p w14:paraId="149D613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14.3</w:t>
            </w:r>
          </w:p>
        </w:tc>
        <w:tc>
          <w:tcPr>
            <w:tcW w:w="613" w:type="dxa"/>
            <w:tcBorders>
              <w:top w:val="nil"/>
              <w:left w:val="nil"/>
              <w:bottom w:val="single" w:sz="4" w:space="0" w:color="auto"/>
              <w:right w:val="single" w:sz="4" w:space="0" w:color="auto"/>
            </w:tcBorders>
            <w:shd w:val="clear" w:color="auto" w:fill="auto"/>
            <w:noWrap/>
            <w:vAlign w:val="center"/>
            <w:hideMark/>
          </w:tcPr>
          <w:p w14:paraId="74A78020"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48.4</w:t>
            </w:r>
          </w:p>
        </w:tc>
      </w:tr>
      <w:tr w:rsidR="009C313D" w:rsidRPr="006F347B" w14:paraId="23EEA529"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547E448F"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USA</w:t>
            </w:r>
          </w:p>
        </w:tc>
        <w:tc>
          <w:tcPr>
            <w:tcW w:w="2589" w:type="dxa"/>
            <w:tcBorders>
              <w:top w:val="nil"/>
              <w:left w:val="nil"/>
              <w:bottom w:val="single" w:sz="4" w:space="0" w:color="auto"/>
              <w:right w:val="single" w:sz="4" w:space="0" w:color="auto"/>
            </w:tcBorders>
            <w:shd w:val="clear" w:color="000000" w:fill="D9E1F2"/>
            <w:noWrap/>
            <w:vAlign w:val="center"/>
            <w:hideMark/>
          </w:tcPr>
          <w:p w14:paraId="0B1908E7"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DOW JONES INDUS. AVG</w:t>
            </w:r>
          </w:p>
        </w:tc>
        <w:tc>
          <w:tcPr>
            <w:tcW w:w="1080" w:type="dxa"/>
            <w:tcBorders>
              <w:top w:val="nil"/>
              <w:left w:val="nil"/>
              <w:bottom w:val="single" w:sz="4" w:space="0" w:color="auto"/>
              <w:right w:val="single" w:sz="4" w:space="0" w:color="auto"/>
            </w:tcBorders>
            <w:shd w:val="clear" w:color="auto" w:fill="auto"/>
            <w:noWrap/>
            <w:vAlign w:val="center"/>
            <w:hideMark/>
          </w:tcPr>
          <w:p w14:paraId="5A774F6C"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26458.3</w:t>
            </w:r>
          </w:p>
        </w:tc>
        <w:tc>
          <w:tcPr>
            <w:tcW w:w="810" w:type="dxa"/>
            <w:tcBorders>
              <w:top w:val="nil"/>
              <w:left w:val="nil"/>
              <w:bottom w:val="single" w:sz="4" w:space="0" w:color="auto"/>
              <w:right w:val="single" w:sz="4" w:space="0" w:color="auto"/>
            </w:tcBorders>
            <w:shd w:val="clear" w:color="auto" w:fill="auto"/>
            <w:noWrap/>
            <w:vAlign w:val="center"/>
            <w:hideMark/>
          </w:tcPr>
          <w:p w14:paraId="2E2EC35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25964.8</w:t>
            </w:r>
          </w:p>
        </w:tc>
        <w:tc>
          <w:tcPr>
            <w:tcW w:w="858" w:type="dxa"/>
            <w:tcBorders>
              <w:top w:val="nil"/>
              <w:left w:val="nil"/>
              <w:bottom w:val="single" w:sz="4" w:space="0" w:color="auto"/>
              <w:right w:val="single" w:sz="4" w:space="0" w:color="auto"/>
            </w:tcBorders>
            <w:shd w:val="clear" w:color="auto" w:fill="auto"/>
            <w:noWrap/>
            <w:vAlign w:val="center"/>
            <w:hideMark/>
          </w:tcPr>
          <w:p w14:paraId="5308CA07"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24271.4</w:t>
            </w:r>
          </w:p>
        </w:tc>
        <w:tc>
          <w:tcPr>
            <w:tcW w:w="810" w:type="dxa"/>
            <w:tcBorders>
              <w:top w:val="nil"/>
              <w:left w:val="nil"/>
              <w:bottom w:val="single" w:sz="4" w:space="0" w:color="auto"/>
              <w:right w:val="single" w:sz="4" w:space="0" w:color="auto"/>
            </w:tcBorders>
            <w:shd w:val="clear" w:color="auto" w:fill="auto"/>
            <w:noWrap/>
            <w:vAlign w:val="center"/>
            <w:hideMark/>
          </w:tcPr>
          <w:p w14:paraId="133B5E30"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24103.1</w:t>
            </w:r>
          </w:p>
        </w:tc>
        <w:tc>
          <w:tcPr>
            <w:tcW w:w="715" w:type="dxa"/>
            <w:tcBorders>
              <w:top w:val="nil"/>
              <w:left w:val="nil"/>
              <w:bottom w:val="single" w:sz="4" w:space="0" w:color="auto"/>
              <w:right w:val="single" w:sz="4" w:space="0" w:color="auto"/>
            </w:tcBorders>
            <w:shd w:val="clear" w:color="auto" w:fill="auto"/>
            <w:noWrap/>
            <w:vAlign w:val="center"/>
            <w:hideMark/>
          </w:tcPr>
          <w:p w14:paraId="679923A3"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22405.1</w:t>
            </w:r>
          </w:p>
        </w:tc>
        <w:tc>
          <w:tcPr>
            <w:tcW w:w="987" w:type="dxa"/>
            <w:tcBorders>
              <w:top w:val="nil"/>
              <w:left w:val="nil"/>
              <w:bottom w:val="single" w:sz="4" w:space="0" w:color="auto"/>
              <w:right w:val="single" w:sz="4" w:space="0" w:color="auto"/>
            </w:tcBorders>
            <w:shd w:val="clear" w:color="auto" w:fill="auto"/>
            <w:noWrap/>
            <w:vAlign w:val="center"/>
            <w:hideMark/>
          </w:tcPr>
          <w:p w14:paraId="78F91A00"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13.1</w:t>
            </w:r>
          </w:p>
        </w:tc>
        <w:tc>
          <w:tcPr>
            <w:tcW w:w="613" w:type="dxa"/>
            <w:tcBorders>
              <w:top w:val="nil"/>
              <w:left w:val="nil"/>
              <w:bottom w:val="single" w:sz="4" w:space="0" w:color="auto"/>
              <w:right w:val="single" w:sz="4" w:space="0" w:color="auto"/>
            </w:tcBorders>
            <w:shd w:val="clear" w:color="auto" w:fill="auto"/>
            <w:noWrap/>
            <w:vAlign w:val="center"/>
            <w:hideMark/>
          </w:tcPr>
          <w:p w14:paraId="07676086"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18.8</w:t>
            </w:r>
          </w:p>
        </w:tc>
      </w:tr>
      <w:tr w:rsidR="009C313D" w:rsidRPr="006F347B" w14:paraId="3B4495E7"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1542DD61"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France</w:t>
            </w:r>
          </w:p>
        </w:tc>
        <w:tc>
          <w:tcPr>
            <w:tcW w:w="2589" w:type="dxa"/>
            <w:tcBorders>
              <w:top w:val="nil"/>
              <w:left w:val="nil"/>
              <w:bottom w:val="single" w:sz="4" w:space="0" w:color="auto"/>
              <w:right w:val="single" w:sz="4" w:space="0" w:color="auto"/>
            </w:tcBorders>
            <w:shd w:val="clear" w:color="000000" w:fill="D9E1F2"/>
            <w:noWrap/>
            <w:vAlign w:val="center"/>
            <w:hideMark/>
          </w:tcPr>
          <w:p w14:paraId="413390A7"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CAC 40 INDEX</w:t>
            </w:r>
          </w:p>
        </w:tc>
        <w:tc>
          <w:tcPr>
            <w:tcW w:w="1080" w:type="dxa"/>
            <w:tcBorders>
              <w:top w:val="nil"/>
              <w:left w:val="nil"/>
              <w:bottom w:val="single" w:sz="4" w:space="0" w:color="auto"/>
              <w:right w:val="single" w:sz="4" w:space="0" w:color="auto"/>
            </w:tcBorders>
            <w:shd w:val="clear" w:color="auto" w:fill="auto"/>
            <w:noWrap/>
            <w:vAlign w:val="center"/>
            <w:hideMark/>
          </w:tcPr>
          <w:p w14:paraId="72413C45"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5493.5</w:t>
            </w:r>
          </w:p>
        </w:tc>
        <w:tc>
          <w:tcPr>
            <w:tcW w:w="810" w:type="dxa"/>
            <w:tcBorders>
              <w:top w:val="nil"/>
              <w:left w:val="nil"/>
              <w:bottom w:val="single" w:sz="4" w:space="0" w:color="auto"/>
              <w:right w:val="single" w:sz="4" w:space="0" w:color="auto"/>
            </w:tcBorders>
            <w:shd w:val="clear" w:color="auto" w:fill="auto"/>
            <w:noWrap/>
            <w:vAlign w:val="center"/>
            <w:hideMark/>
          </w:tcPr>
          <w:p w14:paraId="4BB2089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5406.9</w:t>
            </w:r>
          </w:p>
        </w:tc>
        <w:tc>
          <w:tcPr>
            <w:tcW w:w="858" w:type="dxa"/>
            <w:tcBorders>
              <w:top w:val="nil"/>
              <w:left w:val="nil"/>
              <w:bottom w:val="single" w:sz="4" w:space="0" w:color="auto"/>
              <w:right w:val="single" w:sz="4" w:space="0" w:color="auto"/>
            </w:tcBorders>
            <w:shd w:val="clear" w:color="auto" w:fill="auto"/>
            <w:noWrap/>
            <w:vAlign w:val="center"/>
            <w:hideMark/>
          </w:tcPr>
          <w:p w14:paraId="08008DDB"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5323.5</w:t>
            </w:r>
          </w:p>
        </w:tc>
        <w:tc>
          <w:tcPr>
            <w:tcW w:w="810" w:type="dxa"/>
            <w:tcBorders>
              <w:top w:val="nil"/>
              <w:left w:val="nil"/>
              <w:bottom w:val="single" w:sz="4" w:space="0" w:color="auto"/>
              <w:right w:val="single" w:sz="4" w:space="0" w:color="auto"/>
            </w:tcBorders>
            <w:shd w:val="clear" w:color="auto" w:fill="auto"/>
            <w:noWrap/>
            <w:vAlign w:val="center"/>
            <w:hideMark/>
          </w:tcPr>
          <w:p w14:paraId="184ECDD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5167.3</w:t>
            </w:r>
          </w:p>
        </w:tc>
        <w:tc>
          <w:tcPr>
            <w:tcW w:w="715" w:type="dxa"/>
            <w:tcBorders>
              <w:top w:val="nil"/>
              <w:left w:val="nil"/>
              <w:bottom w:val="single" w:sz="4" w:space="0" w:color="auto"/>
              <w:right w:val="single" w:sz="4" w:space="0" w:color="auto"/>
            </w:tcBorders>
            <w:shd w:val="clear" w:color="auto" w:fill="auto"/>
            <w:noWrap/>
            <w:vAlign w:val="center"/>
            <w:hideMark/>
          </w:tcPr>
          <w:p w14:paraId="223BB5A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5329.8</w:t>
            </w:r>
          </w:p>
        </w:tc>
        <w:tc>
          <w:tcPr>
            <w:tcW w:w="987" w:type="dxa"/>
            <w:tcBorders>
              <w:top w:val="nil"/>
              <w:left w:val="nil"/>
              <w:bottom w:val="single" w:sz="4" w:space="0" w:color="auto"/>
              <w:right w:val="single" w:sz="4" w:space="0" w:color="auto"/>
            </w:tcBorders>
            <w:shd w:val="clear" w:color="auto" w:fill="auto"/>
            <w:noWrap/>
            <w:vAlign w:val="center"/>
            <w:hideMark/>
          </w:tcPr>
          <w:p w14:paraId="67B4ADDE"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11.1</w:t>
            </w:r>
          </w:p>
        </w:tc>
        <w:tc>
          <w:tcPr>
            <w:tcW w:w="613" w:type="dxa"/>
            <w:tcBorders>
              <w:top w:val="nil"/>
              <w:left w:val="nil"/>
              <w:bottom w:val="single" w:sz="4" w:space="0" w:color="auto"/>
              <w:right w:val="single" w:sz="4" w:space="0" w:color="auto"/>
            </w:tcBorders>
            <w:shd w:val="clear" w:color="auto" w:fill="auto"/>
            <w:noWrap/>
            <w:vAlign w:val="center"/>
            <w:hideMark/>
          </w:tcPr>
          <w:p w14:paraId="197F1490"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17.5</w:t>
            </w:r>
          </w:p>
        </w:tc>
      </w:tr>
      <w:tr w:rsidR="009C313D" w:rsidRPr="006F347B" w14:paraId="5F41D467"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5137A498"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Germany</w:t>
            </w:r>
          </w:p>
        </w:tc>
        <w:tc>
          <w:tcPr>
            <w:tcW w:w="2589" w:type="dxa"/>
            <w:tcBorders>
              <w:top w:val="nil"/>
              <w:left w:val="nil"/>
              <w:bottom w:val="single" w:sz="4" w:space="0" w:color="auto"/>
              <w:right w:val="single" w:sz="4" w:space="0" w:color="auto"/>
            </w:tcBorders>
            <w:shd w:val="clear" w:color="000000" w:fill="D9E1F2"/>
            <w:noWrap/>
            <w:vAlign w:val="center"/>
            <w:hideMark/>
          </w:tcPr>
          <w:p w14:paraId="5EB247B7"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DAX INDEX</w:t>
            </w:r>
          </w:p>
        </w:tc>
        <w:tc>
          <w:tcPr>
            <w:tcW w:w="1080" w:type="dxa"/>
            <w:tcBorders>
              <w:top w:val="nil"/>
              <w:left w:val="nil"/>
              <w:bottom w:val="single" w:sz="4" w:space="0" w:color="auto"/>
              <w:right w:val="single" w:sz="4" w:space="0" w:color="auto"/>
            </w:tcBorders>
            <w:shd w:val="clear" w:color="auto" w:fill="auto"/>
            <w:noWrap/>
            <w:vAlign w:val="center"/>
            <w:hideMark/>
          </w:tcPr>
          <w:p w14:paraId="787611EA"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12246.7</w:t>
            </w:r>
          </w:p>
        </w:tc>
        <w:tc>
          <w:tcPr>
            <w:tcW w:w="810" w:type="dxa"/>
            <w:tcBorders>
              <w:top w:val="nil"/>
              <w:left w:val="nil"/>
              <w:bottom w:val="single" w:sz="4" w:space="0" w:color="auto"/>
              <w:right w:val="single" w:sz="4" w:space="0" w:color="auto"/>
            </w:tcBorders>
            <w:shd w:val="clear" w:color="auto" w:fill="auto"/>
            <w:noWrap/>
            <w:vAlign w:val="center"/>
            <w:hideMark/>
          </w:tcPr>
          <w:p w14:paraId="649A476D"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12364.1</w:t>
            </w:r>
          </w:p>
        </w:tc>
        <w:tc>
          <w:tcPr>
            <w:tcW w:w="858" w:type="dxa"/>
            <w:tcBorders>
              <w:top w:val="nil"/>
              <w:left w:val="nil"/>
              <w:bottom w:val="single" w:sz="4" w:space="0" w:color="auto"/>
              <w:right w:val="single" w:sz="4" w:space="0" w:color="auto"/>
            </w:tcBorders>
            <w:shd w:val="clear" w:color="auto" w:fill="auto"/>
            <w:noWrap/>
            <w:vAlign w:val="center"/>
            <w:hideMark/>
          </w:tcPr>
          <w:p w14:paraId="0DB2FF8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12306.0</w:t>
            </w:r>
          </w:p>
        </w:tc>
        <w:tc>
          <w:tcPr>
            <w:tcW w:w="810" w:type="dxa"/>
            <w:tcBorders>
              <w:top w:val="nil"/>
              <w:left w:val="nil"/>
              <w:bottom w:val="single" w:sz="4" w:space="0" w:color="auto"/>
              <w:right w:val="single" w:sz="4" w:space="0" w:color="auto"/>
            </w:tcBorders>
            <w:shd w:val="clear" w:color="auto" w:fill="auto"/>
            <w:noWrap/>
            <w:vAlign w:val="center"/>
            <w:hideMark/>
          </w:tcPr>
          <w:p w14:paraId="2701E39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12096.7</w:t>
            </w:r>
          </w:p>
        </w:tc>
        <w:tc>
          <w:tcPr>
            <w:tcW w:w="715" w:type="dxa"/>
            <w:tcBorders>
              <w:top w:val="nil"/>
              <w:left w:val="nil"/>
              <w:bottom w:val="single" w:sz="4" w:space="0" w:color="auto"/>
              <w:right w:val="single" w:sz="4" w:space="0" w:color="auto"/>
            </w:tcBorders>
            <w:shd w:val="clear" w:color="auto" w:fill="auto"/>
            <w:noWrap/>
            <w:vAlign w:val="center"/>
            <w:hideMark/>
          </w:tcPr>
          <w:p w14:paraId="0E83FF6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12828.9</w:t>
            </w:r>
          </w:p>
        </w:tc>
        <w:tc>
          <w:tcPr>
            <w:tcW w:w="987" w:type="dxa"/>
            <w:tcBorders>
              <w:top w:val="nil"/>
              <w:left w:val="nil"/>
              <w:bottom w:val="single" w:sz="4" w:space="0" w:color="auto"/>
              <w:right w:val="single" w:sz="4" w:space="0" w:color="auto"/>
            </w:tcBorders>
            <w:shd w:val="clear" w:color="auto" w:fill="auto"/>
            <w:noWrap/>
            <w:vAlign w:val="center"/>
            <w:hideMark/>
          </w:tcPr>
          <w:p w14:paraId="78E8ED93"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13.1</w:t>
            </w:r>
          </w:p>
        </w:tc>
        <w:tc>
          <w:tcPr>
            <w:tcW w:w="613" w:type="dxa"/>
            <w:tcBorders>
              <w:top w:val="nil"/>
              <w:left w:val="nil"/>
              <w:bottom w:val="single" w:sz="4" w:space="0" w:color="auto"/>
              <w:right w:val="single" w:sz="4" w:space="0" w:color="auto"/>
            </w:tcBorders>
            <w:shd w:val="clear" w:color="auto" w:fill="auto"/>
            <w:noWrap/>
            <w:vAlign w:val="center"/>
            <w:hideMark/>
          </w:tcPr>
          <w:p w14:paraId="1AEF093B"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14.4</w:t>
            </w:r>
          </w:p>
        </w:tc>
      </w:tr>
      <w:tr w:rsidR="009C313D" w:rsidRPr="006F347B" w14:paraId="51B2AF96"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7B7E678E"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UK</w:t>
            </w:r>
          </w:p>
        </w:tc>
        <w:tc>
          <w:tcPr>
            <w:tcW w:w="2589" w:type="dxa"/>
            <w:tcBorders>
              <w:top w:val="nil"/>
              <w:left w:val="nil"/>
              <w:bottom w:val="single" w:sz="4" w:space="0" w:color="auto"/>
              <w:right w:val="single" w:sz="4" w:space="0" w:color="auto"/>
            </w:tcBorders>
            <w:shd w:val="clear" w:color="000000" w:fill="D9E1F2"/>
            <w:noWrap/>
            <w:vAlign w:val="center"/>
            <w:hideMark/>
          </w:tcPr>
          <w:p w14:paraId="3B57A141"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FTSE 100 INDEX</w:t>
            </w:r>
          </w:p>
        </w:tc>
        <w:tc>
          <w:tcPr>
            <w:tcW w:w="1080" w:type="dxa"/>
            <w:tcBorders>
              <w:top w:val="nil"/>
              <w:left w:val="nil"/>
              <w:bottom w:val="single" w:sz="4" w:space="0" w:color="auto"/>
              <w:right w:val="single" w:sz="4" w:space="0" w:color="auto"/>
            </w:tcBorders>
            <w:shd w:val="clear" w:color="auto" w:fill="auto"/>
            <w:noWrap/>
            <w:vAlign w:val="center"/>
            <w:hideMark/>
          </w:tcPr>
          <w:p w14:paraId="2BD21F65"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7510.2</w:t>
            </w:r>
          </w:p>
        </w:tc>
        <w:tc>
          <w:tcPr>
            <w:tcW w:w="810" w:type="dxa"/>
            <w:tcBorders>
              <w:top w:val="nil"/>
              <w:left w:val="nil"/>
              <w:bottom w:val="single" w:sz="4" w:space="0" w:color="auto"/>
              <w:right w:val="single" w:sz="4" w:space="0" w:color="auto"/>
            </w:tcBorders>
            <w:shd w:val="clear" w:color="auto" w:fill="auto"/>
            <w:noWrap/>
            <w:vAlign w:val="center"/>
            <w:hideMark/>
          </w:tcPr>
          <w:p w14:paraId="370B24EF"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7432.4</w:t>
            </w:r>
          </w:p>
        </w:tc>
        <w:tc>
          <w:tcPr>
            <w:tcW w:w="858" w:type="dxa"/>
            <w:tcBorders>
              <w:top w:val="nil"/>
              <w:left w:val="nil"/>
              <w:bottom w:val="single" w:sz="4" w:space="0" w:color="auto"/>
              <w:right w:val="single" w:sz="4" w:space="0" w:color="auto"/>
            </w:tcBorders>
            <w:shd w:val="clear" w:color="auto" w:fill="auto"/>
            <w:noWrap/>
            <w:vAlign w:val="center"/>
            <w:hideMark/>
          </w:tcPr>
          <w:p w14:paraId="4194A3FD"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7636.9</w:t>
            </w:r>
          </w:p>
        </w:tc>
        <w:tc>
          <w:tcPr>
            <w:tcW w:w="810" w:type="dxa"/>
            <w:tcBorders>
              <w:top w:val="nil"/>
              <w:left w:val="nil"/>
              <w:bottom w:val="single" w:sz="4" w:space="0" w:color="auto"/>
              <w:right w:val="single" w:sz="4" w:space="0" w:color="auto"/>
            </w:tcBorders>
            <w:shd w:val="clear" w:color="auto" w:fill="auto"/>
            <w:noWrap/>
            <w:vAlign w:val="center"/>
            <w:hideMark/>
          </w:tcPr>
          <w:p w14:paraId="7E63FF77"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7056.6</w:t>
            </w:r>
          </w:p>
        </w:tc>
        <w:tc>
          <w:tcPr>
            <w:tcW w:w="715" w:type="dxa"/>
            <w:tcBorders>
              <w:top w:val="nil"/>
              <w:left w:val="nil"/>
              <w:bottom w:val="single" w:sz="4" w:space="0" w:color="auto"/>
              <w:right w:val="single" w:sz="4" w:space="0" w:color="auto"/>
            </w:tcBorders>
            <w:shd w:val="clear" w:color="auto" w:fill="auto"/>
            <w:noWrap/>
            <w:vAlign w:val="center"/>
            <w:hideMark/>
          </w:tcPr>
          <w:p w14:paraId="5D4C8146"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7372.8</w:t>
            </w:r>
          </w:p>
        </w:tc>
        <w:tc>
          <w:tcPr>
            <w:tcW w:w="987" w:type="dxa"/>
            <w:tcBorders>
              <w:top w:val="nil"/>
              <w:left w:val="nil"/>
              <w:bottom w:val="single" w:sz="4" w:space="0" w:color="auto"/>
              <w:right w:val="single" w:sz="4" w:space="0" w:color="auto"/>
            </w:tcBorders>
            <w:shd w:val="clear" w:color="auto" w:fill="auto"/>
            <w:noWrap/>
            <w:vAlign w:val="center"/>
            <w:hideMark/>
          </w:tcPr>
          <w:p w14:paraId="5B083CCF"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10.6</w:t>
            </w:r>
          </w:p>
        </w:tc>
        <w:tc>
          <w:tcPr>
            <w:tcW w:w="613" w:type="dxa"/>
            <w:tcBorders>
              <w:top w:val="nil"/>
              <w:left w:val="nil"/>
              <w:bottom w:val="single" w:sz="4" w:space="0" w:color="auto"/>
              <w:right w:val="single" w:sz="4" w:space="0" w:color="auto"/>
            </w:tcBorders>
            <w:shd w:val="clear" w:color="auto" w:fill="auto"/>
            <w:noWrap/>
            <w:vAlign w:val="center"/>
            <w:hideMark/>
          </w:tcPr>
          <w:p w14:paraId="6611BDFE"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16.7</w:t>
            </w:r>
          </w:p>
        </w:tc>
      </w:tr>
      <w:tr w:rsidR="009C313D" w:rsidRPr="006F347B" w14:paraId="623B9444"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4F06E010"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Hong Kong</w:t>
            </w:r>
          </w:p>
        </w:tc>
        <w:tc>
          <w:tcPr>
            <w:tcW w:w="2589" w:type="dxa"/>
            <w:tcBorders>
              <w:top w:val="nil"/>
              <w:left w:val="nil"/>
              <w:bottom w:val="single" w:sz="4" w:space="0" w:color="auto"/>
              <w:right w:val="single" w:sz="4" w:space="0" w:color="auto"/>
            </w:tcBorders>
            <w:shd w:val="clear" w:color="000000" w:fill="D9E1F2"/>
            <w:noWrap/>
            <w:vAlign w:val="center"/>
            <w:hideMark/>
          </w:tcPr>
          <w:p w14:paraId="55CEA618"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HANG SENG INDEX</w:t>
            </w:r>
          </w:p>
        </w:tc>
        <w:tc>
          <w:tcPr>
            <w:tcW w:w="1080" w:type="dxa"/>
            <w:tcBorders>
              <w:top w:val="nil"/>
              <w:left w:val="nil"/>
              <w:bottom w:val="single" w:sz="4" w:space="0" w:color="auto"/>
              <w:right w:val="single" w:sz="4" w:space="0" w:color="auto"/>
            </w:tcBorders>
            <w:shd w:val="clear" w:color="auto" w:fill="auto"/>
            <w:noWrap/>
            <w:vAlign w:val="center"/>
            <w:hideMark/>
          </w:tcPr>
          <w:p w14:paraId="73C6D037"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27788.5</w:t>
            </w:r>
          </w:p>
        </w:tc>
        <w:tc>
          <w:tcPr>
            <w:tcW w:w="810" w:type="dxa"/>
            <w:tcBorders>
              <w:top w:val="nil"/>
              <w:left w:val="nil"/>
              <w:bottom w:val="single" w:sz="4" w:space="0" w:color="auto"/>
              <w:right w:val="single" w:sz="4" w:space="0" w:color="auto"/>
            </w:tcBorders>
            <w:shd w:val="clear" w:color="auto" w:fill="auto"/>
            <w:noWrap/>
            <w:vAlign w:val="center"/>
            <w:hideMark/>
          </w:tcPr>
          <w:p w14:paraId="2D2EC49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27888.6</w:t>
            </w:r>
          </w:p>
        </w:tc>
        <w:tc>
          <w:tcPr>
            <w:tcW w:w="858" w:type="dxa"/>
            <w:tcBorders>
              <w:top w:val="nil"/>
              <w:left w:val="nil"/>
              <w:bottom w:val="single" w:sz="4" w:space="0" w:color="auto"/>
              <w:right w:val="single" w:sz="4" w:space="0" w:color="auto"/>
            </w:tcBorders>
            <w:shd w:val="clear" w:color="auto" w:fill="auto"/>
            <w:noWrap/>
            <w:vAlign w:val="center"/>
            <w:hideMark/>
          </w:tcPr>
          <w:p w14:paraId="7638C35F"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28955.1</w:t>
            </w:r>
          </w:p>
        </w:tc>
        <w:tc>
          <w:tcPr>
            <w:tcW w:w="810" w:type="dxa"/>
            <w:tcBorders>
              <w:top w:val="nil"/>
              <w:left w:val="nil"/>
              <w:bottom w:val="single" w:sz="4" w:space="0" w:color="auto"/>
              <w:right w:val="single" w:sz="4" w:space="0" w:color="auto"/>
            </w:tcBorders>
            <w:shd w:val="clear" w:color="auto" w:fill="auto"/>
            <w:noWrap/>
            <w:vAlign w:val="center"/>
            <w:hideMark/>
          </w:tcPr>
          <w:p w14:paraId="7AAC10A4"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30093.4</w:t>
            </w:r>
          </w:p>
        </w:tc>
        <w:tc>
          <w:tcPr>
            <w:tcW w:w="715" w:type="dxa"/>
            <w:tcBorders>
              <w:top w:val="nil"/>
              <w:left w:val="nil"/>
              <w:bottom w:val="single" w:sz="4" w:space="0" w:color="auto"/>
              <w:right w:val="single" w:sz="4" w:space="0" w:color="auto"/>
            </w:tcBorders>
            <w:shd w:val="clear" w:color="auto" w:fill="auto"/>
            <w:noWrap/>
            <w:vAlign w:val="center"/>
            <w:hideMark/>
          </w:tcPr>
          <w:p w14:paraId="36074A9B"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27554.3</w:t>
            </w:r>
          </w:p>
        </w:tc>
        <w:tc>
          <w:tcPr>
            <w:tcW w:w="987" w:type="dxa"/>
            <w:tcBorders>
              <w:top w:val="nil"/>
              <w:left w:val="nil"/>
              <w:bottom w:val="single" w:sz="4" w:space="0" w:color="auto"/>
              <w:right w:val="single" w:sz="4" w:space="0" w:color="auto"/>
            </w:tcBorders>
            <w:shd w:val="clear" w:color="auto" w:fill="auto"/>
            <w:noWrap/>
            <w:vAlign w:val="center"/>
            <w:hideMark/>
          </w:tcPr>
          <w:p w14:paraId="50C5ECDB"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16.6</w:t>
            </w:r>
          </w:p>
        </w:tc>
        <w:tc>
          <w:tcPr>
            <w:tcW w:w="613" w:type="dxa"/>
            <w:tcBorders>
              <w:top w:val="nil"/>
              <w:left w:val="nil"/>
              <w:bottom w:val="single" w:sz="4" w:space="0" w:color="auto"/>
              <w:right w:val="single" w:sz="4" w:space="0" w:color="auto"/>
            </w:tcBorders>
            <w:shd w:val="clear" w:color="auto" w:fill="auto"/>
            <w:noWrap/>
            <w:vAlign w:val="center"/>
            <w:hideMark/>
          </w:tcPr>
          <w:p w14:paraId="541C7183"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10.5</w:t>
            </w:r>
          </w:p>
        </w:tc>
      </w:tr>
      <w:tr w:rsidR="009C313D" w:rsidRPr="006F347B" w14:paraId="7E9278CB"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22B3E134"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South Korea</w:t>
            </w:r>
          </w:p>
        </w:tc>
        <w:tc>
          <w:tcPr>
            <w:tcW w:w="2589" w:type="dxa"/>
            <w:tcBorders>
              <w:top w:val="nil"/>
              <w:left w:val="nil"/>
              <w:bottom w:val="single" w:sz="4" w:space="0" w:color="auto"/>
              <w:right w:val="single" w:sz="4" w:space="0" w:color="auto"/>
            </w:tcBorders>
            <w:shd w:val="clear" w:color="000000" w:fill="D9E1F2"/>
            <w:noWrap/>
            <w:vAlign w:val="center"/>
            <w:hideMark/>
          </w:tcPr>
          <w:p w14:paraId="69D33BF7"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KOSPI INDEX</w:t>
            </w:r>
          </w:p>
        </w:tc>
        <w:tc>
          <w:tcPr>
            <w:tcW w:w="1080" w:type="dxa"/>
            <w:tcBorders>
              <w:top w:val="nil"/>
              <w:left w:val="nil"/>
              <w:bottom w:val="single" w:sz="4" w:space="0" w:color="auto"/>
              <w:right w:val="single" w:sz="4" w:space="0" w:color="auto"/>
            </w:tcBorders>
            <w:shd w:val="clear" w:color="auto" w:fill="auto"/>
            <w:noWrap/>
            <w:vAlign w:val="center"/>
            <w:hideMark/>
          </w:tcPr>
          <w:p w14:paraId="67B055C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2343.1</w:t>
            </w:r>
          </w:p>
        </w:tc>
        <w:tc>
          <w:tcPr>
            <w:tcW w:w="810" w:type="dxa"/>
            <w:tcBorders>
              <w:top w:val="nil"/>
              <w:left w:val="nil"/>
              <w:bottom w:val="single" w:sz="4" w:space="0" w:color="auto"/>
              <w:right w:val="single" w:sz="4" w:space="0" w:color="auto"/>
            </w:tcBorders>
            <w:shd w:val="clear" w:color="auto" w:fill="auto"/>
            <w:noWrap/>
            <w:vAlign w:val="center"/>
            <w:hideMark/>
          </w:tcPr>
          <w:p w14:paraId="72D7DECD"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2322.9</w:t>
            </w:r>
          </w:p>
        </w:tc>
        <w:tc>
          <w:tcPr>
            <w:tcW w:w="858" w:type="dxa"/>
            <w:tcBorders>
              <w:top w:val="nil"/>
              <w:left w:val="nil"/>
              <w:bottom w:val="single" w:sz="4" w:space="0" w:color="auto"/>
              <w:right w:val="single" w:sz="4" w:space="0" w:color="auto"/>
            </w:tcBorders>
            <w:shd w:val="clear" w:color="auto" w:fill="auto"/>
            <w:noWrap/>
            <w:vAlign w:val="center"/>
            <w:hideMark/>
          </w:tcPr>
          <w:p w14:paraId="5E8B560F"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2326.1</w:t>
            </w:r>
          </w:p>
        </w:tc>
        <w:tc>
          <w:tcPr>
            <w:tcW w:w="810" w:type="dxa"/>
            <w:tcBorders>
              <w:top w:val="nil"/>
              <w:left w:val="nil"/>
              <w:bottom w:val="single" w:sz="4" w:space="0" w:color="auto"/>
              <w:right w:val="single" w:sz="4" w:space="0" w:color="auto"/>
            </w:tcBorders>
            <w:shd w:val="clear" w:color="auto" w:fill="auto"/>
            <w:noWrap/>
            <w:vAlign w:val="center"/>
            <w:hideMark/>
          </w:tcPr>
          <w:p w14:paraId="22715365"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2445.9</w:t>
            </w:r>
          </w:p>
        </w:tc>
        <w:tc>
          <w:tcPr>
            <w:tcW w:w="715" w:type="dxa"/>
            <w:tcBorders>
              <w:top w:val="nil"/>
              <w:left w:val="nil"/>
              <w:bottom w:val="single" w:sz="4" w:space="0" w:color="auto"/>
              <w:right w:val="single" w:sz="4" w:space="0" w:color="auto"/>
            </w:tcBorders>
            <w:shd w:val="clear" w:color="auto" w:fill="auto"/>
            <w:noWrap/>
            <w:vAlign w:val="center"/>
            <w:hideMark/>
          </w:tcPr>
          <w:p w14:paraId="70990A47"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2394.5</w:t>
            </w:r>
          </w:p>
        </w:tc>
        <w:tc>
          <w:tcPr>
            <w:tcW w:w="987" w:type="dxa"/>
            <w:tcBorders>
              <w:top w:val="nil"/>
              <w:left w:val="nil"/>
              <w:bottom w:val="single" w:sz="4" w:space="0" w:color="auto"/>
              <w:right w:val="single" w:sz="4" w:space="0" w:color="auto"/>
            </w:tcBorders>
            <w:shd w:val="clear" w:color="auto" w:fill="auto"/>
            <w:noWrap/>
            <w:vAlign w:val="center"/>
            <w:hideMark/>
          </w:tcPr>
          <w:p w14:paraId="3A2C35A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11.6</w:t>
            </w:r>
          </w:p>
        </w:tc>
        <w:tc>
          <w:tcPr>
            <w:tcW w:w="613" w:type="dxa"/>
            <w:tcBorders>
              <w:top w:val="nil"/>
              <w:left w:val="nil"/>
              <w:bottom w:val="single" w:sz="4" w:space="0" w:color="auto"/>
              <w:right w:val="single" w:sz="4" w:space="0" w:color="auto"/>
            </w:tcBorders>
            <w:shd w:val="clear" w:color="auto" w:fill="auto"/>
            <w:noWrap/>
            <w:vAlign w:val="center"/>
            <w:hideMark/>
          </w:tcPr>
          <w:p w14:paraId="4D137593"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15.0</w:t>
            </w:r>
          </w:p>
        </w:tc>
      </w:tr>
      <w:tr w:rsidR="009C313D" w:rsidRPr="006F347B" w14:paraId="4F0AC021"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5430EF44"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Japan</w:t>
            </w:r>
          </w:p>
        </w:tc>
        <w:tc>
          <w:tcPr>
            <w:tcW w:w="2589" w:type="dxa"/>
            <w:tcBorders>
              <w:top w:val="nil"/>
              <w:left w:val="nil"/>
              <w:bottom w:val="single" w:sz="4" w:space="0" w:color="auto"/>
              <w:right w:val="single" w:sz="4" w:space="0" w:color="auto"/>
            </w:tcBorders>
            <w:shd w:val="clear" w:color="000000" w:fill="D9E1F2"/>
            <w:noWrap/>
            <w:vAlign w:val="center"/>
            <w:hideMark/>
          </w:tcPr>
          <w:p w14:paraId="7457F6B7"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NIKKEI 225</w:t>
            </w:r>
          </w:p>
        </w:tc>
        <w:tc>
          <w:tcPr>
            <w:tcW w:w="1080" w:type="dxa"/>
            <w:tcBorders>
              <w:top w:val="nil"/>
              <w:left w:val="nil"/>
              <w:bottom w:val="single" w:sz="4" w:space="0" w:color="auto"/>
              <w:right w:val="single" w:sz="4" w:space="0" w:color="auto"/>
            </w:tcBorders>
            <w:shd w:val="clear" w:color="auto" w:fill="auto"/>
            <w:noWrap/>
            <w:vAlign w:val="center"/>
            <w:hideMark/>
          </w:tcPr>
          <w:p w14:paraId="6DA0C3B6"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24120.0</w:t>
            </w:r>
          </w:p>
        </w:tc>
        <w:tc>
          <w:tcPr>
            <w:tcW w:w="810" w:type="dxa"/>
            <w:tcBorders>
              <w:top w:val="nil"/>
              <w:left w:val="nil"/>
              <w:bottom w:val="single" w:sz="4" w:space="0" w:color="auto"/>
              <w:right w:val="single" w:sz="4" w:space="0" w:color="auto"/>
            </w:tcBorders>
            <w:shd w:val="clear" w:color="auto" w:fill="auto"/>
            <w:noWrap/>
            <w:vAlign w:val="center"/>
            <w:hideMark/>
          </w:tcPr>
          <w:p w14:paraId="4B81196C"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22865.2</w:t>
            </w:r>
          </w:p>
        </w:tc>
        <w:tc>
          <w:tcPr>
            <w:tcW w:w="858" w:type="dxa"/>
            <w:tcBorders>
              <w:top w:val="nil"/>
              <w:left w:val="nil"/>
              <w:bottom w:val="single" w:sz="4" w:space="0" w:color="auto"/>
              <w:right w:val="single" w:sz="4" w:space="0" w:color="auto"/>
            </w:tcBorders>
            <w:shd w:val="clear" w:color="auto" w:fill="auto"/>
            <w:noWrap/>
            <w:vAlign w:val="center"/>
            <w:hideMark/>
          </w:tcPr>
          <w:p w14:paraId="32B92B43"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22304.5</w:t>
            </w:r>
          </w:p>
        </w:tc>
        <w:tc>
          <w:tcPr>
            <w:tcW w:w="810" w:type="dxa"/>
            <w:tcBorders>
              <w:top w:val="nil"/>
              <w:left w:val="nil"/>
              <w:bottom w:val="single" w:sz="4" w:space="0" w:color="auto"/>
              <w:right w:val="single" w:sz="4" w:space="0" w:color="auto"/>
            </w:tcBorders>
            <w:shd w:val="clear" w:color="auto" w:fill="auto"/>
            <w:noWrap/>
            <w:vAlign w:val="center"/>
            <w:hideMark/>
          </w:tcPr>
          <w:p w14:paraId="04BD79D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21454.3</w:t>
            </w:r>
          </w:p>
        </w:tc>
        <w:tc>
          <w:tcPr>
            <w:tcW w:w="715" w:type="dxa"/>
            <w:tcBorders>
              <w:top w:val="nil"/>
              <w:left w:val="nil"/>
              <w:bottom w:val="single" w:sz="4" w:space="0" w:color="auto"/>
              <w:right w:val="single" w:sz="4" w:space="0" w:color="auto"/>
            </w:tcBorders>
            <w:shd w:val="clear" w:color="auto" w:fill="auto"/>
            <w:noWrap/>
            <w:vAlign w:val="center"/>
            <w:hideMark/>
          </w:tcPr>
          <w:p w14:paraId="73F6FD8C"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20356.3</w:t>
            </w:r>
          </w:p>
        </w:tc>
        <w:tc>
          <w:tcPr>
            <w:tcW w:w="987" w:type="dxa"/>
            <w:tcBorders>
              <w:top w:val="nil"/>
              <w:left w:val="nil"/>
              <w:bottom w:val="single" w:sz="4" w:space="0" w:color="auto"/>
              <w:right w:val="single" w:sz="4" w:space="0" w:color="auto"/>
            </w:tcBorders>
            <w:shd w:val="clear" w:color="auto" w:fill="auto"/>
            <w:noWrap/>
            <w:vAlign w:val="center"/>
            <w:hideMark/>
          </w:tcPr>
          <w:p w14:paraId="6569CDA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14.9</w:t>
            </w:r>
          </w:p>
        </w:tc>
        <w:tc>
          <w:tcPr>
            <w:tcW w:w="613" w:type="dxa"/>
            <w:tcBorders>
              <w:top w:val="nil"/>
              <w:left w:val="nil"/>
              <w:bottom w:val="single" w:sz="4" w:space="0" w:color="auto"/>
              <w:right w:val="single" w:sz="4" w:space="0" w:color="auto"/>
            </w:tcBorders>
            <w:shd w:val="clear" w:color="auto" w:fill="auto"/>
            <w:noWrap/>
            <w:vAlign w:val="center"/>
            <w:hideMark/>
          </w:tcPr>
          <w:p w14:paraId="2703922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29.0</w:t>
            </w:r>
          </w:p>
        </w:tc>
      </w:tr>
      <w:tr w:rsidR="009C313D" w:rsidRPr="006F347B" w14:paraId="73B86CFE"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6A798349"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Singapore</w:t>
            </w:r>
          </w:p>
        </w:tc>
        <w:tc>
          <w:tcPr>
            <w:tcW w:w="2589" w:type="dxa"/>
            <w:tcBorders>
              <w:top w:val="nil"/>
              <w:left w:val="nil"/>
              <w:bottom w:val="single" w:sz="4" w:space="0" w:color="auto"/>
              <w:right w:val="single" w:sz="4" w:space="0" w:color="auto"/>
            </w:tcBorders>
            <w:shd w:val="clear" w:color="000000" w:fill="D9E1F2"/>
            <w:noWrap/>
            <w:vAlign w:val="center"/>
            <w:hideMark/>
          </w:tcPr>
          <w:p w14:paraId="52AE646E"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Straits Times Index STI</w:t>
            </w:r>
          </w:p>
        </w:tc>
        <w:tc>
          <w:tcPr>
            <w:tcW w:w="1080" w:type="dxa"/>
            <w:tcBorders>
              <w:top w:val="nil"/>
              <w:left w:val="nil"/>
              <w:bottom w:val="single" w:sz="4" w:space="0" w:color="auto"/>
              <w:right w:val="single" w:sz="4" w:space="0" w:color="auto"/>
            </w:tcBorders>
            <w:shd w:val="clear" w:color="auto" w:fill="auto"/>
            <w:noWrap/>
            <w:vAlign w:val="center"/>
            <w:hideMark/>
          </w:tcPr>
          <w:p w14:paraId="074FB2CC"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3257.1</w:t>
            </w:r>
          </w:p>
        </w:tc>
        <w:tc>
          <w:tcPr>
            <w:tcW w:w="810" w:type="dxa"/>
            <w:tcBorders>
              <w:top w:val="nil"/>
              <w:left w:val="nil"/>
              <w:bottom w:val="single" w:sz="4" w:space="0" w:color="auto"/>
              <w:right w:val="single" w:sz="4" w:space="0" w:color="auto"/>
            </w:tcBorders>
            <w:shd w:val="clear" w:color="auto" w:fill="auto"/>
            <w:noWrap/>
            <w:vAlign w:val="center"/>
            <w:hideMark/>
          </w:tcPr>
          <w:p w14:paraId="178ADFA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3213.5</w:t>
            </w:r>
          </w:p>
        </w:tc>
        <w:tc>
          <w:tcPr>
            <w:tcW w:w="858" w:type="dxa"/>
            <w:tcBorders>
              <w:top w:val="nil"/>
              <w:left w:val="nil"/>
              <w:bottom w:val="single" w:sz="4" w:space="0" w:color="auto"/>
              <w:right w:val="single" w:sz="4" w:space="0" w:color="auto"/>
            </w:tcBorders>
            <w:shd w:val="clear" w:color="auto" w:fill="auto"/>
            <w:noWrap/>
            <w:vAlign w:val="center"/>
            <w:hideMark/>
          </w:tcPr>
          <w:p w14:paraId="45B1DAB6"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3268.7</w:t>
            </w:r>
          </w:p>
        </w:tc>
        <w:tc>
          <w:tcPr>
            <w:tcW w:w="810" w:type="dxa"/>
            <w:tcBorders>
              <w:top w:val="nil"/>
              <w:left w:val="nil"/>
              <w:bottom w:val="single" w:sz="4" w:space="0" w:color="auto"/>
              <w:right w:val="single" w:sz="4" w:space="0" w:color="auto"/>
            </w:tcBorders>
            <w:shd w:val="clear" w:color="auto" w:fill="auto"/>
            <w:noWrap/>
            <w:vAlign w:val="center"/>
            <w:hideMark/>
          </w:tcPr>
          <w:p w14:paraId="53204CEF"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3428.0</w:t>
            </w:r>
          </w:p>
        </w:tc>
        <w:tc>
          <w:tcPr>
            <w:tcW w:w="715" w:type="dxa"/>
            <w:tcBorders>
              <w:top w:val="nil"/>
              <w:left w:val="nil"/>
              <w:bottom w:val="single" w:sz="4" w:space="0" w:color="auto"/>
              <w:right w:val="single" w:sz="4" w:space="0" w:color="auto"/>
            </w:tcBorders>
            <w:shd w:val="clear" w:color="auto" w:fill="auto"/>
            <w:noWrap/>
            <w:vAlign w:val="center"/>
            <w:hideMark/>
          </w:tcPr>
          <w:p w14:paraId="19345E5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3219.9</w:t>
            </w:r>
          </w:p>
        </w:tc>
        <w:tc>
          <w:tcPr>
            <w:tcW w:w="987" w:type="dxa"/>
            <w:tcBorders>
              <w:top w:val="nil"/>
              <w:left w:val="nil"/>
              <w:bottom w:val="single" w:sz="4" w:space="0" w:color="auto"/>
              <w:right w:val="single" w:sz="4" w:space="0" w:color="auto"/>
            </w:tcBorders>
            <w:shd w:val="clear" w:color="auto" w:fill="auto"/>
            <w:noWrap/>
            <w:vAlign w:val="center"/>
            <w:hideMark/>
          </w:tcPr>
          <w:p w14:paraId="09141091"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11.3</w:t>
            </w:r>
          </w:p>
        </w:tc>
        <w:tc>
          <w:tcPr>
            <w:tcW w:w="613" w:type="dxa"/>
            <w:tcBorders>
              <w:top w:val="nil"/>
              <w:left w:val="nil"/>
              <w:bottom w:val="single" w:sz="4" w:space="0" w:color="auto"/>
              <w:right w:val="single" w:sz="4" w:space="0" w:color="auto"/>
            </w:tcBorders>
            <w:shd w:val="clear" w:color="auto" w:fill="auto"/>
            <w:noWrap/>
            <w:vAlign w:val="center"/>
            <w:hideMark/>
          </w:tcPr>
          <w:p w14:paraId="61CC3FCC"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11.6</w:t>
            </w:r>
          </w:p>
        </w:tc>
      </w:tr>
      <w:tr w:rsidR="009C313D" w:rsidRPr="006F347B" w14:paraId="5B4286A2" w14:textId="77777777" w:rsidTr="00560A50">
        <w:trPr>
          <w:trHeight w:val="134"/>
          <w:jc w:val="center"/>
        </w:trPr>
        <w:tc>
          <w:tcPr>
            <w:tcW w:w="1096" w:type="dxa"/>
            <w:tcBorders>
              <w:top w:val="nil"/>
              <w:left w:val="single" w:sz="4" w:space="0" w:color="auto"/>
              <w:bottom w:val="single" w:sz="4" w:space="0" w:color="auto"/>
              <w:right w:val="single" w:sz="4" w:space="0" w:color="auto"/>
            </w:tcBorders>
            <w:shd w:val="clear" w:color="000000" w:fill="D9E1F2"/>
            <w:noWrap/>
            <w:vAlign w:val="center"/>
            <w:hideMark/>
          </w:tcPr>
          <w:p w14:paraId="053A3E18"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Taiwan</w:t>
            </w:r>
          </w:p>
        </w:tc>
        <w:tc>
          <w:tcPr>
            <w:tcW w:w="2589" w:type="dxa"/>
            <w:tcBorders>
              <w:top w:val="nil"/>
              <w:left w:val="nil"/>
              <w:bottom w:val="single" w:sz="4" w:space="0" w:color="auto"/>
              <w:right w:val="single" w:sz="4" w:space="0" w:color="auto"/>
            </w:tcBorders>
            <w:shd w:val="clear" w:color="000000" w:fill="D9E1F2"/>
            <w:noWrap/>
            <w:vAlign w:val="center"/>
            <w:hideMark/>
          </w:tcPr>
          <w:p w14:paraId="266CCEE6" w14:textId="77777777" w:rsidR="009C313D" w:rsidRPr="00794384" w:rsidRDefault="009C313D" w:rsidP="00560A50">
            <w:pPr>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TAIWAN TAIEX INDEX</w:t>
            </w:r>
          </w:p>
        </w:tc>
        <w:tc>
          <w:tcPr>
            <w:tcW w:w="1080" w:type="dxa"/>
            <w:tcBorders>
              <w:top w:val="nil"/>
              <w:left w:val="nil"/>
              <w:bottom w:val="single" w:sz="4" w:space="0" w:color="auto"/>
              <w:right w:val="single" w:sz="4" w:space="0" w:color="auto"/>
            </w:tcBorders>
            <w:shd w:val="clear" w:color="auto" w:fill="auto"/>
            <w:noWrap/>
            <w:vAlign w:val="center"/>
            <w:hideMark/>
          </w:tcPr>
          <w:p w14:paraId="374A1F87"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11006.3</w:t>
            </w:r>
          </w:p>
        </w:tc>
        <w:tc>
          <w:tcPr>
            <w:tcW w:w="810" w:type="dxa"/>
            <w:tcBorders>
              <w:top w:val="nil"/>
              <w:left w:val="nil"/>
              <w:bottom w:val="single" w:sz="4" w:space="0" w:color="auto"/>
              <w:right w:val="single" w:sz="4" w:space="0" w:color="auto"/>
            </w:tcBorders>
            <w:shd w:val="clear" w:color="auto" w:fill="auto"/>
            <w:noWrap/>
            <w:vAlign w:val="center"/>
            <w:hideMark/>
          </w:tcPr>
          <w:p w14:paraId="31A84CF2"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11063.9</w:t>
            </w:r>
          </w:p>
        </w:tc>
        <w:tc>
          <w:tcPr>
            <w:tcW w:w="858" w:type="dxa"/>
            <w:tcBorders>
              <w:top w:val="nil"/>
              <w:left w:val="nil"/>
              <w:bottom w:val="single" w:sz="4" w:space="0" w:color="auto"/>
              <w:right w:val="single" w:sz="4" w:space="0" w:color="auto"/>
            </w:tcBorders>
            <w:shd w:val="clear" w:color="auto" w:fill="auto"/>
            <w:noWrap/>
            <w:vAlign w:val="center"/>
            <w:hideMark/>
          </w:tcPr>
          <w:p w14:paraId="209C9DA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10836.9</w:t>
            </w:r>
          </w:p>
        </w:tc>
        <w:tc>
          <w:tcPr>
            <w:tcW w:w="810" w:type="dxa"/>
            <w:tcBorders>
              <w:top w:val="nil"/>
              <w:left w:val="nil"/>
              <w:bottom w:val="single" w:sz="4" w:space="0" w:color="auto"/>
              <w:right w:val="single" w:sz="4" w:space="0" w:color="auto"/>
            </w:tcBorders>
            <w:shd w:val="clear" w:color="auto" w:fill="auto"/>
            <w:noWrap/>
            <w:vAlign w:val="center"/>
            <w:hideMark/>
          </w:tcPr>
          <w:p w14:paraId="33590349"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10919.5</w:t>
            </w:r>
          </w:p>
        </w:tc>
        <w:tc>
          <w:tcPr>
            <w:tcW w:w="715" w:type="dxa"/>
            <w:tcBorders>
              <w:top w:val="nil"/>
              <w:left w:val="nil"/>
              <w:bottom w:val="single" w:sz="4" w:space="0" w:color="auto"/>
              <w:right w:val="single" w:sz="4" w:space="0" w:color="auto"/>
            </w:tcBorders>
            <w:shd w:val="clear" w:color="auto" w:fill="auto"/>
            <w:noWrap/>
            <w:vAlign w:val="center"/>
            <w:hideMark/>
          </w:tcPr>
          <w:p w14:paraId="78DFC568"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10383.9</w:t>
            </w:r>
          </w:p>
        </w:tc>
        <w:tc>
          <w:tcPr>
            <w:tcW w:w="987" w:type="dxa"/>
            <w:tcBorders>
              <w:top w:val="nil"/>
              <w:left w:val="nil"/>
              <w:bottom w:val="single" w:sz="4" w:space="0" w:color="auto"/>
              <w:right w:val="single" w:sz="4" w:space="0" w:color="auto"/>
            </w:tcBorders>
            <w:shd w:val="clear" w:color="auto" w:fill="auto"/>
            <w:noWrap/>
            <w:vAlign w:val="center"/>
            <w:hideMark/>
          </w:tcPr>
          <w:p w14:paraId="3BA52855"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11.8</w:t>
            </w:r>
          </w:p>
        </w:tc>
        <w:tc>
          <w:tcPr>
            <w:tcW w:w="613" w:type="dxa"/>
            <w:tcBorders>
              <w:top w:val="nil"/>
              <w:left w:val="nil"/>
              <w:bottom w:val="single" w:sz="4" w:space="0" w:color="auto"/>
              <w:right w:val="single" w:sz="4" w:space="0" w:color="auto"/>
            </w:tcBorders>
            <w:shd w:val="clear" w:color="auto" w:fill="auto"/>
            <w:noWrap/>
            <w:vAlign w:val="center"/>
            <w:hideMark/>
          </w:tcPr>
          <w:p w14:paraId="4A0920F7" w14:textId="77777777" w:rsidR="009C313D" w:rsidRPr="00794384" w:rsidRDefault="009C313D" w:rsidP="00560A50">
            <w:pPr>
              <w:jc w:val="right"/>
              <w:rPr>
                <w:rFonts w:ascii="Garamond" w:eastAsia="Times New Roman" w:hAnsi="Garamond" w:cs="Calibri"/>
                <w:sz w:val="18"/>
                <w:szCs w:val="18"/>
                <w:lang w:eastAsia="en-GB"/>
              </w:rPr>
            </w:pPr>
            <w:r w:rsidRPr="00794384">
              <w:rPr>
                <w:rFonts w:ascii="Garamond" w:eastAsia="Times New Roman" w:hAnsi="Garamond" w:cs="Calibri"/>
                <w:sz w:val="18"/>
                <w:szCs w:val="18"/>
                <w:lang w:eastAsia="en-GB"/>
              </w:rPr>
              <w:t>15.2</w:t>
            </w:r>
          </w:p>
        </w:tc>
      </w:tr>
    </w:tbl>
    <w:p w14:paraId="2233EC11" w14:textId="77777777" w:rsidR="009C313D" w:rsidRPr="006F347B" w:rsidRDefault="009C313D" w:rsidP="009C313D">
      <w:pPr>
        <w:pStyle w:val="NormalWeb"/>
        <w:spacing w:after="0"/>
        <w:jc w:val="both"/>
        <w:rPr>
          <w:rFonts w:ascii="Garamond" w:hAnsi="Garamond" w:cs="Arial"/>
          <w:sz w:val="20"/>
          <w:szCs w:val="26"/>
        </w:rPr>
      </w:pPr>
      <w:r w:rsidRPr="006F347B">
        <w:rPr>
          <w:rFonts w:ascii="Garamond" w:hAnsi="Garamond" w:cs="Arial"/>
          <w:b/>
          <w:bCs/>
          <w:sz w:val="20"/>
          <w:szCs w:val="26"/>
        </w:rPr>
        <w:t xml:space="preserve"> Source:</w:t>
      </w:r>
      <w:r w:rsidRPr="006F347B">
        <w:rPr>
          <w:rFonts w:ascii="Garamond" w:hAnsi="Garamond" w:cs="Arial"/>
          <w:sz w:val="20"/>
          <w:szCs w:val="26"/>
        </w:rPr>
        <w:t xml:space="preserve"> Bloomberg</w:t>
      </w:r>
    </w:p>
    <w:p w14:paraId="3CF3FB47" w14:textId="77777777" w:rsidR="009C313D" w:rsidRDefault="009C313D" w:rsidP="009C313D">
      <w:pPr>
        <w:pStyle w:val="NormalWeb"/>
        <w:spacing w:after="0"/>
        <w:jc w:val="both"/>
        <w:rPr>
          <w:rFonts w:ascii="Garamond" w:hAnsi="Garamond" w:cs="Arial"/>
        </w:rPr>
      </w:pPr>
    </w:p>
    <w:p w14:paraId="76FBA7FC" w14:textId="77777777" w:rsidR="009C313D" w:rsidRDefault="009C313D" w:rsidP="009C313D">
      <w:pPr>
        <w:pStyle w:val="NormalWeb"/>
        <w:spacing w:after="0"/>
        <w:jc w:val="both"/>
        <w:rPr>
          <w:rFonts w:ascii="Garamond" w:hAnsi="Garamond" w:cs="Arial"/>
        </w:rPr>
      </w:pPr>
    </w:p>
    <w:p w14:paraId="46798AC8" w14:textId="77777777" w:rsidR="009C313D" w:rsidRPr="00320F3F" w:rsidRDefault="009C313D" w:rsidP="009C313D">
      <w:pPr>
        <w:pStyle w:val="NormalWeb"/>
        <w:spacing w:after="0"/>
        <w:jc w:val="both"/>
        <w:rPr>
          <w:rFonts w:ascii="Garamond" w:hAnsi="Garamond" w:cs="Arial"/>
          <w:b/>
        </w:rPr>
      </w:pPr>
      <w:r w:rsidRPr="00320F3F">
        <w:rPr>
          <w:rFonts w:ascii="Garamond" w:hAnsi="Garamond" w:cs="Arial"/>
          <w:b/>
        </w:rPr>
        <w:t>Chart 1: Stock Market Trend</w:t>
      </w:r>
      <w:r>
        <w:rPr>
          <w:rFonts w:ascii="Garamond" w:hAnsi="Garamond" w:cs="Arial"/>
          <w:b/>
        </w:rPr>
        <w:t>s</w:t>
      </w:r>
      <w:r w:rsidRPr="00320F3F">
        <w:rPr>
          <w:rFonts w:ascii="Garamond" w:hAnsi="Garamond" w:cs="Arial"/>
          <w:b/>
        </w:rPr>
        <w:t xml:space="preserve"> in Select Developed Markets</w:t>
      </w:r>
    </w:p>
    <w:p w14:paraId="3FCDFA7E" w14:textId="77777777" w:rsidR="009C313D" w:rsidRPr="001500B3" w:rsidRDefault="009C313D" w:rsidP="009C313D">
      <w:pPr>
        <w:pStyle w:val="NormalWeb"/>
        <w:spacing w:after="0"/>
        <w:jc w:val="both"/>
        <w:rPr>
          <w:rFonts w:ascii="Garamond" w:hAnsi="Garamond" w:cs="Arial"/>
          <w:b/>
          <w:color w:val="0000FF"/>
        </w:rPr>
      </w:pPr>
    </w:p>
    <w:p w14:paraId="5C0F7EED" w14:textId="77777777" w:rsidR="009C313D" w:rsidRPr="001500B3" w:rsidRDefault="009C313D" w:rsidP="009C313D">
      <w:pPr>
        <w:pStyle w:val="NormalWeb"/>
        <w:spacing w:after="0"/>
        <w:jc w:val="both"/>
        <w:rPr>
          <w:rFonts w:ascii="Garamond" w:hAnsi="Garamond" w:cs="Arial"/>
          <w:color w:val="0000FF"/>
        </w:rPr>
      </w:pPr>
      <w:r>
        <w:rPr>
          <w:noProof/>
          <w:lang w:val="en-IN" w:eastAsia="en-IN"/>
        </w:rPr>
        <w:drawing>
          <wp:inline distT="0" distB="0" distL="0" distR="0" wp14:anchorId="0E89419D" wp14:editId="42A6D2F1">
            <wp:extent cx="5731510" cy="3367889"/>
            <wp:effectExtent l="0" t="0" r="889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9852B0E" w14:textId="77777777" w:rsidR="009C313D" w:rsidRPr="00320F3F" w:rsidRDefault="009C313D" w:rsidP="009C313D">
      <w:pPr>
        <w:rPr>
          <w:rFonts w:ascii="Garamond" w:hAnsi="Garamond"/>
          <w:b/>
          <w:sz w:val="20"/>
        </w:rPr>
      </w:pPr>
    </w:p>
    <w:p w14:paraId="64D19392" w14:textId="77777777" w:rsidR="009C313D" w:rsidRPr="00320F3F" w:rsidRDefault="009C313D" w:rsidP="009C313D">
      <w:pPr>
        <w:rPr>
          <w:rFonts w:ascii="Garamond" w:hAnsi="Garamond"/>
          <w:sz w:val="20"/>
        </w:rPr>
      </w:pPr>
      <w:r w:rsidRPr="00320F3F">
        <w:rPr>
          <w:rFonts w:ascii="Garamond" w:hAnsi="Garamond"/>
          <w:b/>
          <w:sz w:val="20"/>
        </w:rPr>
        <w:t>Source:</w:t>
      </w:r>
      <w:r w:rsidRPr="00320F3F">
        <w:rPr>
          <w:rFonts w:ascii="Garamond" w:hAnsi="Garamond"/>
          <w:sz w:val="20"/>
        </w:rPr>
        <w:t xml:space="preserve"> Bloomberg</w:t>
      </w:r>
    </w:p>
    <w:p w14:paraId="57173FEC" w14:textId="77777777" w:rsidR="009C313D" w:rsidRPr="00320F3F" w:rsidRDefault="009C313D" w:rsidP="009C313D">
      <w:pPr>
        <w:jc w:val="both"/>
        <w:rPr>
          <w:rFonts w:ascii="Garamond" w:hAnsi="Garamond"/>
          <w:sz w:val="20"/>
        </w:rPr>
      </w:pPr>
      <w:r w:rsidRPr="00320F3F">
        <w:rPr>
          <w:rFonts w:ascii="Garamond" w:hAnsi="Garamond"/>
          <w:b/>
          <w:sz w:val="20"/>
        </w:rPr>
        <w:t>Note:</w:t>
      </w:r>
      <w:r w:rsidRPr="00320F3F">
        <w:rPr>
          <w:rFonts w:ascii="Garamond" w:hAnsi="Garamond"/>
          <w:sz w:val="20"/>
        </w:rPr>
        <w:t xml:space="preserve"> All indices have been </w:t>
      </w:r>
      <w:r w:rsidRPr="00320F3F">
        <w:rPr>
          <w:rFonts w:ascii="Garamond" w:hAnsi="Garamond" w:cs="Arial"/>
          <w:sz w:val="20"/>
        </w:rPr>
        <w:t>normalised with base as March 31, 2018.</w:t>
      </w:r>
    </w:p>
    <w:p w14:paraId="332C21B1" w14:textId="77777777" w:rsidR="009C313D" w:rsidRPr="00320F3F" w:rsidRDefault="009C313D" w:rsidP="009C313D">
      <w:pPr>
        <w:pStyle w:val="NormalWeb"/>
        <w:spacing w:after="0"/>
        <w:jc w:val="both"/>
        <w:rPr>
          <w:rFonts w:ascii="Garamond" w:hAnsi="Garamond" w:cs="Arial"/>
          <w:b/>
        </w:rPr>
      </w:pPr>
      <w:r w:rsidRPr="00320F3F">
        <w:rPr>
          <w:rFonts w:ascii="Garamond" w:hAnsi="Garamond" w:cs="Arial"/>
          <w:b/>
        </w:rPr>
        <w:t>Chart 2: Stock Market Trend</w:t>
      </w:r>
      <w:r>
        <w:rPr>
          <w:rFonts w:ascii="Garamond" w:hAnsi="Garamond" w:cs="Arial"/>
          <w:b/>
        </w:rPr>
        <w:t>s</w:t>
      </w:r>
      <w:r w:rsidRPr="00320F3F">
        <w:rPr>
          <w:rFonts w:ascii="Garamond" w:hAnsi="Garamond" w:cs="Arial"/>
          <w:b/>
        </w:rPr>
        <w:t xml:space="preserve"> in Select Emerging Markets</w:t>
      </w:r>
    </w:p>
    <w:p w14:paraId="2F69D95C" w14:textId="77777777" w:rsidR="009C313D" w:rsidRPr="001500B3" w:rsidRDefault="009C313D" w:rsidP="009C313D">
      <w:pPr>
        <w:pStyle w:val="NormalWeb"/>
        <w:spacing w:after="0"/>
        <w:jc w:val="both"/>
        <w:rPr>
          <w:rFonts w:ascii="Garamond" w:hAnsi="Garamond" w:cs="Arial"/>
          <w:color w:val="0000FF"/>
        </w:rPr>
      </w:pPr>
      <w:r>
        <w:rPr>
          <w:noProof/>
          <w:lang w:val="en-IN" w:eastAsia="en-IN"/>
        </w:rPr>
        <w:drawing>
          <wp:inline distT="0" distB="0" distL="0" distR="0" wp14:anchorId="14F73627" wp14:editId="4506CA32">
            <wp:extent cx="5731510" cy="2886075"/>
            <wp:effectExtent l="0" t="0" r="254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A022528" w14:textId="77777777" w:rsidR="009C313D" w:rsidRPr="00320F3F" w:rsidRDefault="009C313D" w:rsidP="00C6763D">
      <w:pPr>
        <w:pStyle w:val="NormalWeb"/>
        <w:widowControl w:val="0"/>
        <w:spacing w:after="0" w:afterAutospacing="0"/>
        <w:jc w:val="both"/>
        <w:rPr>
          <w:rFonts w:ascii="Garamond" w:hAnsi="Garamond" w:cs="Arial"/>
          <w:sz w:val="20"/>
        </w:rPr>
      </w:pPr>
      <w:r w:rsidRPr="00320F3F">
        <w:rPr>
          <w:rFonts w:ascii="Garamond" w:hAnsi="Garamond" w:cs="Arial"/>
          <w:b/>
          <w:sz w:val="20"/>
        </w:rPr>
        <w:t>Source:</w:t>
      </w:r>
      <w:r w:rsidRPr="00320F3F">
        <w:rPr>
          <w:rFonts w:ascii="Garamond" w:hAnsi="Garamond" w:cs="Arial"/>
          <w:sz w:val="20"/>
        </w:rPr>
        <w:t xml:space="preserve"> Bloomberg</w:t>
      </w:r>
    </w:p>
    <w:p w14:paraId="2F584207" w14:textId="77777777" w:rsidR="009C313D" w:rsidRPr="00320F3F" w:rsidRDefault="009C313D" w:rsidP="00C6763D">
      <w:pPr>
        <w:widowControl w:val="0"/>
        <w:jc w:val="both"/>
        <w:rPr>
          <w:rFonts w:ascii="Garamond" w:hAnsi="Garamond"/>
          <w:sz w:val="20"/>
        </w:rPr>
      </w:pPr>
      <w:r w:rsidRPr="00320F3F">
        <w:rPr>
          <w:rFonts w:ascii="Garamond" w:hAnsi="Garamond"/>
          <w:b/>
          <w:sz w:val="20"/>
        </w:rPr>
        <w:t>Note:</w:t>
      </w:r>
      <w:r w:rsidRPr="00320F3F">
        <w:rPr>
          <w:rFonts w:ascii="Garamond" w:hAnsi="Garamond"/>
          <w:sz w:val="20"/>
        </w:rPr>
        <w:t xml:space="preserve"> All indices have been </w:t>
      </w:r>
      <w:r w:rsidRPr="00320F3F">
        <w:rPr>
          <w:rFonts w:ascii="Garamond" w:hAnsi="Garamond" w:cs="Arial"/>
          <w:sz w:val="20"/>
        </w:rPr>
        <w:t>normalised with base as March 31, 2018.</w:t>
      </w:r>
    </w:p>
    <w:p w14:paraId="67E9DFDB" w14:textId="77777777" w:rsidR="009C313D" w:rsidRPr="001500B3" w:rsidRDefault="009C313D" w:rsidP="009C313D">
      <w:pPr>
        <w:pStyle w:val="NormalWeb"/>
        <w:spacing w:after="0"/>
        <w:jc w:val="both"/>
        <w:rPr>
          <w:rFonts w:ascii="Garamond" w:hAnsi="Garamond" w:cs="Arial"/>
          <w:b/>
          <w:color w:val="0000FF"/>
        </w:rPr>
      </w:pPr>
    </w:p>
    <w:p w14:paraId="123DC22F" w14:textId="77777777" w:rsidR="009C313D" w:rsidRPr="004B5387" w:rsidRDefault="009C313D" w:rsidP="009C313D">
      <w:pPr>
        <w:pStyle w:val="NormalWeb"/>
        <w:spacing w:after="0"/>
        <w:jc w:val="both"/>
        <w:rPr>
          <w:rFonts w:ascii="Garamond" w:hAnsi="Garamond" w:cs="Arial"/>
          <w:b/>
        </w:rPr>
      </w:pPr>
      <w:r w:rsidRPr="004B5387">
        <w:rPr>
          <w:rFonts w:ascii="Garamond" w:hAnsi="Garamond" w:cs="Arial"/>
          <w:b/>
        </w:rPr>
        <w:t>Fund Mobilisation by Issuance of Equity and Bond:</w:t>
      </w:r>
    </w:p>
    <w:p w14:paraId="06BAFC19" w14:textId="77777777" w:rsidR="009C313D" w:rsidRPr="004B5387" w:rsidRDefault="009C313D" w:rsidP="009C313D">
      <w:pPr>
        <w:pStyle w:val="NormalWeb"/>
        <w:spacing w:after="0"/>
        <w:jc w:val="both"/>
        <w:rPr>
          <w:rFonts w:ascii="Garamond" w:hAnsi="Garamond" w:cs="Arial"/>
        </w:rPr>
      </w:pPr>
      <w:r w:rsidRPr="004B5387">
        <w:rPr>
          <w:rFonts w:ascii="Garamond" w:hAnsi="Garamond" w:cs="Arial"/>
        </w:rPr>
        <w:t xml:space="preserve">As per the data available from World Federation of Exchanges, during </w:t>
      </w:r>
      <w:r>
        <w:rPr>
          <w:rFonts w:ascii="Garamond" w:hAnsi="Garamond" w:cs="Arial"/>
        </w:rPr>
        <w:t>August</w:t>
      </w:r>
      <w:r w:rsidRPr="004B5387">
        <w:rPr>
          <w:rFonts w:ascii="Garamond" w:hAnsi="Garamond" w:cs="Arial"/>
        </w:rPr>
        <w:t xml:space="preserve"> 2018, US$ 42,441 million was mobilised through issuance of equity and bonds at Korea Exchange followed by Deutsche Börse AG of Germany (US$ 31,922 million) and Singapore Exchange (US$ 23,633 million). </w:t>
      </w:r>
    </w:p>
    <w:p w14:paraId="3B78D363" w14:textId="77777777" w:rsidR="009C313D" w:rsidRPr="004B5387" w:rsidRDefault="009C313D" w:rsidP="009C313D">
      <w:pPr>
        <w:pStyle w:val="NormalWeb"/>
        <w:spacing w:after="0"/>
        <w:jc w:val="both"/>
        <w:rPr>
          <w:rFonts w:ascii="Garamond" w:hAnsi="Garamond" w:cs="Arial"/>
        </w:rPr>
      </w:pPr>
      <w:r w:rsidRPr="004B5387">
        <w:rPr>
          <w:rFonts w:ascii="Garamond" w:hAnsi="Garamond" w:cs="Arial"/>
        </w:rPr>
        <w:t xml:space="preserve">Among the BRICS nations, a total of US$ 20,113 million was mobilised through issuance of equity shares and bonds in National Stock Exchange of India Limited </w:t>
      </w:r>
      <w:r>
        <w:rPr>
          <w:rFonts w:ascii="Garamond" w:hAnsi="Garamond" w:cs="Arial"/>
        </w:rPr>
        <w:t xml:space="preserve">(US$ 20,113 million) </w:t>
      </w:r>
      <w:r w:rsidRPr="004B5387">
        <w:rPr>
          <w:rFonts w:ascii="Garamond" w:hAnsi="Garamond" w:cs="Arial"/>
        </w:rPr>
        <w:t>followed by Shanghai Stock Exchange (US$ 11,762 million) and Shenzhen Stock Exchange (US$ 6,778 million) (Table A2).</w:t>
      </w:r>
    </w:p>
    <w:p w14:paraId="3155E9FD" w14:textId="421DAB32" w:rsidR="009C313D" w:rsidRPr="0083362F" w:rsidRDefault="009C313D" w:rsidP="00C6763D">
      <w:pPr>
        <w:pStyle w:val="NormalWeb"/>
        <w:spacing w:after="0"/>
        <w:jc w:val="both"/>
        <w:rPr>
          <w:rFonts w:ascii="Garamond" w:hAnsi="Garamond" w:cs="Arial"/>
          <w:sz w:val="20"/>
          <w:szCs w:val="20"/>
        </w:rPr>
      </w:pPr>
      <w:r w:rsidRPr="0083362F">
        <w:rPr>
          <w:rFonts w:ascii="Garamond" w:hAnsi="Garamond" w:cs="Arial"/>
          <w:b/>
        </w:rPr>
        <w:t>Table A2: Fund Mobilisation by Issuance of Equity and Bond in Major Exchanges</w:t>
      </w:r>
      <w:r w:rsidR="00C6763D">
        <w:rPr>
          <w:rFonts w:ascii="Garamond" w:hAnsi="Garamond" w:cs="Arial"/>
          <w:b/>
        </w:rPr>
        <w:t xml:space="preserve"> </w:t>
      </w:r>
      <w:r w:rsidRPr="0083362F">
        <w:rPr>
          <w:rFonts w:ascii="Garamond" w:hAnsi="Garamond" w:cs="Arial"/>
          <w:sz w:val="20"/>
          <w:szCs w:val="20"/>
        </w:rPr>
        <w:t>(US$ Million)</w:t>
      </w:r>
    </w:p>
    <w:tbl>
      <w:tblPr>
        <w:tblW w:w="9540" w:type="dxa"/>
        <w:jc w:val="center"/>
        <w:tblLayout w:type="fixed"/>
        <w:tblCellMar>
          <w:left w:w="58" w:type="dxa"/>
          <w:right w:w="58" w:type="dxa"/>
        </w:tblCellMar>
        <w:tblLook w:val="04A0" w:firstRow="1" w:lastRow="0" w:firstColumn="1" w:lastColumn="0" w:noHBand="0" w:noVBand="1"/>
      </w:tblPr>
      <w:tblGrid>
        <w:gridCol w:w="270"/>
        <w:gridCol w:w="1080"/>
        <w:gridCol w:w="3150"/>
        <w:gridCol w:w="810"/>
        <w:gridCol w:w="866"/>
        <w:gridCol w:w="844"/>
        <w:gridCol w:w="824"/>
        <w:gridCol w:w="900"/>
        <w:gridCol w:w="796"/>
      </w:tblGrid>
      <w:tr w:rsidR="009C313D" w:rsidRPr="005B7A8D" w14:paraId="38E50593" w14:textId="77777777" w:rsidTr="00560A50">
        <w:trPr>
          <w:trHeight w:val="64"/>
          <w:jc w:val="center"/>
        </w:trPr>
        <w:tc>
          <w:tcPr>
            <w:tcW w:w="270" w:type="dxa"/>
            <w:tcBorders>
              <w:top w:val="nil"/>
              <w:left w:val="nil"/>
              <w:bottom w:val="nil"/>
              <w:right w:val="nil"/>
            </w:tcBorders>
            <w:shd w:val="clear" w:color="auto" w:fill="auto"/>
            <w:vAlign w:val="center"/>
            <w:hideMark/>
          </w:tcPr>
          <w:p w14:paraId="47FE6E4B" w14:textId="77777777" w:rsidR="009C313D" w:rsidRPr="005B7A8D" w:rsidRDefault="009C313D" w:rsidP="00560A50">
            <w:pPr>
              <w:rPr>
                <w:rFonts w:ascii="Times New Roman" w:eastAsia="Times New Roman" w:hAnsi="Times New Roman"/>
                <w:sz w:val="18"/>
                <w:szCs w:val="18"/>
                <w:lang w:eastAsia="en-GB"/>
              </w:rPr>
            </w:pPr>
          </w:p>
        </w:tc>
        <w:tc>
          <w:tcPr>
            <w:tcW w:w="1080" w:type="dxa"/>
            <w:vMerge w:val="restart"/>
            <w:tcBorders>
              <w:top w:val="single" w:sz="4" w:space="0" w:color="auto"/>
              <w:left w:val="single" w:sz="4" w:space="0" w:color="auto"/>
              <w:bottom w:val="single" w:sz="4" w:space="0" w:color="000000"/>
              <w:right w:val="nil"/>
            </w:tcBorders>
            <w:shd w:val="clear" w:color="000000" w:fill="B4C6E7"/>
            <w:vAlign w:val="center"/>
            <w:hideMark/>
          </w:tcPr>
          <w:p w14:paraId="06DA15DB"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Country</w:t>
            </w:r>
          </w:p>
        </w:tc>
        <w:tc>
          <w:tcPr>
            <w:tcW w:w="3150" w:type="dxa"/>
            <w:vMerge w:val="restart"/>
            <w:tcBorders>
              <w:top w:val="single" w:sz="4" w:space="0" w:color="auto"/>
              <w:left w:val="single" w:sz="4" w:space="0" w:color="auto"/>
              <w:bottom w:val="single" w:sz="4" w:space="0" w:color="000000"/>
              <w:right w:val="nil"/>
            </w:tcBorders>
            <w:shd w:val="clear" w:color="000000" w:fill="B4C6E7"/>
            <w:vAlign w:val="center"/>
            <w:hideMark/>
          </w:tcPr>
          <w:p w14:paraId="77852788"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Exchange</w:t>
            </w:r>
          </w:p>
        </w:tc>
        <w:tc>
          <w:tcPr>
            <w:tcW w:w="2520" w:type="dxa"/>
            <w:gridSpan w:val="3"/>
            <w:tcBorders>
              <w:top w:val="single" w:sz="4" w:space="0" w:color="auto"/>
              <w:left w:val="single" w:sz="4" w:space="0" w:color="auto"/>
              <w:bottom w:val="single" w:sz="4" w:space="0" w:color="auto"/>
              <w:right w:val="single" w:sz="4" w:space="0" w:color="000000"/>
            </w:tcBorders>
            <w:shd w:val="clear" w:color="000000" w:fill="B4C6E7"/>
            <w:vAlign w:val="center"/>
            <w:hideMark/>
          </w:tcPr>
          <w:p w14:paraId="4A4A765B"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Jul-18</w:t>
            </w:r>
          </w:p>
        </w:tc>
        <w:tc>
          <w:tcPr>
            <w:tcW w:w="2520" w:type="dxa"/>
            <w:gridSpan w:val="3"/>
            <w:tcBorders>
              <w:top w:val="single" w:sz="4" w:space="0" w:color="auto"/>
              <w:left w:val="nil"/>
              <w:bottom w:val="single" w:sz="4" w:space="0" w:color="auto"/>
              <w:right w:val="single" w:sz="4" w:space="0" w:color="000000"/>
            </w:tcBorders>
            <w:shd w:val="clear" w:color="000000" w:fill="B4C6E7"/>
            <w:vAlign w:val="center"/>
            <w:hideMark/>
          </w:tcPr>
          <w:p w14:paraId="25AB54E8"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Aug-18</w:t>
            </w:r>
          </w:p>
        </w:tc>
      </w:tr>
      <w:tr w:rsidR="009C313D" w:rsidRPr="005B7A8D" w14:paraId="45FE3F36" w14:textId="77777777" w:rsidTr="00560A50">
        <w:trPr>
          <w:trHeight w:val="64"/>
          <w:jc w:val="center"/>
        </w:trPr>
        <w:tc>
          <w:tcPr>
            <w:tcW w:w="270" w:type="dxa"/>
            <w:tcBorders>
              <w:top w:val="nil"/>
              <w:left w:val="nil"/>
              <w:bottom w:val="nil"/>
              <w:right w:val="nil"/>
            </w:tcBorders>
            <w:shd w:val="clear" w:color="auto" w:fill="auto"/>
            <w:vAlign w:val="center"/>
            <w:hideMark/>
          </w:tcPr>
          <w:p w14:paraId="4513A235" w14:textId="77777777" w:rsidR="009C313D" w:rsidRPr="005B7A8D" w:rsidRDefault="009C313D" w:rsidP="00560A50">
            <w:pPr>
              <w:jc w:val="center"/>
              <w:rPr>
                <w:rFonts w:ascii="Garamond" w:eastAsia="Times New Roman" w:hAnsi="Garamond" w:cs="Calibri"/>
                <w:b/>
                <w:bCs/>
                <w:color w:val="000000"/>
                <w:sz w:val="18"/>
                <w:szCs w:val="18"/>
                <w:lang w:eastAsia="en-GB"/>
              </w:rPr>
            </w:pPr>
          </w:p>
        </w:tc>
        <w:tc>
          <w:tcPr>
            <w:tcW w:w="1080" w:type="dxa"/>
            <w:vMerge/>
            <w:tcBorders>
              <w:top w:val="single" w:sz="4" w:space="0" w:color="auto"/>
              <w:left w:val="single" w:sz="4" w:space="0" w:color="auto"/>
              <w:bottom w:val="single" w:sz="4" w:space="0" w:color="000000"/>
              <w:right w:val="nil"/>
            </w:tcBorders>
            <w:vAlign w:val="center"/>
            <w:hideMark/>
          </w:tcPr>
          <w:p w14:paraId="1D42A1E0" w14:textId="77777777" w:rsidR="009C313D" w:rsidRPr="005B7A8D" w:rsidRDefault="009C313D" w:rsidP="00560A50">
            <w:pPr>
              <w:rPr>
                <w:rFonts w:ascii="Garamond" w:eastAsia="Times New Roman" w:hAnsi="Garamond" w:cs="Calibri"/>
                <w:b/>
                <w:bCs/>
                <w:color w:val="000000"/>
                <w:sz w:val="18"/>
                <w:szCs w:val="18"/>
                <w:lang w:eastAsia="en-GB"/>
              </w:rPr>
            </w:pPr>
          </w:p>
        </w:tc>
        <w:tc>
          <w:tcPr>
            <w:tcW w:w="3150" w:type="dxa"/>
            <w:vMerge/>
            <w:tcBorders>
              <w:top w:val="single" w:sz="4" w:space="0" w:color="auto"/>
              <w:left w:val="single" w:sz="4" w:space="0" w:color="auto"/>
              <w:bottom w:val="single" w:sz="4" w:space="0" w:color="000000"/>
              <w:right w:val="nil"/>
            </w:tcBorders>
            <w:vAlign w:val="center"/>
            <w:hideMark/>
          </w:tcPr>
          <w:p w14:paraId="2048C0F4" w14:textId="77777777" w:rsidR="009C313D" w:rsidRPr="005B7A8D" w:rsidRDefault="009C313D" w:rsidP="00560A50">
            <w:pPr>
              <w:rPr>
                <w:rFonts w:ascii="Garamond" w:eastAsia="Times New Roman" w:hAnsi="Garamond" w:cs="Calibri"/>
                <w:b/>
                <w:bCs/>
                <w:color w:val="000000"/>
                <w:sz w:val="18"/>
                <w:szCs w:val="18"/>
                <w:lang w:eastAsia="en-GB"/>
              </w:rPr>
            </w:pPr>
          </w:p>
        </w:tc>
        <w:tc>
          <w:tcPr>
            <w:tcW w:w="810" w:type="dxa"/>
            <w:tcBorders>
              <w:top w:val="nil"/>
              <w:left w:val="single" w:sz="4" w:space="0" w:color="auto"/>
              <w:bottom w:val="single" w:sz="4" w:space="0" w:color="auto"/>
              <w:right w:val="nil"/>
            </w:tcBorders>
            <w:shd w:val="clear" w:color="000000" w:fill="B4C6E7"/>
            <w:vAlign w:val="center"/>
            <w:hideMark/>
          </w:tcPr>
          <w:p w14:paraId="221F1B6C"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Equity</w:t>
            </w:r>
          </w:p>
        </w:tc>
        <w:tc>
          <w:tcPr>
            <w:tcW w:w="866" w:type="dxa"/>
            <w:tcBorders>
              <w:top w:val="nil"/>
              <w:left w:val="single" w:sz="4" w:space="0" w:color="auto"/>
              <w:bottom w:val="single" w:sz="4" w:space="0" w:color="auto"/>
              <w:right w:val="single" w:sz="4" w:space="0" w:color="auto"/>
            </w:tcBorders>
            <w:shd w:val="clear" w:color="000000" w:fill="B4C6E7"/>
            <w:vAlign w:val="center"/>
            <w:hideMark/>
          </w:tcPr>
          <w:p w14:paraId="1E6BBC5A"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Bond</w:t>
            </w:r>
          </w:p>
        </w:tc>
        <w:tc>
          <w:tcPr>
            <w:tcW w:w="844" w:type="dxa"/>
            <w:tcBorders>
              <w:top w:val="nil"/>
              <w:left w:val="nil"/>
              <w:bottom w:val="single" w:sz="4" w:space="0" w:color="auto"/>
              <w:right w:val="single" w:sz="4" w:space="0" w:color="auto"/>
            </w:tcBorders>
            <w:shd w:val="clear" w:color="000000" w:fill="B4C6E7"/>
            <w:vAlign w:val="center"/>
            <w:hideMark/>
          </w:tcPr>
          <w:p w14:paraId="2625926D"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Total</w:t>
            </w:r>
          </w:p>
        </w:tc>
        <w:tc>
          <w:tcPr>
            <w:tcW w:w="824" w:type="dxa"/>
            <w:tcBorders>
              <w:top w:val="nil"/>
              <w:left w:val="nil"/>
              <w:bottom w:val="single" w:sz="4" w:space="0" w:color="auto"/>
              <w:right w:val="nil"/>
            </w:tcBorders>
            <w:shd w:val="clear" w:color="000000" w:fill="B4C6E7"/>
            <w:vAlign w:val="center"/>
            <w:hideMark/>
          </w:tcPr>
          <w:p w14:paraId="0A6F2F40"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Equity</w:t>
            </w:r>
          </w:p>
        </w:tc>
        <w:tc>
          <w:tcPr>
            <w:tcW w:w="900" w:type="dxa"/>
            <w:tcBorders>
              <w:top w:val="nil"/>
              <w:left w:val="single" w:sz="4" w:space="0" w:color="auto"/>
              <w:bottom w:val="single" w:sz="4" w:space="0" w:color="auto"/>
              <w:right w:val="single" w:sz="4" w:space="0" w:color="auto"/>
            </w:tcBorders>
            <w:shd w:val="clear" w:color="000000" w:fill="B4C6E7"/>
            <w:vAlign w:val="center"/>
            <w:hideMark/>
          </w:tcPr>
          <w:p w14:paraId="667460F2"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Bond</w:t>
            </w:r>
          </w:p>
        </w:tc>
        <w:tc>
          <w:tcPr>
            <w:tcW w:w="796" w:type="dxa"/>
            <w:tcBorders>
              <w:top w:val="nil"/>
              <w:left w:val="nil"/>
              <w:bottom w:val="single" w:sz="4" w:space="0" w:color="auto"/>
              <w:right w:val="single" w:sz="4" w:space="0" w:color="auto"/>
            </w:tcBorders>
            <w:shd w:val="clear" w:color="000000" w:fill="B4C6E7"/>
            <w:vAlign w:val="center"/>
            <w:hideMark/>
          </w:tcPr>
          <w:p w14:paraId="19B814AF" w14:textId="77777777" w:rsidR="009C313D" w:rsidRPr="005B7A8D" w:rsidRDefault="009C313D" w:rsidP="00560A50">
            <w:pPr>
              <w:jc w:val="center"/>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Total</w:t>
            </w:r>
          </w:p>
        </w:tc>
      </w:tr>
      <w:tr w:rsidR="009C313D" w:rsidRPr="005B7A8D" w14:paraId="3CAE16BC" w14:textId="77777777" w:rsidTr="00560A50">
        <w:trPr>
          <w:trHeight w:val="47"/>
          <w:jc w:val="center"/>
        </w:trPr>
        <w:tc>
          <w:tcPr>
            <w:tcW w:w="270" w:type="dxa"/>
            <w:vMerge w:val="restart"/>
            <w:tcBorders>
              <w:top w:val="single" w:sz="4" w:space="0" w:color="auto"/>
              <w:left w:val="single" w:sz="4" w:space="0" w:color="auto"/>
              <w:bottom w:val="single" w:sz="4" w:space="0" w:color="000000"/>
              <w:right w:val="nil"/>
            </w:tcBorders>
            <w:shd w:val="clear" w:color="000000" w:fill="D9E1F2"/>
            <w:textDirection w:val="btLr"/>
            <w:vAlign w:val="center"/>
            <w:hideMark/>
          </w:tcPr>
          <w:p w14:paraId="45CBD8F4" w14:textId="77777777" w:rsidR="009C313D" w:rsidRPr="005B7A8D" w:rsidRDefault="009C313D" w:rsidP="00560A50">
            <w:pPr>
              <w:jc w:val="cente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Developed Markets</w:t>
            </w:r>
          </w:p>
        </w:tc>
        <w:tc>
          <w:tcPr>
            <w:tcW w:w="1080" w:type="dxa"/>
            <w:tcBorders>
              <w:top w:val="nil"/>
              <w:left w:val="single" w:sz="4" w:space="0" w:color="auto"/>
              <w:bottom w:val="nil"/>
              <w:right w:val="single" w:sz="4" w:space="0" w:color="auto"/>
            </w:tcBorders>
            <w:shd w:val="clear" w:color="000000" w:fill="D9E1F2"/>
            <w:vAlign w:val="center"/>
            <w:hideMark/>
          </w:tcPr>
          <w:p w14:paraId="384ED66B"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USA</w:t>
            </w:r>
          </w:p>
        </w:tc>
        <w:tc>
          <w:tcPr>
            <w:tcW w:w="3150" w:type="dxa"/>
            <w:tcBorders>
              <w:top w:val="nil"/>
              <w:left w:val="nil"/>
              <w:bottom w:val="nil"/>
              <w:right w:val="single" w:sz="4" w:space="0" w:color="auto"/>
            </w:tcBorders>
            <w:shd w:val="clear" w:color="000000" w:fill="D9E1F2"/>
            <w:vAlign w:val="center"/>
            <w:hideMark/>
          </w:tcPr>
          <w:p w14:paraId="43848F2D"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Nasdaq - US</w:t>
            </w:r>
          </w:p>
        </w:tc>
        <w:tc>
          <w:tcPr>
            <w:tcW w:w="810" w:type="dxa"/>
            <w:tcBorders>
              <w:top w:val="nil"/>
              <w:left w:val="nil"/>
              <w:bottom w:val="nil"/>
              <w:right w:val="single" w:sz="4" w:space="0" w:color="auto"/>
            </w:tcBorders>
            <w:shd w:val="clear" w:color="auto" w:fill="auto"/>
            <w:vAlign w:val="center"/>
            <w:hideMark/>
          </w:tcPr>
          <w:p w14:paraId="4F75960D"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3,944.1 </w:t>
            </w:r>
          </w:p>
        </w:tc>
        <w:tc>
          <w:tcPr>
            <w:tcW w:w="866" w:type="dxa"/>
            <w:tcBorders>
              <w:top w:val="nil"/>
              <w:left w:val="nil"/>
              <w:bottom w:val="nil"/>
              <w:right w:val="single" w:sz="4" w:space="0" w:color="auto"/>
            </w:tcBorders>
            <w:shd w:val="clear" w:color="auto" w:fill="auto"/>
            <w:vAlign w:val="center"/>
            <w:hideMark/>
          </w:tcPr>
          <w:p w14:paraId="6D0A4F5B"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844" w:type="dxa"/>
            <w:tcBorders>
              <w:top w:val="nil"/>
              <w:left w:val="nil"/>
              <w:bottom w:val="nil"/>
              <w:right w:val="single" w:sz="4" w:space="0" w:color="auto"/>
            </w:tcBorders>
            <w:shd w:val="clear" w:color="auto" w:fill="auto"/>
            <w:vAlign w:val="center"/>
            <w:hideMark/>
          </w:tcPr>
          <w:p w14:paraId="3F933FB5"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3,944.1 </w:t>
            </w:r>
          </w:p>
        </w:tc>
        <w:tc>
          <w:tcPr>
            <w:tcW w:w="824" w:type="dxa"/>
            <w:tcBorders>
              <w:top w:val="nil"/>
              <w:left w:val="nil"/>
              <w:bottom w:val="nil"/>
              <w:right w:val="single" w:sz="4" w:space="0" w:color="auto"/>
            </w:tcBorders>
            <w:shd w:val="clear" w:color="auto" w:fill="auto"/>
            <w:vAlign w:val="center"/>
            <w:hideMark/>
          </w:tcPr>
          <w:p w14:paraId="0EFFE118"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569.6 </w:t>
            </w:r>
          </w:p>
        </w:tc>
        <w:tc>
          <w:tcPr>
            <w:tcW w:w="900" w:type="dxa"/>
            <w:tcBorders>
              <w:top w:val="nil"/>
              <w:left w:val="nil"/>
              <w:bottom w:val="nil"/>
              <w:right w:val="single" w:sz="4" w:space="0" w:color="auto"/>
            </w:tcBorders>
            <w:shd w:val="clear" w:color="auto" w:fill="auto"/>
            <w:vAlign w:val="center"/>
            <w:hideMark/>
          </w:tcPr>
          <w:p w14:paraId="096AFD22"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796" w:type="dxa"/>
            <w:tcBorders>
              <w:top w:val="nil"/>
              <w:left w:val="nil"/>
              <w:bottom w:val="nil"/>
              <w:right w:val="single" w:sz="4" w:space="0" w:color="auto"/>
            </w:tcBorders>
            <w:shd w:val="clear" w:color="auto" w:fill="auto"/>
            <w:vAlign w:val="center"/>
            <w:hideMark/>
          </w:tcPr>
          <w:p w14:paraId="687DC9A8"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569.6 </w:t>
            </w:r>
          </w:p>
        </w:tc>
      </w:tr>
      <w:tr w:rsidR="009C313D" w:rsidRPr="005B7A8D" w14:paraId="34E79A1D" w14:textId="77777777" w:rsidTr="00560A50">
        <w:trPr>
          <w:trHeight w:val="64"/>
          <w:jc w:val="center"/>
        </w:trPr>
        <w:tc>
          <w:tcPr>
            <w:tcW w:w="270" w:type="dxa"/>
            <w:vMerge/>
            <w:tcBorders>
              <w:top w:val="single" w:sz="4" w:space="0" w:color="auto"/>
              <w:left w:val="single" w:sz="4" w:space="0" w:color="auto"/>
              <w:bottom w:val="single" w:sz="4" w:space="0" w:color="000000"/>
              <w:right w:val="nil"/>
            </w:tcBorders>
            <w:vAlign w:val="center"/>
            <w:hideMark/>
          </w:tcPr>
          <w:p w14:paraId="7DAB08EE"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25827C1D"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USA</w:t>
            </w:r>
          </w:p>
        </w:tc>
        <w:tc>
          <w:tcPr>
            <w:tcW w:w="3150" w:type="dxa"/>
            <w:tcBorders>
              <w:top w:val="nil"/>
              <w:left w:val="nil"/>
              <w:bottom w:val="nil"/>
              <w:right w:val="single" w:sz="4" w:space="0" w:color="auto"/>
            </w:tcBorders>
            <w:shd w:val="clear" w:color="000000" w:fill="D9E1F2"/>
            <w:vAlign w:val="center"/>
            <w:hideMark/>
          </w:tcPr>
          <w:p w14:paraId="19E01C82"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NYSE</w:t>
            </w:r>
          </w:p>
        </w:tc>
        <w:tc>
          <w:tcPr>
            <w:tcW w:w="810" w:type="dxa"/>
            <w:tcBorders>
              <w:top w:val="nil"/>
              <w:left w:val="nil"/>
              <w:bottom w:val="nil"/>
              <w:right w:val="single" w:sz="4" w:space="0" w:color="auto"/>
            </w:tcBorders>
            <w:shd w:val="clear" w:color="auto" w:fill="auto"/>
            <w:vAlign w:val="center"/>
            <w:hideMark/>
          </w:tcPr>
          <w:p w14:paraId="45B27501"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6,118.0 </w:t>
            </w:r>
          </w:p>
        </w:tc>
        <w:tc>
          <w:tcPr>
            <w:tcW w:w="866" w:type="dxa"/>
            <w:tcBorders>
              <w:top w:val="nil"/>
              <w:left w:val="nil"/>
              <w:bottom w:val="nil"/>
              <w:right w:val="single" w:sz="4" w:space="0" w:color="auto"/>
            </w:tcBorders>
            <w:shd w:val="clear" w:color="auto" w:fill="auto"/>
            <w:vAlign w:val="center"/>
            <w:hideMark/>
          </w:tcPr>
          <w:p w14:paraId="6A3F6FAB"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844" w:type="dxa"/>
            <w:tcBorders>
              <w:top w:val="nil"/>
              <w:left w:val="nil"/>
              <w:bottom w:val="nil"/>
              <w:right w:val="single" w:sz="4" w:space="0" w:color="auto"/>
            </w:tcBorders>
            <w:shd w:val="clear" w:color="auto" w:fill="auto"/>
            <w:vAlign w:val="center"/>
            <w:hideMark/>
          </w:tcPr>
          <w:p w14:paraId="1EABD7D4"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6,118.0 </w:t>
            </w:r>
          </w:p>
        </w:tc>
        <w:tc>
          <w:tcPr>
            <w:tcW w:w="824" w:type="dxa"/>
            <w:tcBorders>
              <w:top w:val="nil"/>
              <w:left w:val="nil"/>
              <w:bottom w:val="nil"/>
              <w:right w:val="single" w:sz="4" w:space="0" w:color="auto"/>
            </w:tcBorders>
            <w:shd w:val="clear" w:color="auto" w:fill="auto"/>
            <w:vAlign w:val="center"/>
            <w:hideMark/>
          </w:tcPr>
          <w:p w14:paraId="41839849"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NA </w:t>
            </w:r>
          </w:p>
        </w:tc>
        <w:tc>
          <w:tcPr>
            <w:tcW w:w="900" w:type="dxa"/>
            <w:tcBorders>
              <w:top w:val="nil"/>
              <w:left w:val="nil"/>
              <w:bottom w:val="nil"/>
              <w:right w:val="single" w:sz="4" w:space="0" w:color="auto"/>
            </w:tcBorders>
            <w:shd w:val="clear" w:color="auto" w:fill="auto"/>
            <w:vAlign w:val="center"/>
            <w:hideMark/>
          </w:tcPr>
          <w:p w14:paraId="7076122A"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796" w:type="dxa"/>
            <w:tcBorders>
              <w:top w:val="nil"/>
              <w:left w:val="nil"/>
              <w:bottom w:val="nil"/>
              <w:right w:val="single" w:sz="4" w:space="0" w:color="auto"/>
            </w:tcBorders>
            <w:shd w:val="clear" w:color="auto" w:fill="auto"/>
            <w:vAlign w:val="center"/>
            <w:hideMark/>
          </w:tcPr>
          <w:p w14:paraId="7CA3D9CD"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NA </w:t>
            </w:r>
          </w:p>
        </w:tc>
      </w:tr>
      <w:tr w:rsidR="009C313D" w:rsidRPr="005B7A8D" w14:paraId="33F7214A" w14:textId="77777777" w:rsidTr="00560A50">
        <w:trPr>
          <w:trHeight w:val="64"/>
          <w:jc w:val="center"/>
        </w:trPr>
        <w:tc>
          <w:tcPr>
            <w:tcW w:w="270" w:type="dxa"/>
            <w:vMerge/>
            <w:tcBorders>
              <w:top w:val="single" w:sz="4" w:space="0" w:color="auto"/>
              <w:left w:val="single" w:sz="4" w:space="0" w:color="auto"/>
              <w:bottom w:val="single" w:sz="4" w:space="0" w:color="000000"/>
              <w:right w:val="nil"/>
            </w:tcBorders>
            <w:vAlign w:val="center"/>
            <w:hideMark/>
          </w:tcPr>
          <w:p w14:paraId="34102221"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69FA0C6D"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UK</w:t>
            </w:r>
          </w:p>
        </w:tc>
        <w:tc>
          <w:tcPr>
            <w:tcW w:w="3150" w:type="dxa"/>
            <w:tcBorders>
              <w:top w:val="nil"/>
              <w:left w:val="nil"/>
              <w:bottom w:val="nil"/>
              <w:right w:val="single" w:sz="4" w:space="0" w:color="auto"/>
            </w:tcBorders>
            <w:shd w:val="clear" w:color="000000" w:fill="D9E1F2"/>
            <w:vAlign w:val="center"/>
            <w:hideMark/>
          </w:tcPr>
          <w:p w14:paraId="38BB9388"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LSE Group</w:t>
            </w:r>
          </w:p>
        </w:tc>
        <w:tc>
          <w:tcPr>
            <w:tcW w:w="810" w:type="dxa"/>
            <w:tcBorders>
              <w:top w:val="nil"/>
              <w:left w:val="nil"/>
              <w:bottom w:val="nil"/>
              <w:right w:val="single" w:sz="4" w:space="0" w:color="auto"/>
            </w:tcBorders>
            <w:shd w:val="clear" w:color="auto" w:fill="auto"/>
            <w:vAlign w:val="center"/>
            <w:hideMark/>
          </w:tcPr>
          <w:p w14:paraId="0F178B65"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5,084.3 </w:t>
            </w:r>
          </w:p>
        </w:tc>
        <w:tc>
          <w:tcPr>
            <w:tcW w:w="866" w:type="dxa"/>
            <w:tcBorders>
              <w:top w:val="nil"/>
              <w:left w:val="nil"/>
              <w:bottom w:val="nil"/>
              <w:right w:val="single" w:sz="4" w:space="0" w:color="auto"/>
            </w:tcBorders>
            <w:shd w:val="clear" w:color="auto" w:fill="auto"/>
            <w:vAlign w:val="center"/>
            <w:hideMark/>
          </w:tcPr>
          <w:p w14:paraId="154B6402"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30,969.6 </w:t>
            </w:r>
          </w:p>
        </w:tc>
        <w:tc>
          <w:tcPr>
            <w:tcW w:w="844" w:type="dxa"/>
            <w:tcBorders>
              <w:top w:val="nil"/>
              <w:left w:val="nil"/>
              <w:bottom w:val="nil"/>
              <w:right w:val="single" w:sz="4" w:space="0" w:color="auto"/>
            </w:tcBorders>
            <w:shd w:val="clear" w:color="auto" w:fill="auto"/>
            <w:vAlign w:val="center"/>
            <w:hideMark/>
          </w:tcPr>
          <w:p w14:paraId="08484AB1"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36,053.9 </w:t>
            </w:r>
          </w:p>
        </w:tc>
        <w:tc>
          <w:tcPr>
            <w:tcW w:w="824" w:type="dxa"/>
            <w:tcBorders>
              <w:top w:val="nil"/>
              <w:left w:val="nil"/>
              <w:bottom w:val="nil"/>
              <w:right w:val="single" w:sz="4" w:space="0" w:color="auto"/>
            </w:tcBorders>
            <w:shd w:val="clear" w:color="auto" w:fill="auto"/>
            <w:vAlign w:val="center"/>
            <w:hideMark/>
          </w:tcPr>
          <w:p w14:paraId="586610FC"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1,532.0 </w:t>
            </w:r>
          </w:p>
        </w:tc>
        <w:tc>
          <w:tcPr>
            <w:tcW w:w="900" w:type="dxa"/>
            <w:tcBorders>
              <w:top w:val="nil"/>
              <w:left w:val="nil"/>
              <w:bottom w:val="nil"/>
              <w:right w:val="single" w:sz="4" w:space="0" w:color="auto"/>
            </w:tcBorders>
            <w:shd w:val="clear" w:color="auto" w:fill="auto"/>
            <w:vAlign w:val="center"/>
            <w:hideMark/>
          </w:tcPr>
          <w:p w14:paraId="5EA68596"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11,540.2 </w:t>
            </w:r>
          </w:p>
        </w:tc>
        <w:tc>
          <w:tcPr>
            <w:tcW w:w="796" w:type="dxa"/>
            <w:tcBorders>
              <w:top w:val="nil"/>
              <w:left w:val="nil"/>
              <w:bottom w:val="nil"/>
              <w:right w:val="single" w:sz="4" w:space="0" w:color="auto"/>
            </w:tcBorders>
            <w:shd w:val="clear" w:color="auto" w:fill="auto"/>
            <w:vAlign w:val="center"/>
            <w:hideMark/>
          </w:tcPr>
          <w:p w14:paraId="355FB6DE"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13,072.2 </w:t>
            </w:r>
          </w:p>
        </w:tc>
      </w:tr>
      <w:tr w:rsidR="009C313D" w:rsidRPr="005B7A8D" w14:paraId="0ADE8BE1" w14:textId="77777777" w:rsidTr="00560A50">
        <w:trPr>
          <w:trHeight w:val="64"/>
          <w:jc w:val="center"/>
        </w:trPr>
        <w:tc>
          <w:tcPr>
            <w:tcW w:w="270" w:type="dxa"/>
            <w:vMerge/>
            <w:tcBorders>
              <w:top w:val="single" w:sz="4" w:space="0" w:color="auto"/>
              <w:left w:val="single" w:sz="4" w:space="0" w:color="auto"/>
              <w:bottom w:val="single" w:sz="4" w:space="0" w:color="000000"/>
              <w:right w:val="nil"/>
            </w:tcBorders>
            <w:vAlign w:val="center"/>
            <w:hideMark/>
          </w:tcPr>
          <w:p w14:paraId="2AC4E807"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5F062DB5"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France</w:t>
            </w:r>
          </w:p>
        </w:tc>
        <w:tc>
          <w:tcPr>
            <w:tcW w:w="3150" w:type="dxa"/>
            <w:tcBorders>
              <w:top w:val="nil"/>
              <w:left w:val="nil"/>
              <w:bottom w:val="nil"/>
              <w:right w:val="single" w:sz="4" w:space="0" w:color="auto"/>
            </w:tcBorders>
            <w:shd w:val="clear" w:color="000000" w:fill="D9E1F2"/>
            <w:vAlign w:val="center"/>
            <w:hideMark/>
          </w:tcPr>
          <w:p w14:paraId="0B145871"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Euronext</w:t>
            </w:r>
          </w:p>
        </w:tc>
        <w:tc>
          <w:tcPr>
            <w:tcW w:w="810" w:type="dxa"/>
            <w:tcBorders>
              <w:top w:val="nil"/>
              <w:left w:val="nil"/>
              <w:bottom w:val="nil"/>
              <w:right w:val="single" w:sz="4" w:space="0" w:color="auto"/>
            </w:tcBorders>
            <w:shd w:val="clear" w:color="auto" w:fill="auto"/>
            <w:vAlign w:val="center"/>
            <w:hideMark/>
          </w:tcPr>
          <w:p w14:paraId="269198CE"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3,872.4 </w:t>
            </w:r>
          </w:p>
        </w:tc>
        <w:tc>
          <w:tcPr>
            <w:tcW w:w="866" w:type="dxa"/>
            <w:tcBorders>
              <w:top w:val="nil"/>
              <w:left w:val="nil"/>
              <w:bottom w:val="nil"/>
              <w:right w:val="single" w:sz="4" w:space="0" w:color="auto"/>
            </w:tcBorders>
            <w:shd w:val="clear" w:color="auto" w:fill="auto"/>
            <w:vAlign w:val="center"/>
            <w:hideMark/>
          </w:tcPr>
          <w:p w14:paraId="3A9FE1B1"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w:t>
            </w:r>
          </w:p>
        </w:tc>
        <w:tc>
          <w:tcPr>
            <w:tcW w:w="844" w:type="dxa"/>
            <w:tcBorders>
              <w:top w:val="nil"/>
              <w:left w:val="nil"/>
              <w:bottom w:val="nil"/>
              <w:right w:val="single" w:sz="4" w:space="0" w:color="auto"/>
            </w:tcBorders>
            <w:shd w:val="clear" w:color="auto" w:fill="auto"/>
            <w:vAlign w:val="center"/>
            <w:hideMark/>
          </w:tcPr>
          <w:p w14:paraId="22A20863"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3,872.4 </w:t>
            </w:r>
          </w:p>
        </w:tc>
        <w:tc>
          <w:tcPr>
            <w:tcW w:w="824" w:type="dxa"/>
            <w:tcBorders>
              <w:top w:val="nil"/>
              <w:left w:val="nil"/>
              <w:bottom w:val="nil"/>
              <w:right w:val="single" w:sz="4" w:space="0" w:color="auto"/>
            </w:tcBorders>
            <w:shd w:val="clear" w:color="auto" w:fill="auto"/>
            <w:vAlign w:val="center"/>
            <w:hideMark/>
          </w:tcPr>
          <w:p w14:paraId="3D288393"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594.9 </w:t>
            </w:r>
          </w:p>
        </w:tc>
        <w:tc>
          <w:tcPr>
            <w:tcW w:w="900" w:type="dxa"/>
            <w:tcBorders>
              <w:top w:val="nil"/>
              <w:left w:val="nil"/>
              <w:bottom w:val="nil"/>
              <w:right w:val="single" w:sz="4" w:space="0" w:color="auto"/>
            </w:tcBorders>
            <w:shd w:val="clear" w:color="auto" w:fill="auto"/>
            <w:vAlign w:val="center"/>
            <w:hideMark/>
          </w:tcPr>
          <w:p w14:paraId="564C6E6D"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w:t>
            </w:r>
          </w:p>
        </w:tc>
        <w:tc>
          <w:tcPr>
            <w:tcW w:w="796" w:type="dxa"/>
            <w:tcBorders>
              <w:top w:val="nil"/>
              <w:left w:val="nil"/>
              <w:bottom w:val="nil"/>
              <w:right w:val="single" w:sz="4" w:space="0" w:color="auto"/>
            </w:tcBorders>
            <w:shd w:val="clear" w:color="auto" w:fill="auto"/>
            <w:vAlign w:val="center"/>
            <w:hideMark/>
          </w:tcPr>
          <w:p w14:paraId="4D352523"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594.9 </w:t>
            </w:r>
          </w:p>
        </w:tc>
      </w:tr>
      <w:tr w:rsidR="009C313D" w:rsidRPr="005B7A8D" w14:paraId="7718076C" w14:textId="77777777" w:rsidTr="00560A50">
        <w:trPr>
          <w:trHeight w:val="47"/>
          <w:jc w:val="center"/>
        </w:trPr>
        <w:tc>
          <w:tcPr>
            <w:tcW w:w="270" w:type="dxa"/>
            <w:vMerge/>
            <w:tcBorders>
              <w:top w:val="single" w:sz="4" w:space="0" w:color="auto"/>
              <w:left w:val="single" w:sz="4" w:space="0" w:color="auto"/>
              <w:bottom w:val="single" w:sz="4" w:space="0" w:color="000000"/>
              <w:right w:val="nil"/>
            </w:tcBorders>
            <w:vAlign w:val="center"/>
            <w:hideMark/>
          </w:tcPr>
          <w:p w14:paraId="16A8FA40"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6B9535F9"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Germany</w:t>
            </w:r>
          </w:p>
        </w:tc>
        <w:tc>
          <w:tcPr>
            <w:tcW w:w="3150" w:type="dxa"/>
            <w:tcBorders>
              <w:top w:val="nil"/>
              <w:left w:val="nil"/>
              <w:bottom w:val="nil"/>
              <w:right w:val="single" w:sz="4" w:space="0" w:color="auto"/>
            </w:tcBorders>
            <w:shd w:val="clear" w:color="000000" w:fill="D9E1F2"/>
            <w:vAlign w:val="center"/>
            <w:hideMark/>
          </w:tcPr>
          <w:p w14:paraId="564491A9"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Deutsche Boerse AG</w:t>
            </w:r>
          </w:p>
        </w:tc>
        <w:tc>
          <w:tcPr>
            <w:tcW w:w="810" w:type="dxa"/>
            <w:tcBorders>
              <w:top w:val="nil"/>
              <w:left w:val="nil"/>
              <w:bottom w:val="nil"/>
              <w:right w:val="single" w:sz="4" w:space="0" w:color="auto"/>
            </w:tcBorders>
            <w:shd w:val="clear" w:color="auto" w:fill="auto"/>
            <w:vAlign w:val="center"/>
            <w:hideMark/>
          </w:tcPr>
          <w:p w14:paraId="1F94D225"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w:t>
            </w:r>
          </w:p>
        </w:tc>
        <w:tc>
          <w:tcPr>
            <w:tcW w:w="866" w:type="dxa"/>
            <w:tcBorders>
              <w:top w:val="nil"/>
              <w:left w:val="nil"/>
              <w:bottom w:val="nil"/>
              <w:right w:val="single" w:sz="4" w:space="0" w:color="auto"/>
            </w:tcBorders>
            <w:shd w:val="clear" w:color="auto" w:fill="auto"/>
            <w:vAlign w:val="center"/>
            <w:hideMark/>
          </w:tcPr>
          <w:p w14:paraId="2B4E8F70"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46,647.0 </w:t>
            </w:r>
          </w:p>
        </w:tc>
        <w:tc>
          <w:tcPr>
            <w:tcW w:w="844" w:type="dxa"/>
            <w:tcBorders>
              <w:top w:val="nil"/>
              <w:left w:val="nil"/>
              <w:bottom w:val="nil"/>
              <w:right w:val="single" w:sz="4" w:space="0" w:color="auto"/>
            </w:tcBorders>
            <w:shd w:val="clear" w:color="auto" w:fill="auto"/>
            <w:vAlign w:val="center"/>
            <w:hideMark/>
          </w:tcPr>
          <w:p w14:paraId="7FE185CA"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46,647.0 </w:t>
            </w:r>
          </w:p>
        </w:tc>
        <w:tc>
          <w:tcPr>
            <w:tcW w:w="824" w:type="dxa"/>
            <w:tcBorders>
              <w:top w:val="nil"/>
              <w:left w:val="nil"/>
              <w:bottom w:val="nil"/>
              <w:right w:val="single" w:sz="4" w:space="0" w:color="auto"/>
            </w:tcBorders>
            <w:shd w:val="clear" w:color="auto" w:fill="auto"/>
            <w:vAlign w:val="center"/>
            <w:hideMark/>
          </w:tcPr>
          <w:p w14:paraId="09D688E0"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w:t>
            </w:r>
          </w:p>
        </w:tc>
        <w:tc>
          <w:tcPr>
            <w:tcW w:w="900" w:type="dxa"/>
            <w:tcBorders>
              <w:top w:val="nil"/>
              <w:left w:val="nil"/>
              <w:bottom w:val="nil"/>
              <w:right w:val="single" w:sz="4" w:space="0" w:color="auto"/>
            </w:tcBorders>
            <w:shd w:val="clear" w:color="auto" w:fill="auto"/>
            <w:vAlign w:val="center"/>
            <w:hideMark/>
          </w:tcPr>
          <w:p w14:paraId="064DC1D6"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31,922.4 </w:t>
            </w:r>
          </w:p>
        </w:tc>
        <w:tc>
          <w:tcPr>
            <w:tcW w:w="796" w:type="dxa"/>
            <w:tcBorders>
              <w:top w:val="nil"/>
              <w:left w:val="nil"/>
              <w:bottom w:val="nil"/>
              <w:right w:val="single" w:sz="4" w:space="0" w:color="auto"/>
            </w:tcBorders>
            <w:shd w:val="clear" w:color="auto" w:fill="auto"/>
            <w:vAlign w:val="center"/>
            <w:hideMark/>
          </w:tcPr>
          <w:p w14:paraId="7011D4A7"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31,922.4 </w:t>
            </w:r>
          </w:p>
        </w:tc>
      </w:tr>
      <w:tr w:rsidR="009C313D" w:rsidRPr="005B7A8D" w14:paraId="67EB8575" w14:textId="77777777" w:rsidTr="00560A50">
        <w:trPr>
          <w:trHeight w:val="64"/>
          <w:jc w:val="center"/>
        </w:trPr>
        <w:tc>
          <w:tcPr>
            <w:tcW w:w="270" w:type="dxa"/>
            <w:vMerge/>
            <w:tcBorders>
              <w:top w:val="single" w:sz="4" w:space="0" w:color="auto"/>
              <w:left w:val="single" w:sz="4" w:space="0" w:color="auto"/>
              <w:bottom w:val="single" w:sz="4" w:space="0" w:color="000000"/>
              <w:right w:val="nil"/>
            </w:tcBorders>
            <w:vAlign w:val="center"/>
            <w:hideMark/>
          </w:tcPr>
          <w:p w14:paraId="6FE1A4B4"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3E7891F0"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Spain</w:t>
            </w:r>
          </w:p>
        </w:tc>
        <w:tc>
          <w:tcPr>
            <w:tcW w:w="3150" w:type="dxa"/>
            <w:tcBorders>
              <w:top w:val="nil"/>
              <w:left w:val="nil"/>
              <w:bottom w:val="nil"/>
              <w:right w:val="single" w:sz="4" w:space="0" w:color="auto"/>
            </w:tcBorders>
            <w:shd w:val="clear" w:color="000000" w:fill="D9E1F2"/>
            <w:vAlign w:val="center"/>
            <w:hideMark/>
          </w:tcPr>
          <w:p w14:paraId="32838A77"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BME Spanish Exchanges</w:t>
            </w:r>
          </w:p>
        </w:tc>
        <w:tc>
          <w:tcPr>
            <w:tcW w:w="810" w:type="dxa"/>
            <w:tcBorders>
              <w:top w:val="nil"/>
              <w:left w:val="nil"/>
              <w:bottom w:val="nil"/>
              <w:right w:val="single" w:sz="4" w:space="0" w:color="auto"/>
            </w:tcBorders>
            <w:shd w:val="clear" w:color="auto" w:fill="auto"/>
            <w:vAlign w:val="center"/>
            <w:hideMark/>
          </w:tcPr>
          <w:p w14:paraId="7B63CEBE"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2,693.3 </w:t>
            </w:r>
          </w:p>
        </w:tc>
        <w:tc>
          <w:tcPr>
            <w:tcW w:w="866" w:type="dxa"/>
            <w:tcBorders>
              <w:top w:val="nil"/>
              <w:left w:val="nil"/>
              <w:bottom w:val="nil"/>
              <w:right w:val="single" w:sz="4" w:space="0" w:color="auto"/>
            </w:tcBorders>
            <w:shd w:val="clear" w:color="auto" w:fill="auto"/>
            <w:vAlign w:val="center"/>
            <w:hideMark/>
          </w:tcPr>
          <w:p w14:paraId="3EFF5538"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32,795.1 </w:t>
            </w:r>
          </w:p>
        </w:tc>
        <w:tc>
          <w:tcPr>
            <w:tcW w:w="844" w:type="dxa"/>
            <w:tcBorders>
              <w:top w:val="nil"/>
              <w:left w:val="nil"/>
              <w:bottom w:val="nil"/>
              <w:right w:val="single" w:sz="4" w:space="0" w:color="auto"/>
            </w:tcBorders>
            <w:shd w:val="clear" w:color="auto" w:fill="auto"/>
            <w:vAlign w:val="center"/>
            <w:hideMark/>
          </w:tcPr>
          <w:p w14:paraId="64752B78"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35,488.4 </w:t>
            </w:r>
          </w:p>
        </w:tc>
        <w:tc>
          <w:tcPr>
            <w:tcW w:w="824" w:type="dxa"/>
            <w:tcBorders>
              <w:top w:val="nil"/>
              <w:left w:val="nil"/>
              <w:bottom w:val="nil"/>
              <w:right w:val="single" w:sz="4" w:space="0" w:color="auto"/>
            </w:tcBorders>
            <w:shd w:val="clear" w:color="auto" w:fill="auto"/>
            <w:vAlign w:val="center"/>
            <w:hideMark/>
          </w:tcPr>
          <w:p w14:paraId="7E118A88"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1,760.5 </w:t>
            </w:r>
          </w:p>
        </w:tc>
        <w:tc>
          <w:tcPr>
            <w:tcW w:w="900" w:type="dxa"/>
            <w:tcBorders>
              <w:top w:val="nil"/>
              <w:left w:val="nil"/>
              <w:bottom w:val="nil"/>
              <w:right w:val="single" w:sz="4" w:space="0" w:color="auto"/>
            </w:tcBorders>
            <w:shd w:val="clear" w:color="auto" w:fill="auto"/>
            <w:vAlign w:val="center"/>
            <w:hideMark/>
          </w:tcPr>
          <w:p w14:paraId="01FC91D9"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w:t>
            </w:r>
          </w:p>
        </w:tc>
        <w:tc>
          <w:tcPr>
            <w:tcW w:w="796" w:type="dxa"/>
            <w:tcBorders>
              <w:top w:val="nil"/>
              <w:left w:val="nil"/>
              <w:bottom w:val="nil"/>
              <w:right w:val="single" w:sz="4" w:space="0" w:color="auto"/>
            </w:tcBorders>
            <w:shd w:val="clear" w:color="auto" w:fill="auto"/>
            <w:vAlign w:val="center"/>
            <w:hideMark/>
          </w:tcPr>
          <w:p w14:paraId="5173F0D9"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1,760.5 </w:t>
            </w:r>
          </w:p>
        </w:tc>
      </w:tr>
      <w:tr w:rsidR="009C313D" w:rsidRPr="005B7A8D" w14:paraId="69BB6573" w14:textId="77777777" w:rsidTr="00560A50">
        <w:trPr>
          <w:trHeight w:val="64"/>
          <w:jc w:val="center"/>
        </w:trPr>
        <w:tc>
          <w:tcPr>
            <w:tcW w:w="270" w:type="dxa"/>
            <w:vMerge/>
            <w:tcBorders>
              <w:top w:val="single" w:sz="4" w:space="0" w:color="auto"/>
              <w:left w:val="single" w:sz="4" w:space="0" w:color="auto"/>
              <w:bottom w:val="single" w:sz="4" w:space="0" w:color="000000"/>
              <w:right w:val="nil"/>
            </w:tcBorders>
            <w:vAlign w:val="center"/>
            <w:hideMark/>
          </w:tcPr>
          <w:p w14:paraId="516BB511"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2C0E25AB"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Japan</w:t>
            </w:r>
          </w:p>
        </w:tc>
        <w:tc>
          <w:tcPr>
            <w:tcW w:w="3150" w:type="dxa"/>
            <w:tcBorders>
              <w:top w:val="nil"/>
              <w:left w:val="nil"/>
              <w:bottom w:val="nil"/>
              <w:right w:val="single" w:sz="4" w:space="0" w:color="auto"/>
            </w:tcBorders>
            <w:shd w:val="clear" w:color="000000" w:fill="D9E1F2"/>
            <w:vAlign w:val="center"/>
            <w:hideMark/>
          </w:tcPr>
          <w:p w14:paraId="35C7D874"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Japan Exchange Group Inc.</w:t>
            </w:r>
          </w:p>
        </w:tc>
        <w:tc>
          <w:tcPr>
            <w:tcW w:w="810" w:type="dxa"/>
            <w:tcBorders>
              <w:top w:val="nil"/>
              <w:left w:val="nil"/>
              <w:bottom w:val="nil"/>
              <w:right w:val="single" w:sz="4" w:space="0" w:color="auto"/>
            </w:tcBorders>
            <w:shd w:val="clear" w:color="auto" w:fill="auto"/>
            <w:vAlign w:val="center"/>
            <w:hideMark/>
          </w:tcPr>
          <w:p w14:paraId="4EC7B0FB"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1,497.5 </w:t>
            </w:r>
          </w:p>
        </w:tc>
        <w:tc>
          <w:tcPr>
            <w:tcW w:w="866" w:type="dxa"/>
            <w:tcBorders>
              <w:top w:val="nil"/>
              <w:left w:val="nil"/>
              <w:bottom w:val="nil"/>
              <w:right w:val="single" w:sz="4" w:space="0" w:color="auto"/>
            </w:tcBorders>
            <w:shd w:val="clear" w:color="auto" w:fill="auto"/>
            <w:vAlign w:val="center"/>
            <w:hideMark/>
          </w:tcPr>
          <w:p w14:paraId="5DDD7B07"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10,637.6 </w:t>
            </w:r>
          </w:p>
        </w:tc>
        <w:tc>
          <w:tcPr>
            <w:tcW w:w="844" w:type="dxa"/>
            <w:tcBorders>
              <w:top w:val="nil"/>
              <w:left w:val="nil"/>
              <w:bottom w:val="nil"/>
              <w:right w:val="single" w:sz="4" w:space="0" w:color="auto"/>
            </w:tcBorders>
            <w:shd w:val="clear" w:color="auto" w:fill="auto"/>
            <w:vAlign w:val="center"/>
            <w:hideMark/>
          </w:tcPr>
          <w:p w14:paraId="14C5A053"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12,135.1 </w:t>
            </w:r>
          </w:p>
        </w:tc>
        <w:tc>
          <w:tcPr>
            <w:tcW w:w="824" w:type="dxa"/>
            <w:tcBorders>
              <w:top w:val="nil"/>
              <w:left w:val="nil"/>
              <w:bottom w:val="nil"/>
              <w:right w:val="single" w:sz="4" w:space="0" w:color="auto"/>
            </w:tcBorders>
            <w:shd w:val="clear" w:color="auto" w:fill="auto"/>
            <w:vAlign w:val="center"/>
            <w:hideMark/>
          </w:tcPr>
          <w:p w14:paraId="7CA44F63"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NA </w:t>
            </w:r>
          </w:p>
        </w:tc>
        <w:tc>
          <w:tcPr>
            <w:tcW w:w="900" w:type="dxa"/>
            <w:tcBorders>
              <w:top w:val="nil"/>
              <w:left w:val="nil"/>
              <w:bottom w:val="nil"/>
              <w:right w:val="single" w:sz="4" w:space="0" w:color="auto"/>
            </w:tcBorders>
            <w:shd w:val="clear" w:color="auto" w:fill="auto"/>
            <w:vAlign w:val="center"/>
            <w:hideMark/>
          </w:tcPr>
          <w:p w14:paraId="468694DB"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NA </w:t>
            </w:r>
          </w:p>
        </w:tc>
        <w:tc>
          <w:tcPr>
            <w:tcW w:w="796" w:type="dxa"/>
            <w:tcBorders>
              <w:top w:val="nil"/>
              <w:left w:val="nil"/>
              <w:bottom w:val="nil"/>
              <w:right w:val="single" w:sz="4" w:space="0" w:color="auto"/>
            </w:tcBorders>
            <w:shd w:val="clear" w:color="auto" w:fill="auto"/>
            <w:vAlign w:val="center"/>
            <w:hideMark/>
          </w:tcPr>
          <w:p w14:paraId="34097432"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w:t>
            </w:r>
          </w:p>
        </w:tc>
      </w:tr>
      <w:tr w:rsidR="009C313D" w:rsidRPr="005B7A8D" w14:paraId="71767365" w14:textId="77777777" w:rsidTr="00560A50">
        <w:trPr>
          <w:trHeight w:val="64"/>
          <w:jc w:val="center"/>
        </w:trPr>
        <w:tc>
          <w:tcPr>
            <w:tcW w:w="270" w:type="dxa"/>
            <w:vMerge/>
            <w:tcBorders>
              <w:top w:val="single" w:sz="4" w:space="0" w:color="auto"/>
              <w:left w:val="single" w:sz="4" w:space="0" w:color="auto"/>
              <w:bottom w:val="single" w:sz="4" w:space="0" w:color="000000"/>
              <w:right w:val="nil"/>
            </w:tcBorders>
            <w:vAlign w:val="center"/>
            <w:hideMark/>
          </w:tcPr>
          <w:p w14:paraId="552FCAF6"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258A2592"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Singapore</w:t>
            </w:r>
          </w:p>
        </w:tc>
        <w:tc>
          <w:tcPr>
            <w:tcW w:w="3150" w:type="dxa"/>
            <w:tcBorders>
              <w:top w:val="nil"/>
              <w:left w:val="nil"/>
              <w:bottom w:val="nil"/>
              <w:right w:val="single" w:sz="4" w:space="0" w:color="auto"/>
            </w:tcBorders>
            <w:shd w:val="clear" w:color="000000" w:fill="D9E1F2"/>
            <w:vAlign w:val="center"/>
            <w:hideMark/>
          </w:tcPr>
          <w:p w14:paraId="3FD02296"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Singapore Exchange</w:t>
            </w:r>
          </w:p>
        </w:tc>
        <w:tc>
          <w:tcPr>
            <w:tcW w:w="810" w:type="dxa"/>
            <w:tcBorders>
              <w:top w:val="nil"/>
              <w:left w:val="nil"/>
              <w:bottom w:val="nil"/>
              <w:right w:val="single" w:sz="4" w:space="0" w:color="auto"/>
            </w:tcBorders>
            <w:shd w:val="clear" w:color="auto" w:fill="auto"/>
            <w:vAlign w:val="center"/>
            <w:hideMark/>
          </w:tcPr>
          <w:p w14:paraId="2ECBB873"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260.3 </w:t>
            </w:r>
          </w:p>
        </w:tc>
        <w:tc>
          <w:tcPr>
            <w:tcW w:w="866" w:type="dxa"/>
            <w:tcBorders>
              <w:top w:val="nil"/>
              <w:left w:val="nil"/>
              <w:bottom w:val="nil"/>
              <w:right w:val="single" w:sz="4" w:space="0" w:color="auto"/>
            </w:tcBorders>
            <w:shd w:val="clear" w:color="auto" w:fill="auto"/>
            <w:vAlign w:val="center"/>
            <w:hideMark/>
          </w:tcPr>
          <w:p w14:paraId="586FD317"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25,729.9 </w:t>
            </w:r>
          </w:p>
        </w:tc>
        <w:tc>
          <w:tcPr>
            <w:tcW w:w="844" w:type="dxa"/>
            <w:tcBorders>
              <w:top w:val="nil"/>
              <w:left w:val="nil"/>
              <w:bottom w:val="nil"/>
              <w:right w:val="single" w:sz="4" w:space="0" w:color="auto"/>
            </w:tcBorders>
            <w:shd w:val="clear" w:color="auto" w:fill="auto"/>
            <w:vAlign w:val="center"/>
            <w:hideMark/>
          </w:tcPr>
          <w:p w14:paraId="550205DA"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25,990.2 </w:t>
            </w:r>
          </w:p>
        </w:tc>
        <w:tc>
          <w:tcPr>
            <w:tcW w:w="824" w:type="dxa"/>
            <w:tcBorders>
              <w:top w:val="nil"/>
              <w:left w:val="nil"/>
              <w:bottom w:val="nil"/>
              <w:right w:val="single" w:sz="4" w:space="0" w:color="auto"/>
            </w:tcBorders>
            <w:shd w:val="clear" w:color="auto" w:fill="auto"/>
            <w:vAlign w:val="center"/>
            <w:hideMark/>
          </w:tcPr>
          <w:p w14:paraId="49A756A2"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13.3 </w:t>
            </w:r>
          </w:p>
        </w:tc>
        <w:tc>
          <w:tcPr>
            <w:tcW w:w="900" w:type="dxa"/>
            <w:tcBorders>
              <w:top w:val="nil"/>
              <w:left w:val="nil"/>
              <w:bottom w:val="nil"/>
              <w:right w:val="single" w:sz="4" w:space="0" w:color="auto"/>
            </w:tcBorders>
            <w:shd w:val="clear" w:color="auto" w:fill="auto"/>
            <w:vAlign w:val="center"/>
            <w:hideMark/>
          </w:tcPr>
          <w:p w14:paraId="33B367E8"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23,619.6 </w:t>
            </w:r>
          </w:p>
        </w:tc>
        <w:tc>
          <w:tcPr>
            <w:tcW w:w="796" w:type="dxa"/>
            <w:tcBorders>
              <w:top w:val="nil"/>
              <w:left w:val="nil"/>
              <w:bottom w:val="nil"/>
              <w:right w:val="single" w:sz="4" w:space="0" w:color="auto"/>
            </w:tcBorders>
            <w:shd w:val="clear" w:color="auto" w:fill="auto"/>
            <w:vAlign w:val="center"/>
            <w:hideMark/>
          </w:tcPr>
          <w:p w14:paraId="04A60E12"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23,632.8 </w:t>
            </w:r>
          </w:p>
        </w:tc>
      </w:tr>
      <w:tr w:rsidR="009C313D" w:rsidRPr="005B7A8D" w14:paraId="4ECC3ED3" w14:textId="77777777" w:rsidTr="00560A50">
        <w:trPr>
          <w:trHeight w:val="47"/>
          <w:jc w:val="center"/>
        </w:trPr>
        <w:tc>
          <w:tcPr>
            <w:tcW w:w="270" w:type="dxa"/>
            <w:vMerge/>
            <w:tcBorders>
              <w:top w:val="single" w:sz="4" w:space="0" w:color="auto"/>
              <w:left w:val="single" w:sz="4" w:space="0" w:color="auto"/>
              <w:bottom w:val="single" w:sz="4" w:space="0" w:color="000000"/>
              <w:right w:val="nil"/>
            </w:tcBorders>
            <w:vAlign w:val="center"/>
            <w:hideMark/>
          </w:tcPr>
          <w:p w14:paraId="6835E5FF"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76C54EA9"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Australia</w:t>
            </w:r>
          </w:p>
        </w:tc>
        <w:tc>
          <w:tcPr>
            <w:tcW w:w="3150" w:type="dxa"/>
            <w:tcBorders>
              <w:top w:val="nil"/>
              <w:left w:val="nil"/>
              <w:bottom w:val="nil"/>
              <w:right w:val="single" w:sz="4" w:space="0" w:color="auto"/>
            </w:tcBorders>
            <w:shd w:val="clear" w:color="000000" w:fill="D9E1F2"/>
            <w:vAlign w:val="center"/>
            <w:hideMark/>
          </w:tcPr>
          <w:p w14:paraId="0A67A03C"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Australian Securities Exchange</w:t>
            </w:r>
          </w:p>
        </w:tc>
        <w:tc>
          <w:tcPr>
            <w:tcW w:w="810" w:type="dxa"/>
            <w:tcBorders>
              <w:top w:val="nil"/>
              <w:left w:val="nil"/>
              <w:bottom w:val="nil"/>
              <w:right w:val="single" w:sz="4" w:space="0" w:color="auto"/>
            </w:tcBorders>
            <w:shd w:val="clear" w:color="auto" w:fill="auto"/>
            <w:vAlign w:val="center"/>
            <w:hideMark/>
          </w:tcPr>
          <w:p w14:paraId="447AD492"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3,479.9 </w:t>
            </w:r>
          </w:p>
        </w:tc>
        <w:tc>
          <w:tcPr>
            <w:tcW w:w="866" w:type="dxa"/>
            <w:tcBorders>
              <w:top w:val="nil"/>
              <w:left w:val="nil"/>
              <w:bottom w:val="nil"/>
              <w:right w:val="single" w:sz="4" w:space="0" w:color="auto"/>
            </w:tcBorders>
            <w:shd w:val="clear" w:color="auto" w:fill="auto"/>
            <w:vAlign w:val="center"/>
            <w:hideMark/>
          </w:tcPr>
          <w:p w14:paraId="3739B669"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844" w:type="dxa"/>
            <w:tcBorders>
              <w:top w:val="nil"/>
              <w:left w:val="nil"/>
              <w:bottom w:val="nil"/>
              <w:right w:val="single" w:sz="4" w:space="0" w:color="auto"/>
            </w:tcBorders>
            <w:shd w:val="clear" w:color="auto" w:fill="auto"/>
            <w:vAlign w:val="center"/>
            <w:hideMark/>
          </w:tcPr>
          <w:p w14:paraId="3C17BE06"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3,479.9 </w:t>
            </w:r>
          </w:p>
        </w:tc>
        <w:tc>
          <w:tcPr>
            <w:tcW w:w="824" w:type="dxa"/>
            <w:tcBorders>
              <w:top w:val="nil"/>
              <w:left w:val="nil"/>
              <w:bottom w:val="nil"/>
              <w:right w:val="single" w:sz="4" w:space="0" w:color="auto"/>
            </w:tcBorders>
            <w:shd w:val="clear" w:color="auto" w:fill="auto"/>
            <w:vAlign w:val="center"/>
            <w:hideMark/>
          </w:tcPr>
          <w:p w14:paraId="75E1CAE3"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1,532.3 </w:t>
            </w:r>
          </w:p>
        </w:tc>
        <w:tc>
          <w:tcPr>
            <w:tcW w:w="900" w:type="dxa"/>
            <w:tcBorders>
              <w:top w:val="nil"/>
              <w:left w:val="nil"/>
              <w:bottom w:val="nil"/>
              <w:right w:val="single" w:sz="4" w:space="0" w:color="auto"/>
            </w:tcBorders>
            <w:shd w:val="clear" w:color="auto" w:fill="auto"/>
            <w:vAlign w:val="center"/>
            <w:hideMark/>
          </w:tcPr>
          <w:p w14:paraId="72315714"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796" w:type="dxa"/>
            <w:tcBorders>
              <w:top w:val="nil"/>
              <w:left w:val="nil"/>
              <w:bottom w:val="nil"/>
              <w:right w:val="single" w:sz="4" w:space="0" w:color="auto"/>
            </w:tcBorders>
            <w:shd w:val="clear" w:color="auto" w:fill="auto"/>
            <w:vAlign w:val="center"/>
            <w:hideMark/>
          </w:tcPr>
          <w:p w14:paraId="69E69AC4"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1,532.3 </w:t>
            </w:r>
          </w:p>
        </w:tc>
      </w:tr>
      <w:tr w:rsidR="009C313D" w:rsidRPr="005B7A8D" w14:paraId="5704942D" w14:textId="77777777" w:rsidTr="00560A50">
        <w:trPr>
          <w:trHeight w:val="64"/>
          <w:jc w:val="center"/>
        </w:trPr>
        <w:tc>
          <w:tcPr>
            <w:tcW w:w="270" w:type="dxa"/>
            <w:vMerge/>
            <w:tcBorders>
              <w:top w:val="single" w:sz="4" w:space="0" w:color="auto"/>
              <w:left w:val="single" w:sz="4" w:space="0" w:color="auto"/>
              <w:bottom w:val="single" w:sz="4" w:space="0" w:color="000000"/>
              <w:right w:val="nil"/>
            </w:tcBorders>
            <w:vAlign w:val="center"/>
            <w:hideMark/>
          </w:tcPr>
          <w:p w14:paraId="0C92F488"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7CBBAAA4"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Hong Kong</w:t>
            </w:r>
          </w:p>
        </w:tc>
        <w:tc>
          <w:tcPr>
            <w:tcW w:w="3150" w:type="dxa"/>
            <w:tcBorders>
              <w:top w:val="nil"/>
              <w:left w:val="nil"/>
              <w:bottom w:val="nil"/>
              <w:right w:val="single" w:sz="4" w:space="0" w:color="auto"/>
            </w:tcBorders>
            <w:shd w:val="clear" w:color="000000" w:fill="D9E1F2"/>
            <w:vAlign w:val="center"/>
            <w:hideMark/>
          </w:tcPr>
          <w:p w14:paraId="468E6058"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Hong Kong Exchanges and Clearing</w:t>
            </w:r>
          </w:p>
        </w:tc>
        <w:tc>
          <w:tcPr>
            <w:tcW w:w="810" w:type="dxa"/>
            <w:tcBorders>
              <w:top w:val="nil"/>
              <w:left w:val="nil"/>
              <w:bottom w:val="nil"/>
              <w:right w:val="single" w:sz="4" w:space="0" w:color="auto"/>
            </w:tcBorders>
            <w:shd w:val="clear" w:color="auto" w:fill="auto"/>
            <w:vAlign w:val="center"/>
            <w:hideMark/>
          </w:tcPr>
          <w:p w14:paraId="5F12F917"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10,662.8 </w:t>
            </w:r>
          </w:p>
        </w:tc>
        <w:tc>
          <w:tcPr>
            <w:tcW w:w="866" w:type="dxa"/>
            <w:tcBorders>
              <w:top w:val="nil"/>
              <w:left w:val="nil"/>
              <w:bottom w:val="nil"/>
              <w:right w:val="single" w:sz="4" w:space="0" w:color="auto"/>
            </w:tcBorders>
            <w:shd w:val="clear" w:color="auto" w:fill="auto"/>
            <w:vAlign w:val="center"/>
            <w:hideMark/>
          </w:tcPr>
          <w:p w14:paraId="75EAE17C"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4,747.5 </w:t>
            </w:r>
          </w:p>
        </w:tc>
        <w:tc>
          <w:tcPr>
            <w:tcW w:w="844" w:type="dxa"/>
            <w:tcBorders>
              <w:top w:val="nil"/>
              <w:left w:val="nil"/>
              <w:right w:val="single" w:sz="4" w:space="0" w:color="auto"/>
            </w:tcBorders>
            <w:shd w:val="clear" w:color="auto" w:fill="auto"/>
            <w:vAlign w:val="center"/>
            <w:hideMark/>
          </w:tcPr>
          <w:p w14:paraId="4ED95519"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15,410.3 </w:t>
            </w:r>
          </w:p>
        </w:tc>
        <w:tc>
          <w:tcPr>
            <w:tcW w:w="824" w:type="dxa"/>
            <w:tcBorders>
              <w:top w:val="nil"/>
              <w:left w:val="nil"/>
              <w:bottom w:val="nil"/>
              <w:right w:val="single" w:sz="4" w:space="0" w:color="auto"/>
            </w:tcBorders>
            <w:shd w:val="clear" w:color="auto" w:fill="auto"/>
            <w:vAlign w:val="center"/>
            <w:hideMark/>
          </w:tcPr>
          <w:p w14:paraId="02A26E16"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11,517.9 </w:t>
            </w:r>
          </w:p>
        </w:tc>
        <w:tc>
          <w:tcPr>
            <w:tcW w:w="900" w:type="dxa"/>
            <w:tcBorders>
              <w:top w:val="nil"/>
              <w:left w:val="nil"/>
              <w:bottom w:val="nil"/>
              <w:right w:val="single" w:sz="4" w:space="0" w:color="auto"/>
            </w:tcBorders>
            <w:shd w:val="clear" w:color="auto" w:fill="auto"/>
            <w:vAlign w:val="center"/>
            <w:hideMark/>
          </w:tcPr>
          <w:p w14:paraId="2C65F8D7"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11,882.7 </w:t>
            </w:r>
          </w:p>
        </w:tc>
        <w:tc>
          <w:tcPr>
            <w:tcW w:w="796" w:type="dxa"/>
            <w:tcBorders>
              <w:top w:val="nil"/>
              <w:left w:val="nil"/>
              <w:right w:val="single" w:sz="4" w:space="0" w:color="auto"/>
            </w:tcBorders>
            <w:shd w:val="clear" w:color="auto" w:fill="auto"/>
            <w:vAlign w:val="center"/>
            <w:hideMark/>
          </w:tcPr>
          <w:p w14:paraId="5F082872"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23,400.6 </w:t>
            </w:r>
          </w:p>
        </w:tc>
      </w:tr>
      <w:tr w:rsidR="009C313D" w:rsidRPr="005B7A8D" w14:paraId="136B5646" w14:textId="77777777" w:rsidTr="00560A50">
        <w:trPr>
          <w:trHeight w:val="300"/>
          <w:jc w:val="center"/>
        </w:trPr>
        <w:tc>
          <w:tcPr>
            <w:tcW w:w="270" w:type="dxa"/>
            <w:vMerge/>
            <w:tcBorders>
              <w:top w:val="single" w:sz="4" w:space="0" w:color="auto"/>
              <w:left w:val="single" w:sz="4" w:space="0" w:color="auto"/>
              <w:bottom w:val="single" w:sz="4" w:space="0" w:color="000000"/>
              <w:right w:val="nil"/>
            </w:tcBorders>
            <w:vAlign w:val="center"/>
            <w:hideMark/>
          </w:tcPr>
          <w:p w14:paraId="65B5585D"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single" w:sz="4" w:space="0" w:color="auto"/>
              <w:right w:val="single" w:sz="4" w:space="0" w:color="auto"/>
            </w:tcBorders>
            <w:shd w:val="clear" w:color="000000" w:fill="D9E1F2"/>
            <w:vAlign w:val="center"/>
            <w:hideMark/>
          </w:tcPr>
          <w:p w14:paraId="790BD5B4"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Korea</w:t>
            </w:r>
          </w:p>
        </w:tc>
        <w:tc>
          <w:tcPr>
            <w:tcW w:w="3150" w:type="dxa"/>
            <w:tcBorders>
              <w:top w:val="nil"/>
              <w:left w:val="nil"/>
              <w:bottom w:val="single" w:sz="4" w:space="0" w:color="auto"/>
              <w:right w:val="single" w:sz="4" w:space="0" w:color="auto"/>
            </w:tcBorders>
            <w:shd w:val="clear" w:color="000000" w:fill="D9E1F2"/>
            <w:vAlign w:val="center"/>
            <w:hideMark/>
          </w:tcPr>
          <w:p w14:paraId="56124623"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Korea Exchange</w:t>
            </w:r>
          </w:p>
        </w:tc>
        <w:tc>
          <w:tcPr>
            <w:tcW w:w="810" w:type="dxa"/>
            <w:tcBorders>
              <w:top w:val="nil"/>
              <w:left w:val="nil"/>
              <w:bottom w:val="single" w:sz="4" w:space="0" w:color="auto"/>
              <w:right w:val="single" w:sz="4" w:space="0" w:color="auto"/>
            </w:tcBorders>
            <w:shd w:val="clear" w:color="auto" w:fill="auto"/>
            <w:vAlign w:val="center"/>
            <w:hideMark/>
          </w:tcPr>
          <w:p w14:paraId="16198E59"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302.3 </w:t>
            </w:r>
          </w:p>
        </w:tc>
        <w:tc>
          <w:tcPr>
            <w:tcW w:w="866" w:type="dxa"/>
            <w:tcBorders>
              <w:top w:val="nil"/>
              <w:left w:val="nil"/>
              <w:bottom w:val="single" w:sz="4" w:space="0" w:color="auto"/>
              <w:right w:val="single" w:sz="4" w:space="0" w:color="auto"/>
            </w:tcBorders>
            <w:shd w:val="clear" w:color="auto" w:fill="auto"/>
            <w:vAlign w:val="center"/>
            <w:hideMark/>
          </w:tcPr>
          <w:p w14:paraId="6D76B9CE"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46,078.8 </w:t>
            </w:r>
          </w:p>
        </w:tc>
        <w:tc>
          <w:tcPr>
            <w:tcW w:w="844" w:type="dxa"/>
            <w:tcBorders>
              <w:top w:val="nil"/>
              <w:left w:val="nil"/>
              <w:bottom w:val="single" w:sz="4" w:space="0" w:color="auto"/>
              <w:right w:val="single" w:sz="4" w:space="0" w:color="auto"/>
            </w:tcBorders>
            <w:shd w:val="clear" w:color="auto" w:fill="auto"/>
            <w:vAlign w:val="center"/>
            <w:hideMark/>
          </w:tcPr>
          <w:p w14:paraId="7EC30CFE"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46,381.0 </w:t>
            </w:r>
          </w:p>
        </w:tc>
        <w:tc>
          <w:tcPr>
            <w:tcW w:w="824" w:type="dxa"/>
            <w:tcBorders>
              <w:top w:val="nil"/>
              <w:left w:val="nil"/>
              <w:bottom w:val="single" w:sz="4" w:space="0" w:color="auto"/>
              <w:right w:val="single" w:sz="4" w:space="0" w:color="auto"/>
            </w:tcBorders>
            <w:shd w:val="clear" w:color="auto" w:fill="auto"/>
            <w:vAlign w:val="center"/>
            <w:hideMark/>
          </w:tcPr>
          <w:p w14:paraId="1BD6618A"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346.5 </w:t>
            </w:r>
          </w:p>
        </w:tc>
        <w:tc>
          <w:tcPr>
            <w:tcW w:w="900" w:type="dxa"/>
            <w:tcBorders>
              <w:top w:val="nil"/>
              <w:left w:val="nil"/>
              <w:bottom w:val="single" w:sz="4" w:space="0" w:color="auto"/>
              <w:right w:val="single" w:sz="4" w:space="0" w:color="auto"/>
            </w:tcBorders>
            <w:shd w:val="clear" w:color="auto" w:fill="auto"/>
            <w:vAlign w:val="center"/>
            <w:hideMark/>
          </w:tcPr>
          <w:p w14:paraId="0A68A8F4"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42,094.5 </w:t>
            </w:r>
          </w:p>
        </w:tc>
        <w:tc>
          <w:tcPr>
            <w:tcW w:w="796" w:type="dxa"/>
            <w:tcBorders>
              <w:top w:val="nil"/>
              <w:left w:val="nil"/>
              <w:bottom w:val="single" w:sz="4" w:space="0" w:color="auto"/>
              <w:right w:val="single" w:sz="4" w:space="0" w:color="auto"/>
            </w:tcBorders>
            <w:shd w:val="clear" w:color="auto" w:fill="auto"/>
            <w:vAlign w:val="center"/>
            <w:hideMark/>
          </w:tcPr>
          <w:p w14:paraId="6C26467F"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42,441.0 </w:t>
            </w:r>
          </w:p>
        </w:tc>
      </w:tr>
      <w:tr w:rsidR="009C313D" w:rsidRPr="005B7A8D" w14:paraId="63B6675D" w14:textId="77777777" w:rsidTr="00560A50">
        <w:trPr>
          <w:trHeight w:val="64"/>
          <w:jc w:val="center"/>
        </w:trPr>
        <w:tc>
          <w:tcPr>
            <w:tcW w:w="270" w:type="dxa"/>
            <w:vMerge w:val="restart"/>
            <w:tcBorders>
              <w:top w:val="nil"/>
              <w:left w:val="single" w:sz="4" w:space="0" w:color="auto"/>
              <w:bottom w:val="single" w:sz="4" w:space="0" w:color="000000"/>
              <w:right w:val="nil"/>
            </w:tcBorders>
            <w:shd w:val="clear" w:color="000000" w:fill="D9E1F2"/>
            <w:textDirection w:val="btLr"/>
            <w:vAlign w:val="center"/>
            <w:hideMark/>
          </w:tcPr>
          <w:p w14:paraId="17D970B5" w14:textId="77777777" w:rsidR="009C313D" w:rsidRPr="005B7A8D" w:rsidRDefault="009C313D" w:rsidP="00560A50">
            <w:pPr>
              <w:jc w:val="cente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BRICS</w:t>
            </w:r>
          </w:p>
        </w:tc>
        <w:tc>
          <w:tcPr>
            <w:tcW w:w="1080" w:type="dxa"/>
            <w:tcBorders>
              <w:top w:val="nil"/>
              <w:left w:val="single" w:sz="4" w:space="0" w:color="auto"/>
              <w:bottom w:val="nil"/>
              <w:right w:val="single" w:sz="4" w:space="0" w:color="auto"/>
            </w:tcBorders>
            <w:shd w:val="clear" w:color="000000" w:fill="D9E1F2"/>
            <w:vAlign w:val="center"/>
            <w:hideMark/>
          </w:tcPr>
          <w:p w14:paraId="0BC588DA"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Brazil</w:t>
            </w:r>
          </w:p>
        </w:tc>
        <w:tc>
          <w:tcPr>
            <w:tcW w:w="3150" w:type="dxa"/>
            <w:tcBorders>
              <w:top w:val="nil"/>
              <w:left w:val="nil"/>
              <w:bottom w:val="nil"/>
              <w:right w:val="single" w:sz="4" w:space="0" w:color="auto"/>
            </w:tcBorders>
            <w:shd w:val="clear" w:color="000000" w:fill="D9E1F2"/>
            <w:vAlign w:val="center"/>
            <w:hideMark/>
          </w:tcPr>
          <w:p w14:paraId="341FD668"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BM&amp;FBOVESPA S.A.</w:t>
            </w:r>
          </w:p>
        </w:tc>
        <w:tc>
          <w:tcPr>
            <w:tcW w:w="810" w:type="dxa"/>
            <w:tcBorders>
              <w:top w:val="nil"/>
              <w:left w:val="nil"/>
              <w:bottom w:val="nil"/>
              <w:right w:val="single" w:sz="4" w:space="0" w:color="auto"/>
            </w:tcBorders>
            <w:shd w:val="clear" w:color="auto" w:fill="auto"/>
            <w:vAlign w:val="center"/>
            <w:hideMark/>
          </w:tcPr>
          <w:p w14:paraId="44712AFF"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w:t>
            </w:r>
          </w:p>
        </w:tc>
        <w:tc>
          <w:tcPr>
            <w:tcW w:w="866" w:type="dxa"/>
            <w:tcBorders>
              <w:top w:val="nil"/>
              <w:left w:val="nil"/>
              <w:bottom w:val="nil"/>
              <w:right w:val="single" w:sz="4" w:space="0" w:color="auto"/>
            </w:tcBorders>
            <w:shd w:val="clear" w:color="auto" w:fill="auto"/>
            <w:vAlign w:val="center"/>
            <w:hideMark/>
          </w:tcPr>
          <w:p w14:paraId="448B62F6"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665.4 </w:t>
            </w:r>
          </w:p>
        </w:tc>
        <w:tc>
          <w:tcPr>
            <w:tcW w:w="844" w:type="dxa"/>
            <w:tcBorders>
              <w:top w:val="single" w:sz="4" w:space="0" w:color="auto"/>
              <w:left w:val="nil"/>
              <w:bottom w:val="nil"/>
              <w:right w:val="single" w:sz="4" w:space="0" w:color="auto"/>
            </w:tcBorders>
            <w:shd w:val="clear" w:color="auto" w:fill="auto"/>
            <w:vAlign w:val="center"/>
            <w:hideMark/>
          </w:tcPr>
          <w:p w14:paraId="3260478B"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665.4 </w:t>
            </w:r>
          </w:p>
        </w:tc>
        <w:tc>
          <w:tcPr>
            <w:tcW w:w="824" w:type="dxa"/>
            <w:tcBorders>
              <w:top w:val="nil"/>
              <w:left w:val="nil"/>
              <w:bottom w:val="nil"/>
              <w:right w:val="single" w:sz="4" w:space="0" w:color="auto"/>
            </w:tcBorders>
            <w:shd w:val="clear" w:color="auto" w:fill="auto"/>
            <w:vAlign w:val="center"/>
            <w:hideMark/>
          </w:tcPr>
          <w:p w14:paraId="32A5609C"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NA </w:t>
            </w:r>
          </w:p>
        </w:tc>
        <w:tc>
          <w:tcPr>
            <w:tcW w:w="900" w:type="dxa"/>
            <w:tcBorders>
              <w:top w:val="nil"/>
              <w:left w:val="nil"/>
              <w:bottom w:val="nil"/>
              <w:right w:val="single" w:sz="4" w:space="0" w:color="auto"/>
            </w:tcBorders>
            <w:shd w:val="clear" w:color="auto" w:fill="auto"/>
            <w:vAlign w:val="center"/>
            <w:hideMark/>
          </w:tcPr>
          <w:p w14:paraId="0D781498"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NA </w:t>
            </w:r>
          </w:p>
        </w:tc>
        <w:tc>
          <w:tcPr>
            <w:tcW w:w="796" w:type="dxa"/>
            <w:tcBorders>
              <w:top w:val="single" w:sz="4" w:space="0" w:color="auto"/>
              <w:left w:val="nil"/>
              <w:bottom w:val="nil"/>
              <w:right w:val="single" w:sz="4" w:space="0" w:color="auto"/>
            </w:tcBorders>
            <w:shd w:val="clear" w:color="auto" w:fill="auto"/>
            <w:vAlign w:val="center"/>
            <w:hideMark/>
          </w:tcPr>
          <w:p w14:paraId="52BACF7A"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w:t>
            </w:r>
          </w:p>
        </w:tc>
      </w:tr>
      <w:tr w:rsidR="009C313D" w:rsidRPr="005B7A8D" w14:paraId="7B2425F4" w14:textId="77777777" w:rsidTr="00560A50">
        <w:trPr>
          <w:trHeight w:val="64"/>
          <w:jc w:val="center"/>
        </w:trPr>
        <w:tc>
          <w:tcPr>
            <w:tcW w:w="270" w:type="dxa"/>
            <w:vMerge/>
            <w:tcBorders>
              <w:top w:val="nil"/>
              <w:left w:val="single" w:sz="4" w:space="0" w:color="auto"/>
              <w:bottom w:val="single" w:sz="4" w:space="0" w:color="000000"/>
              <w:right w:val="nil"/>
            </w:tcBorders>
            <w:vAlign w:val="center"/>
            <w:hideMark/>
          </w:tcPr>
          <w:p w14:paraId="67A85823"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404A327F"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Russia</w:t>
            </w:r>
          </w:p>
        </w:tc>
        <w:tc>
          <w:tcPr>
            <w:tcW w:w="3150" w:type="dxa"/>
            <w:tcBorders>
              <w:top w:val="nil"/>
              <w:left w:val="nil"/>
              <w:bottom w:val="nil"/>
              <w:right w:val="single" w:sz="4" w:space="0" w:color="auto"/>
            </w:tcBorders>
            <w:shd w:val="clear" w:color="000000" w:fill="D9E1F2"/>
            <w:vAlign w:val="center"/>
            <w:hideMark/>
          </w:tcPr>
          <w:p w14:paraId="79800EAC"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Moscow Exchange</w:t>
            </w:r>
          </w:p>
        </w:tc>
        <w:tc>
          <w:tcPr>
            <w:tcW w:w="810" w:type="dxa"/>
            <w:tcBorders>
              <w:top w:val="nil"/>
              <w:left w:val="nil"/>
              <w:bottom w:val="nil"/>
              <w:right w:val="single" w:sz="4" w:space="0" w:color="auto"/>
            </w:tcBorders>
            <w:shd w:val="clear" w:color="auto" w:fill="auto"/>
            <w:vAlign w:val="center"/>
            <w:hideMark/>
          </w:tcPr>
          <w:p w14:paraId="40BFC2D6"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866" w:type="dxa"/>
            <w:tcBorders>
              <w:top w:val="nil"/>
              <w:left w:val="nil"/>
              <w:bottom w:val="nil"/>
              <w:right w:val="nil"/>
            </w:tcBorders>
            <w:shd w:val="clear" w:color="auto" w:fill="auto"/>
            <w:vAlign w:val="center"/>
            <w:hideMark/>
          </w:tcPr>
          <w:p w14:paraId="17A26A61"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27,846.5 </w:t>
            </w:r>
          </w:p>
        </w:tc>
        <w:tc>
          <w:tcPr>
            <w:tcW w:w="844" w:type="dxa"/>
            <w:tcBorders>
              <w:top w:val="nil"/>
              <w:left w:val="single" w:sz="4" w:space="0" w:color="auto"/>
              <w:bottom w:val="nil"/>
              <w:right w:val="single" w:sz="4" w:space="0" w:color="auto"/>
            </w:tcBorders>
            <w:shd w:val="clear" w:color="auto" w:fill="auto"/>
            <w:vAlign w:val="center"/>
            <w:hideMark/>
          </w:tcPr>
          <w:p w14:paraId="4CD7CE86"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27,846.5 </w:t>
            </w:r>
          </w:p>
        </w:tc>
        <w:tc>
          <w:tcPr>
            <w:tcW w:w="824" w:type="dxa"/>
            <w:tcBorders>
              <w:top w:val="nil"/>
              <w:left w:val="nil"/>
              <w:bottom w:val="nil"/>
              <w:right w:val="single" w:sz="4" w:space="0" w:color="auto"/>
            </w:tcBorders>
            <w:shd w:val="clear" w:color="auto" w:fill="auto"/>
            <w:vAlign w:val="center"/>
            <w:hideMark/>
          </w:tcPr>
          <w:p w14:paraId="0E1AC8DE"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900" w:type="dxa"/>
            <w:tcBorders>
              <w:top w:val="nil"/>
              <w:left w:val="nil"/>
              <w:bottom w:val="nil"/>
              <w:right w:val="nil"/>
            </w:tcBorders>
            <w:shd w:val="clear" w:color="auto" w:fill="auto"/>
            <w:vAlign w:val="center"/>
            <w:hideMark/>
          </w:tcPr>
          <w:p w14:paraId="3498AC7D"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NA </w:t>
            </w:r>
          </w:p>
        </w:tc>
        <w:tc>
          <w:tcPr>
            <w:tcW w:w="796" w:type="dxa"/>
            <w:tcBorders>
              <w:top w:val="nil"/>
              <w:left w:val="single" w:sz="4" w:space="0" w:color="auto"/>
              <w:bottom w:val="nil"/>
              <w:right w:val="single" w:sz="4" w:space="0" w:color="auto"/>
            </w:tcBorders>
            <w:shd w:val="clear" w:color="auto" w:fill="auto"/>
            <w:vAlign w:val="center"/>
            <w:hideMark/>
          </w:tcPr>
          <w:p w14:paraId="601E07F5"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NA </w:t>
            </w:r>
          </w:p>
        </w:tc>
      </w:tr>
      <w:tr w:rsidR="009C313D" w:rsidRPr="005B7A8D" w14:paraId="599473EE" w14:textId="77777777" w:rsidTr="00560A50">
        <w:trPr>
          <w:trHeight w:val="47"/>
          <w:jc w:val="center"/>
        </w:trPr>
        <w:tc>
          <w:tcPr>
            <w:tcW w:w="270" w:type="dxa"/>
            <w:vMerge/>
            <w:tcBorders>
              <w:top w:val="nil"/>
              <w:left w:val="single" w:sz="4" w:space="0" w:color="auto"/>
              <w:bottom w:val="single" w:sz="4" w:space="0" w:color="000000"/>
              <w:right w:val="nil"/>
            </w:tcBorders>
            <w:vAlign w:val="center"/>
            <w:hideMark/>
          </w:tcPr>
          <w:p w14:paraId="34D10DAF"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5306B8C8"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India</w:t>
            </w:r>
          </w:p>
        </w:tc>
        <w:tc>
          <w:tcPr>
            <w:tcW w:w="3150" w:type="dxa"/>
            <w:tcBorders>
              <w:top w:val="nil"/>
              <w:left w:val="nil"/>
              <w:bottom w:val="nil"/>
              <w:right w:val="single" w:sz="4" w:space="0" w:color="auto"/>
            </w:tcBorders>
            <w:shd w:val="clear" w:color="000000" w:fill="D9E1F2"/>
            <w:vAlign w:val="center"/>
            <w:hideMark/>
          </w:tcPr>
          <w:p w14:paraId="43EBB210"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BSE India Limited</w:t>
            </w:r>
          </w:p>
        </w:tc>
        <w:tc>
          <w:tcPr>
            <w:tcW w:w="810" w:type="dxa"/>
            <w:tcBorders>
              <w:top w:val="nil"/>
              <w:left w:val="nil"/>
              <w:bottom w:val="nil"/>
              <w:right w:val="single" w:sz="4" w:space="0" w:color="auto"/>
            </w:tcBorders>
            <w:shd w:val="clear" w:color="auto" w:fill="auto"/>
            <w:vAlign w:val="center"/>
            <w:hideMark/>
          </w:tcPr>
          <w:p w14:paraId="441AEEBF"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619.4 </w:t>
            </w:r>
          </w:p>
        </w:tc>
        <w:tc>
          <w:tcPr>
            <w:tcW w:w="866" w:type="dxa"/>
            <w:tcBorders>
              <w:top w:val="nil"/>
              <w:left w:val="nil"/>
              <w:bottom w:val="nil"/>
              <w:right w:val="nil"/>
            </w:tcBorders>
            <w:shd w:val="clear" w:color="auto" w:fill="auto"/>
            <w:vAlign w:val="center"/>
            <w:hideMark/>
          </w:tcPr>
          <w:p w14:paraId="5845F48B"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297.7 </w:t>
            </w:r>
          </w:p>
        </w:tc>
        <w:tc>
          <w:tcPr>
            <w:tcW w:w="844" w:type="dxa"/>
            <w:tcBorders>
              <w:top w:val="nil"/>
              <w:left w:val="single" w:sz="4" w:space="0" w:color="auto"/>
              <w:bottom w:val="nil"/>
              <w:right w:val="single" w:sz="4" w:space="0" w:color="auto"/>
            </w:tcBorders>
            <w:shd w:val="clear" w:color="auto" w:fill="auto"/>
            <w:vAlign w:val="center"/>
            <w:hideMark/>
          </w:tcPr>
          <w:p w14:paraId="0EC36C90"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917.1 </w:t>
            </w:r>
          </w:p>
        </w:tc>
        <w:tc>
          <w:tcPr>
            <w:tcW w:w="824" w:type="dxa"/>
            <w:tcBorders>
              <w:top w:val="nil"/>
              <w:left w:val="nil"/>
              <w:bottom w:val="nil"/>
              <w:right w:val="single" w:sz="4" w:space="0" w:color="auto"/>
            </w:tcBorders>
            <w:shd w:val="clear" w:color="auto" w:fill="auto"/>
            <w:vAlign w:val="center"/>
            <w:hideMark/>
          </w:tcPr>
          <w:p w14:paraId="7A2891A6"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557.4 </w:t>
            </w:r>
          </w:p>
        </w:tc>
        <w:tc>
          <w:tcPr>
            <w:tcW w:w="900" w:type="dxa"/>
            <w:tcBorders>
              <w:top w:val="nil"/>
              <w:left w:val="nil"/>
              <w:bottom w:val="nil"/>
              <w:right w:val="nil"/>
            </w:tcBorders>
            <w:shd w:val="clear" w:color="auto" w:fill="auto"/>
            <w:vAlign w:val="center"/>
            <w:hideMark/>
          </w:tcPr>
          <w:p w14:paraId="01687622"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360.5 </w:t>
            </w:r>
          </w:p>
        </w:tc>
        <w:tc>
          <w:tcPr>
            <w:tcW w:w="796" w:type="dxa"/>
            <w:tcBorders>
              <w:top w:val="nil"/>
              <w:left w:val="single" w:sz="4" w:space="0" w:color="auto"/>
              <w:bottom w:val="nil"/>
              <w:right w:val="single" w:sz="4" w:space="0" w:color="auto"/>
            </w:tcBorders>
            <w:shd w:val="clear" w:color="auto" w:fill="auto"/>
            <w:vAlign w:val="center"/>
            <w:hideMark/>
          </w:tcPr>
          <w:p w14:paraId="1F88AE53"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917.9 </w:t>
            </w:r>
          </w:p>
        </w:tc>
      </w:tr>
      <w:tr w:rsidR="009C313D" w:rsidRPr="005B7A8D" w14:paraId="3451C1BD" w14:textId="77777777" w:rsidTr="00560A50">
        <w:trPr>
          <w:trHeight w:val="47"/>
          <w:jc w:val="center"/>
        </w:trPr>
        <w:tc>
          <w:tcPr>
            <w:tcW w:w="270" w:type="dxa"/>
            <w:vMerge/>
            <w:tcBorders>
              <w:top w:val="nil"/>
              <w:left w:val="single" w:sz="4" w:space="0" w:color="auto"/>
              <w:bottom w:val="single" w:sz="4" w:space="0" w:color="000000"/>
              <w:right w:val="nil"/>
            </w:tcBorders>
            <w:vAlign w:val="center"/>
            <w:hideMark/>
          </w:tcPr>
          <w:p w14:paraId="2F304545"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69DE3517"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India</w:t>
            </w:r>
          </w:p>
        </w:tc>
        <w:tc>
          <w:tcPr>
            <w:tcW w:w="3150" w:type="dxa"/>
            <w:tcBorders>
              <w:top w:val="nil"/>
              <w:left w:val="nil"/>
              <w:bottom w:val="nil"/>
              <w:right w:val="single" w:sz="4" w:space="0" w:color="auto"/>
            </w:tcBorders>
            <w:shd w:val="clear" w:color="000000" w:fill="D9E1F2"/>
            <w:vAlign w:val="center"/>
            <w:hideMark/>
          </w:tcPr>
          <w:p w14:paraId="0CA7A912"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National Stock Exchange of India Limited</w:t>
            </w:r>
          </w:p>
        </w:tc>
        <w:tc>
          <w:tcPr>
            <w:tcW w:w="810" w:type="dxa"/>
            <w:tcBorders>
              <w:top w:val="nil"/>
              <w:left w:val="nil"/>
              <w:bottom w:val="nil"/>
              <w:right w:val="single" w:sz="4" w:space="0" w:color="auto"/>
            </w:tcBorders>
            <w:shd w:val="clear" w:color="auto" w:fill="auto"/>
            <w:vAlign w:val="center"/>
            <w:hideMark/>
          </w:tcPr>
          <w:p w14:paraId="170DD8BB"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2,308.5 </w:t>
            </w:r>
          </w:p>
        </w:tc>
        <w:tc>
          <w:tcPr>
            <w:tcW w:w="866" w:type="dxa"/>
            <w:tcBorders>
              <w:top w:val="nil"/>
              <w:left w:val="nil"/>
              <w:bottom w:val="nil"/>
              <w:right w:val="nil"/>
            </w:tcBorders>
            <w:shd w:val="clear" w:color="auto" w:fill="auto"/>
            <w:vAlign w:val="center"/>
            <w:hideMark/>
          </w:tcPr>
          <w:p w14:paraId="09403276"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22,296.1 </w:t>
            </w:r>
          </w:p>
        </w:tc>
        <w:tc>
          <w:tcPr>
            <w:tcW w:w="844" w:type="dxa"/>
            <w:tcBorders>
              <w:top w:val="nil"/>
              <w:left w:val="single" w:sz="4" w:space="0" w:color="auto"/>
              <w:bottom w:val="nil"/>
              <w:right w:val="single" w:sz="4" w:space="0" w:color="auto"/>
            </w:tcBorders>
            <w:shd w:val="clear" w:color="auto" w:fill="auto"/>
            <w:vAlign w:val="center"/>
            <w:hideMark/>
          </w:tcPr>
          <w:p w14:paraId="7EDC9901"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24,604.6 </w:t>
            </w:r>
          </w:p>
        </w:tc>
        <w:tc>
          <w:tcPr>
            <w:tcW w:w="824" w:type="dxa"/>
            <w:tcBorders>
              <w:top w:val="nil"/>
              <w:left w:val="nil"/>
              <w:bottom w:val="nil"/>
              <w:right w:val="single" w:sz="4" w:space="0" w:color="auto"/>
            </w:tcBorders>
            <w:shd w:val="clear" w:color="auto" w:fill="auto"/>
            <w:vAlign w:val="center"/>
            <w:hideMark/>
          </w:tcPr>
          <w:p w14:paraId="6FE6A7C8"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  625.9 </w:t>
            </w:r>
          </w:p>
        </w:tc>
        <w:tc>
          <w:tcPr>
            <w:tcW w:w="900" w:type="dxa"/>
            <w:tcBorders>
              <w:top w:val="nil"/>
              <w:left w:val="nil"/>
              <w:bottom w:val="nil"/>
              <w:right w:val="nil"/>
            </w:tcBorders>
            <w:shd w:val="clear" w:color="auto" w:fill="auto"/>
            <w:vAlign w:val="center"/>
            <w:hideMark/>
          </w:tcPr>
          <w:p w14:paraId="7EBF9D90"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19,487.1 </w:t>
            </w:r>
          </w:p>
        </w:tc>
        <w:tc>
          <w:tcPr>
            <w:tcW w:w="796" w:type="dxa"/>
            <w:tcBorders>
              <w:top w:val="nil"/>
              <w:left w:val="single" w:sz="4" w:space="0" w:color="auto"/>
              <w:bottom w:val="nil"/>
              <w:right w:val="single" w:sz="4" w:space="0" w:color="auto"/>
            </w:tcBorders>
            <w:shd w:val="clear" w:color="auto" w:fill="auto"/>
            <w:vAlign w:val="center"/>
            <w:hideMark/>
          </w:tcPr>
          <w:p w14:paraId="180C8B89"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 20,113.0 </w:t>
            </w:r>
          </w:p>
        </w:tc>
      </w:tr>
      <w:tr w:rsidR="009C313D" w:rsidRPr="005B7A8D" w14:paraId="1CCF8333" w14:textId="77777777" w:rsidTr="00560A50">
        <w:trPr>
          <w:trHeight w:val="64"/>
          <w:jc w:val="center"/>
        </w:trPr>
        <w:tc>
          <w:tcPr>
            <w:tcW w:w="270" w:type="dxa"/>
            <w:vMerge/>
            <w:tcBorders>
              <w:top w:val="nil"/>
              <w:left w:val="single" w:sz="4" w:space="0" w:color="auto"/>
              <w:bottom w:val="single" w:sz="4" w:space="0" w:color="000000"/>
              <w:right w:val="nil"/>
            </w:tcBorders>
            <w:vAlign w:val="center"/>
            <w:hideMark/>
          </w:tcPr>
          <w:p w14:paraId="3F8247A0"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0402A869"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China</w:t>
            </w:r>
          </w:p>
        </w:tc>
        <w:tc>
          <w:tcPr>
            <w:tcW w:w="3150" w:type="dxa"/>
            <w:tcBorders>
              <w:top w:val="nil"/>
              <w:left w:val="nil"/>
              <w:bottom w:val="nil"/>
              <w:right w:val="single" w:sz="4" w:space="0" w:color="auto"/>
            </w:tcBorders>
            <w:shd w:val="clear" w:color="000000" w:fill="D9E1F2"/>
            <w:vAlign w:val="center"/>
            <w:hideMark/>
          </w:tcPr>
          <w:p w14:paraId="75036B1B"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Shanghai Stock Exchange</w:t>
            </w:r>
          </w:p>
        </w:tc>
        <w:tc>
          <w:tcPr>
            <w:tcW w:w="810" w:type="dxa"/>
            <w:tcBorders>
              <w:top w:val="nil"/>
              <w:left w:val="nil"/>
              <w:bottom w:val="nil"/>
              <w:right w:val="single" w:sz="4" w:space="0" w:color="auto"/>
            </w:tcBorders>
            <w:shd w:val="clear" w:color="auto" w:fill="auto"/>
            <w:vAlign w:val="center"/>
            <w:hideMark/>
          </w:tcPr>
          <w:p w14:paraId="1F30D609"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20,757.3 </w:t>
            </w:r>
          </w:p>
        </w:tc>
        <w:tc>
          <w:tcPr>
            <w:tcW w:w="866" w:type="dxa"/>
            <w:tcBorders>
              <w:top w:val="nil"/>
              <w:left w:val="nil"/>
              <w:bottom w:val="nil"/>
              <w:right w:val="single" w:sz="4" w:space="0" w:color="auto"/>
            </w:tcBorders>
            <w:shd w:val="clear" w:color="auto" w:fill="auto"/>
            <w:vAlign w:val="center"/>
            <w:hideMark/>
          </w:tcPr>
          <w:p w14:paraId="2F8FC80D"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844" w:type="dxa"/>
            <w:tcBorders>
              <w:top w:val="nil"/>
              <w:left w:val="nil"/>
              <w:bottom w:val="nil"/>
              <w:right w:val="single" w:sz="4" w:space="0" w:color="auto"/>
            </w:tcBorders>
            <w:shd w:val="clear" w:color="auto" w:fill="auto"/>
            <w:vAlign w:val="center"/>
            <w:hideMark/>
          </w:tcPr>
          <w:p w14:paraId="39FA57B7"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20,757.3 </w:t>
            </w:r>
          </w:p>
        </w:tc>
        <w:tc>
          <w:tcPr>
            <w:tcW w:w="824" w:type="dxa"/>
            <w:tcBorders>
              <w:top w:val="nil"/>
              <w:left w:val="nil"/>
              <w:bottom w:val="nil"/>
              <w:right w:val="single" w:sz="4" w:space="0" w:color="auto"/>
            </w:tcBorders>
            <w:shd w:val="clear" w:color="auto" w:fill="auto"/>
            <w:vAlign w:val="center"/>
            <w:hideMark/>
          </w:tcPr>
          <w:p w14:paraId="5403DBC6"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11,761.5 </w:t>
            </w:r>
          </w:p>
        </w:tc>
        <w:tc>
          <w:tcPr>
            <w:tcW w:w="900" w:type="dxa"/>
            <w:tcBorders>
              <w:top w:val="nil"/>
              <w:left w:val="nil"/>
              <w:bottom w:val="nil"/>
              <w:right w:val="single" w:sz="4" w:space="0" w:color="auto"/>
            </w:tcBorders>
            <w:shd w:val="clear" w:color="auto" w:fill="auto"/>
            <w:vAlign w:val="center"/>
            <w:hideMark/>
          </w:tcPr>
          <w:p w14:paraId="33132208" w14:textId="77777777" w:rsidR="009C313D" w:rsidRPr="005B7A8D" w:rsidRDefault="009C313D" w:rsidP="00560A50">
            <w:pPr>
              <w:jc w:val="right"/>
              <w:rPr>
                <w:rFonts w:ascii="Garamond" w:eastAsia="Times New Roman" w:hAnsi="Garamond" w:cs="Calibri"/>
                <w:color w:val="000000"/>
                <w:sz w:val="18"/>
                <w:szCs w:val="18"/>
                <w:lang w:eastAsia="en-GB"/>
              </w:rPr>
            </w:pPr>
            <w:r>
              <w:rPr>
                <w:rFonts w:ascii="Garamond" w:eastAsia="Times New Roman" w:hAnsi="Garamond" w:cs="Calibri"/>
                <w:color w:val="000000"/>
                <w:sz w:val="18"/>
                <w:szCs w:val="18"/>
                <w:lang w:eastAsia="en-GB"/>
              </w:rPr>
              <w:t>NA</w:t>
            </w:r>
          </w:p>
        </w:tc>
        <w:tc>
          <w:tcPr>
            <w:tcW w:w="796" w:type="dxa"/>
            <w:tcBorders>
              <w:top w:val="nil"/>
              <w:left w:val="nil"/>
              <w:bottom w:val="nil"/>
              <w:right w:val="single" w:sz="4" w:space="0" w:color="auto"/>
            </w:tcBorders>
            <w:shd w:val="clear" w:color="auto" w:fill="auto"/>
            <w:vAlign w:val="center"/>
            <w:hideMark/>
          </w:tcPr>
          <w:p w14:paraId="000D645A"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11,761.5 </w:t>
            </w:r>
          </w:p>
        </w:tc>
      </w:tr>
      <w:tr w:rsidR="009C313D" w:rsidRPr="005B7A8D" w14:paraId="7166F660" w14:textId="77777777" w:rsidTr="00560A50">
        <w:trPr>
          <w:trHeight w:val="64"/>
          <w:jc w:val="center"/>
        </w:trPr>
        <w:tc>
          <w:tcPr>
            <w:tcW w:w="270" w:type="dxa"/>
            <w:vMerge/>
            <w:tcBorders>
              <w:top w:val="nil"/>
              <w:left w:val="single" w:sz="4" w:space="0" w:color="auto"/>
              <w:bottom w:val="single" w:sz="4" w:space="0" w:color="000000"/>
              <w:right w:val="nil"/>
            </w:tcBorders>
            <w:vAlign w:val="center"/>
            <w:hideMark/>
          </w:tcPr>
          <w:p w14:paraId="5FE8FF56"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nil"/>
              <w:right w:val="single" w:sz="4" w:space="0" w:color="auto"/>
            </w:tcBorders>
            <w:shd w:val="clear" w:color="000000" w:fill="D9E1F2"/>
            <w:vAlign w:val="center"/>
            <w:hideMark/>
          </w:tcPr>
          <w:p w14:paraId="08987C7C"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China</w:t>
            </w:r>
          </w:p>
        </w:tc>
        <w:tc>
          <w:tcPr>
            <w:tcW w:w="3150" w:type="dxa"/>
            <w:tcBorders>
              <w:top w:val="nil"/>
              <w:left w:val="nil"/>
              <w:bottom w:val="nil"/>
              <w:right w:val="single" w:sz="4" w:space="0" w:color="auto"/>
            </w:tcBorders>
            <w:shd w:val="clear" w:color="000000" w:fill="D9E1F2"/>
            <w:vAlign w:val="center"/>
            <w:hideMark/>
          </w:tcPr>
          <w:p w14:paraId="5CEC4649"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Shenzhen Stock Exchange</w:t>
            </w:r>
          </w:p>
        </w:tc>
        <w:tc>
          <w:tcPr>
            <w:tcW w:w="810" w:type="dxa"/>
            <w:tcBorders>
              <w:top w:val="nil"/>
              <w:left w:val="nil"/>
              <w:bottom w:val="nil"/>
              <w:right w:val="single" w:sz="4" w:space="0" w:color="auto"/>
            </w:tcBorders>
            <w:shd w:val="clear" w:color="auto" w:fill="auto"/>
            <w:vAlign w:val="center"/>
            <w:hideMark/>
          </w:tcPr>
          <w:p w14:paraId="6F5142EC"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4,818.3 </w:t>
            </w:r>
          </w:p>
        </w:tc>
        <w:tc>
          <w:tcPr>
            <w:tcW w:w="866" w:type="dxa"/>
            <w:tcBorders>
              <w:top w:val="nil"/>
              <w:left w:val="nil"/>
              <w:bottom w:val="nil"/>
              <w:right w:val="nil"/>
            </w:tcBorders>
            <w:shd w:val="clear" w:color="auto" w:fill="auto"/>
            <w:vAlign w:val="center"/>
            <w:hideMark/>
          </w:tcPr>
          <w:p w14:paraId="1B8140DC"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1,279.7 </w:t>
            </w:r>
          </w:p>
        </w:tc>
        <w:tc>
          <w:tcPr>
            <w:tcW w:w="844" w:type="dxa"/>
            <w:tcBorders>
              <w:top w:val="nil"/>
              <w:left w:val="single" w:sz="4" w:space="0" w:color="auto"/>
              <w:right w:val="single" w:sz="4" w:space="0" w:color="auto"/>
            </w:tcBorders>
            <w:shd w:val="clear" w:color="auto" w:fill="auto"/>
            <w:vAlign w:val="center"/>
            <w:hideMark/>
          </w:tcPr>
          <w:p w14:paraId="48A20BC4"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6,098.0 </w:t>
            </w:r>
          </w:p>
        </w:tc>
        <w:tc>
          <w:tcPr>
            <w:tcW w:w="824" w:type="dxa"/>
            <w:tcBorders>
              <w:top w:val="nil"/>
              <w:left w:val="nil"/>
              <w:bottom w:val="nil"/>
              <w:right w:val="single" w:sz="4" w:space="0" w:color="auto"/>
            </w:tcBorders>
            <w:shd w:val="clear" w:color="auto" w:fill="auto"/>
            <w:vAlign w:val="center"/>
            <w:hideMark/>
          </w:tcPr>
          <w:p w14:paraId="0BAA41DC"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1,946.4 </w:t>
            </w:r>
          </w:p>
        </w:tc>
        <w:tc>
          <w:tcPr>
            <w:tcW w:w="900" w:type="dxa"/>
            <w:tcBorders>
              <w:top w:val="nil"/>
              <w:left w:val="nil"/>
              <w:bottom w:val="nil"/>
              <w:right w:val="nil"/>
            </w:tcBorders>
            <w:shd w:val="clear" w:color="auto" w:fill="auto"/>
            <w:vAlign w:val="center"/>
            <w:hideMark/>
          </w:tcPr>
          <w:p w14:paraId="1DAD5EBB"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4,831.2 </w:t>
            </w:r>
          </w:p>
        </w:tc>
        <w:tc>
          <w:tcPr>
            <w:tcW w:w="796" w:type="dxa"/>
            <w:tcBorders>
              <w:top w:val="nil"/>
              <w:left w:val="single" w:sz="4" w:space="0" w:color="auto"/>
              <w:right w:val="single" w:sz="4" w:space="0" w:color="auto"/>
            </w:tcBorders>
            <w:shd w:val="clear" w:color="auto" w:fill="auto"/>
            <w:vAlign w:val="center"/>
            <w:hideMark/>
          </w:tcPr>
          <w:p w14:paraId="1F17DC31"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6,777.7 </w:t>
            </w:r>
          </w:p>
        </w:tc>
      </w:tr>
      <w:tr w:rsidR="009C313D" w:rsidRPr="005B7A8D" w14:paraId="5276FE63" w14:textId="77777777" w:rsidTr="00560A50">
        <w:trPr>
          <w:trHeight w:val="64"/>
          <w:jc w:val="center"/>
        </w:trPr>
        <w:tc>
          <w:tcPr>
            <w:tcW w:w="270" w:type="dxa"/>
            <w:vMerge/>
            <w:tcBorders>
              <w:top w:val="nil"/>
              <w:left w:val="single" w:sz="4" w:space="0" w:color="auto"/>
              <w:bottom w:val="single" w:sz="4" w:space="0" w:color="000000"/>
              <w:right w:val="nil"/>
            </w:tcBorders>
            <w:vAlign w:val="center"/>
            <w:hideMark/>
          </w:tcPr>
          <w:p w14:paraId="1606B205" w14:textId="77777777" w:rsidR="009C313D" w:rsidRPr="005B7A8D" w:rsidRDefault="009C313D" w:rsidP="00560A50">
            <w:pPr>
              <w:rPr>
                <w:rFonts w:ascii="Garamond" w:eastAsia="Times New Roman" w:hAnsi="Garamond" w:cs="Calibri"/>
                <w:color w:val="000000"/>
                <w:sz w:val="18"/>
                <w:szCs w:val="18"/>
                <w:lang w:eastAsia="en-GB"/>
              </w:rPr>
            </w:pPr>
          </w:p>
        </w:tc>
        <w:tc>
          <w:tcPr>
            <w:tcW w:w="1080" w:type="dxa"/>
            <w:tcBorders>
              <w:top w:val="nil"/>
              <w:left w:val="single" w:sz="4" w:space="0" w:color="auto"/>
              <w:bottom w:val="single" w:sz="4" w:space="0" w:color="auto"/>
              <w:right w:val="single" w:sz="4" w:space="0" w:color="auto"/>
            </w:tcBorders>
            <w:shd w:val="clear" w:color="000000" w:fill="D9E1F2"/>
            <w:vAlign w:val="center"/>
            <w:hideMark/>
          </w:tcPr>
          <w:p w14:paraId="19E82816"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South Africa</w:t>
            </w:r>
          </w:p>
        </w:tc>
        <w:tc>
          <w:tcPr>
            <w:tcW w:w="3150" w:type="dxa"/>
            <w:tcBorders>
              <w:top w:val="nil"/>
              <w:left w:val="nil"/>
              <w:bottom w:val="single" w:sz="4" w:space="0" w:color="auto"/>
              <w:right w:val="single" w:sz="4" w:space="0" w:color="auto"/>
            </w:tcBorders>
            <w:shd w:val="clear" w:color="000000" w:fill="D9E1F2"/>
            <w:vAlign w:val="center"/>
            <w:hideMark/>
          </w:tcPr>
          <w:p w14:paraId="7A56854B" w14:textId="77777777" w:rsidR="009C313D" w:rsidRPr="005B7A8D" w:rsidRDefault="009C313D" w:rsidP="00560A50">
            <w:pPr>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Johannesburg Stock Exchange</w:t>
            </w:r>
          </w:p>
        </w:tc>
        <w:tc>
          <w:tcPr>
            <w:tcW w:w="810" w:type="dxa"/>
            <w:tcBorders>
              <w:top w:val="nil"/>
              <w:left w:val="nil"/>
              <w:bottom w:val="single" w:sz="4" w:space="0" w:color="auto"/>
              <w:right w:val="single" w:sz="4" w:space="0" w:color="auto"/>
            </w:tcBorders>
            <w:shd w:val="clear" w:color="auto" w:fill="auto"/>
            <w:vAlign w:val="center"/>
            <w:hideMark/>
          </w:tcPr>
          <w:p w14:paraId="64447C04"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313.9 </w:t>
            </w:r>
          </w:p>
        </w:tc>
        <w:tc>
          <w:tcPr>
            <w:tcW w:w="866" w:type="dxa"/>
            <w:tcBorders>
              <w:top w:val="nil"/>
              <w:left w:val="nil"/>
              <w:bottom w:val="single" w:sz="4" w:space="0" w:color="auto"/>
              <w:right w:val="nil"/>
            </w:tcBorders>
            <w:shd w:val="clear" w:color="auto" w:fill="auto"/>
            <w:vAlign w:val="center"/>
            <w:hideMark/>
          </w:tcPr>
          <w:p w14:paraId="32568357"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2,311.2 </w:t>
            </w:r>
          </w:p>
        </w:tc>
        <w:tc>
          <w:tcPr>
            <w:tcW w:w="844" w:type="dxa"/>
            <w:tcBorders>
              <w:top w:val="nil"/>
              <w:left w:val="single" w:sz="4" w:space="0" w:color="auto"/>
              <w:bottom w:val="single" w:sz="4" w:space="0" w:color="auto"/>
              <w:right w:val="single" w:sz="4" w:space="0" w:color="auto"/>
            </w:tcBorders>
            <w:shd w:val="clear" w:color="auto" w:fill="auto"/>
            <w:vAlign w:val="center"/>
            <w:hideMark/>
          </w:tcPr>
          <w:p w14:paraId="3BF96AEF"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2,625.1 </w:t>
            </w:r>
          </w:p>
        </w:tc>
        <w:tc>
          <w:tcPr>
            <w:tcW w:w="824" w:type="dxa"/>
            <w:tcBorders>
              <w:top w:val="nil"/>
              <w:left w:val="nil"/>
              <w:bottom w:val="single" w:sz="4" w:space="0" w:color="auto"/>
              <w:right w:val="single" w:sz="4" w:space="0" w:color="auto"/>
            </w:tcBorders>
            <w:shd w:val="clear" w:color="auto" w:fill="auto"/>
            <w:vAlign w:val="center"/>
            <w:hideMark/>
          </w:tcPr>
          <w:p w14:paraId="6A8833DB"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76.9 </w:t>
            </w:r>
          </w:p>
        </w:tc>
        <w:tc>
          <w:tcPr>
            <w:tcW w:w="900" w:type="dxa"/>
            <w:tcBorders>
              <w:top w:val="nil"/>
              <w:left w:val="nil"/>
              <w:bottom w:val="single" w:sz="4" w:space="0" w:color="auto"/>
              <w:right w:val="nil"/>
            </w:tcBorders>
            <w:shd w:val="clear" w:color="auto" w:fill="auto"/>
            <w:vAlign w:val="center"/>
            <w:hideMark/>
          </w:tcPr>
          <w:p w14:paraId="063A3B05" w14:textId="77777777" w:rsidR="009C313D" w:rsidRPr="005B7A8D" w:rsidRDefault="009C313D" w:rsidP="00560A50">
            <w:pPr>
              <w:jc w:val="right"/>
              <w:rPr>
                <w:rFonts w:ascii="Garamond" w:eastAsia="Times New Roman" w:hAnsi="Garamond" w:cs="Calibri"/>
                <w:color w:val="000000"/>
                <w:sz w:val="18"/>
                <w:szCs w:val="18"/>
                <w:lang w:eastAsia="en-GB"/>
              </w:rPr>
            </w:pPr>
            <w:r w:rsidRPr="005B7A8D">
              <w:rPr>
                <w:rFonts w:ascii="Garamond" w:eastAsia="Times New Roman" w:hAnsi="Garamond" w:cs="Calibri"/>
                <w:color w:val="000000"/>
                <w:sz w:val="18"/>
                <w:szCs w:val="18"/>
                <w:lang w:eastAsia="en-GB"/>
              </w:rPr>
              <w:t xml:space="preserve">2,690.3 </w:t>
            </w:r>
          </w:p>
        </w:tc>
        <w:tc>
          <w:tcPr>
            <w:tcW w:w="796" w:type="dxa"/>
            <w:tcBorders>
              <w:top w:val="nil"/>
              <w:left w:val="single" w:sz="4" w:space="0" w:color="auto"/>
              <w:bottom w:val="single" w:sz="4" w:space="0" w:color="auto"/>
              <w:right w:val="single" w:sz="4" w:space="0" w:color="auto"/>
            </w:tcBorders>
            <w:shd w:val="clear" w:color="auto" w:fill="auto"/>
            <w:vAlign w:val="center"/>
            <w:hideMark/>
          </w:tcPr>
          <w:p w14:paraId="02F6D5DC" w14:textId="77777777" w:rsidR="009C313D" w:rsidRPr="005B7A8D" w:rsidRDefault="009C313D" w:rsidP="00560A50">
            <w:pPr>
              <w:jc w:val="right"/>
              <w:rPr>
                <w:rFonts w:ascii="Garamond" w:eastAsia="Times New Roman" w:hAnsi="Garamond" w:cs="Calibri"/>
                <w:b/>
                <w:bCs/>
                <w:color w:val="000000"/>
                <w:sz w:val="18"/>
                <w:szCs w:val="18"/>
                <w:lang w:eastAsia="en-GB"/>
              </w:rPr>
            </w:pPr>
            <w:r w:rsidRPr="005B7A8D">
              <w:rPr>
                <w:rFonts w:ascii="Garamond" w:eastAsia="Times New Roman" w:hAnsi="Garamond" w:cs="Calibri"/>
                <w:b/>
                <w:bCs/>
                <w:color w:val="000000"/>
                <w:sz w:val="18"/>
                <w:szCs w:val="18"/>
                <w:lang w:eastAsia="en-GB"/>
              </w:rPr>
              <w:t xml:space="preserve">2,767.2 </w:t>
            </w:r>
          </w:p>
        </w:tc>
      </w:tr>
    </w:tbl>
    <w:p w14:paraId="3A09EEEA" w14:textId="77777777" w:rsidR="009C313D" w:rsidRPr="0083362F" w:rsidRDefault="009C313D" w:rsidP="009C313D">
      <w:pPr>
        <w:rPr>
          <w:rFonts w:ascii="Garamond" w:hAnsi="Garamond"/>
          <w:b/>
          <w:sz w:val="20"/>
        </w:rPr>
      </w:pPr>
    </w:p>
    <w:p w14:paraId="2A1F5469" w14:textId="77777777" w:rsidR="009C313D" w:rsidRPr="0083362F" w:rsidRDefault="009C313D" w:rsidP="009C313D">
      <w:pPr>
        <w:rPr>
          <w:rFonts w:ascii="Garamond" w:hAnsi="Garamond"/>
          <w:sz w:val="20"/>
        </w:rPr>
      </w:pPr>
      <w:r w:rsidRPr="0083362F">
        <w:rPr>
          <w:rFonts w:ascii="Garamond" w:hAnsi="Garamond"/>
          <w:b/>
          <w:sz w:val="20"/>
        </w:rPr>
        <w:t>Note:</w:t>
      </w:r>
      <w:r w:rsidRPr="0083362F">
        <w:rPr>
          <w:rFonts w:ascii="Garamond" w:hAnsi="Garamond"/>
          <w:sz w:val="20"/>
        </w:rPr>
        <w:t xml:space="preserve"> Fund mobilisation data for equities are (i) excluding investment funds and (ii) including Alternative and SME Markets except the following exceptions:</w:t>
      </w:r>
    </w:p>
    <w:p w14:paraId="0EF60BFA" w14:textId="77777777" w:rsidR="009C313D" w:rsidRPr="0083362F" w:rsidRDefault="009C313D" w:rsidP="009C313D">
      <w:pPr>
        <w:pStyle w:val="ListParagraph"/>
        <w:numPr>
          <w:ilvl w:val="0"/>
          <w:numId w:val="5"/>
        </w:numPr>
        <w:spacing w:after="0" w:line="240" w:lineRule="auto"/>
        <w:rPr>
          <w:rFonts w:ascii="Garamond" w:hAnsi="Garamond"/>
          <w:szCs w:val="24"/>
        </w:rPr>
      </w:pPr>
      <w:r w:rsidRPr="0083362F">
        <w:rPr>
          <w:rFonts w:ascii="Garamond" w:hAnsi="Garamond"/>
          <w:szCs w:val="24"/>
        </w:rPr>
        <w:t>Australian Securities Exchange: including investment funds</w:t>
      </w:r>
    </w:p>
    <w:p w14:paraId="10362268" w14:textId="77777777" w:rsidR="009C313D" w:rsidRPr="0083362F" w:rsidRDefault="009C313D" w:rsidP="009C313D">
      <w:pPr>
        <w:pStyle w:val="ListParagraph"/>
        <w:numPr>
          <w:ilvl w:val="0"/>
          <w:numId w:val="5"/>
        </w:numPr>
        <w:spacing w:after="0" w:line="240" w:lineRule="auto"/>
        <w:rPr>
          <w:rFonts w:ascii="Garamond" w:hAnsi="Garamond"/>
          <w:szCs w:val="24"/>
        </w:rPr>
      </w:pPr>
      <w:r w:rsidRPr="0083362F">
        <w:rPr>
          <w:rFonts w:ascii="Garamond" w:hAnsi="Garamond"/>
          <w:szCs w:val="24"/>
        </w:rPr>
        <w:t xml:space="preserve">BME: Including investment companies listed (open-end investment companies). </w:t>
      </w:r>
    </w:p>
    <w:p w14:paraId="07D2A62F" w14:textId="77777777" w:rsidR="009C313D" w:rsidRPr="0083362F" w:rsidRDefault="009C313D" w:rsidP="009C313D">
      <w:pPr>
        <w:pStyle w:val="ListParagraph"/>
        <w:numPr>
          <w:ilvl w:val="0"/>
          <w:numId w:val="5"/>
        </w:numPr>
        <w:spacing w:after="0" w:line="240" w:lineRule="auto"/>
        <w:rPr>
          <w:rFonts w:ascii="Garamond" w:hAnsi="Garamond"/>
          <w:szCs w:val="24"/>
        </w:rPr>
      </w:pPr>
      <w:r w:rsidRPr="0083362F">
        <w:rPr>
          <w:rFonts w:ascii="Garamond" w:hAnsi="Garamond"/>
          <w:szCs w:val="24"/>
        </w:rPr>
        <w:t>Bolsa de Valores de Lima: Includes 26 foreign companies with shares negotiated under a special modality</w:t>
      </w:r>
    </w:p>
    <w:p w14:paraId="373E079B" w14:textId="77777777" w:rsidR="009C313D" w:rsidRPr="0083362F" w:rsidRDefault="009C313D" w:rsidP="009C313D">
      <w:pPr>
        <w:pStyle w:val="ListParagraph"/>
        <w:numPr>
          <w:ilvl w:val="0"/>
          <w:numId w:val="5"/>
        </w:numPr>
        <w:spacing w:after="0" w:line="240" w:lineRule="auto"/>
        <w:rPr>
          <w:rFonts w:ascii="Garamond" w:hAnsi="Garamond"/>
          <w:szCs w:val="24"/>
        </w:rPr>
      </w:pPr>
      <w:r w:rsidRPr="0083362F">
        <w:rPr>
          <w:rFonts w:ascii="Garamond" w:hAnsi="Garamond"/>
          <w:szCs w:val="24"/>
        </w:rPr>
        <w:t>Euronext: includes Belgium, England, France, Netherlands and Portugal</w:t>
      </w:r>
    </w:p>
    <w:p w14:paraId="61B6976E" w14:textId="77777777" w:rsidR="009C313D" w:rsidRPr="0083362F" w:rsidRDefault="009C313D" w:rsidP="009C313D">
      <w:pPr>
        <w:pStyle w:val="ListParagraph"/>
        <w:numPr>
          <w:ilvl w:val="0"/>
          <w:numId w:val="5"/>
        </w:numPr>
        <w:spacing w:after="0" w:line="240" w:lineRule="auto"/>
        <w:rPr>
          <w:rFonts w:ascii="Garamond" w:hAnsi="Garamond"/>
          <w:szCs w:val="24"/>
        </w:rPr>
      </w:pPr>
      <w:r w:rsidRPr="0083362F">
        <w:rPr>
          <w:rFonts w:ascii="Garamond" w:hAnsi="Garamond"/>
          <w:szCs w:val="24"/>
        </w:rPr>
        <w:t>Korea Exchange: including Kosdaq market data</w:t>
      </w:r>
    </w:p>
    <w:p w14:paraId="34DC33CC" w14:textId="77777777" w:rsidR="009C313D" w:rsidRPr="0083362F" w:rsidRDefault="009C313D" w:rsidP="009C313D">
      <w:pPr>
        <w:pStyle w:val="ListParagraph"/>
        <w:numPr>
          <w:ilvl w:val="0"/>
          <w:numId w:val="5"/>
        </w:numPr>
        <w:spacing w:after="0" w:line="240" w:lineRule="auto"/>
        <w:rPr>
          <w:rFonts w:ascii="Garamond" w:hAnsi="Garamond"/>
          <w:szCs w:val="24"/>
        </w:rPr>
      </w:pPr>
      <w:r w:rsidRPr="0083362F">
        <w:rPr>
          <w:rFonts w:ascii="Garamond" w:hAnsi="Garamond"/>
          <w:szCs w:val="24"/>
        </w:rPr>
        <w:t>LSE Group: includes London Stock Exchange and Borsa Italiana</w:t>
      </w:r>
    </w:p>
    <w:p w14:paraId="7EBBF4F8" w14:textId="77777777" w:rsidR="009C313D" w:rsidRPr="0083362F" w:rsidRDefault="009C313D" w:rsidP="009C313D">
      <w:pPr>
        <w:pStyle w:val="ListParagraph"/>
        <w:numPr>
          <w:ilvl w:val="0"/>
          <w:numId w:val="5"/>
        </w:numPr>
        <w:spacing w:after="0" w:line="240" w:lineRule="auto"/>
        <w:rPr>
          <w:rFonts w:ascii="Garamond" w:hAnsi="Garamond"/>
          <w:szCs w:val="24"/>
        </w:rPr>
      </w:pPr>
      <w:r w:rsidRPr="0083362F">
        <w:rPr>
          <w:rFonts w:ascii="Garamond" w:hAnsi="Garamond"/>
          <w:szCs w:val="24"/>
        </w:rPr>
        <w:t>Nasdaq Nordic Exchanges include Copenhagen, Helsinki, Iceland, Stockholm, Tallinn, Riga and Vilnius Stock Exchanges</w:t>
      </w:r>
    </w:p>
    <w:p w14:paraId="0BB1C276" w14:textId="77777777" w:rsidR="009C313D" w:rsidRPr="0083362F" w:rsidRDefault="009C313D" w:rsidP="009C313D">
      <w:pPr>
        <w:pStyle w:val="ListParagraph"/>
        <w:numPr>
          <w:ilvl w:val="0"/>
          <w:numId w:val="5"/>
        </w:numPr>
        <w:spacing w:after="0" w:line="240" w:lineRule="auto"/>
        <w:rPr>
          <w:rFonts w:ascii="Garamond" w:hAnsi="Garamond"/>
          <w:szCs w:val="24"/>
        </w:rPr>
      </w:pPr>
      <w:r w:rsidRPr="0083362F">
        <w:rPr>
          <w:rFonts w:ascii="Garamond" w:hAnsi="Garamond"/>
          <w:szCs w:val="24"/>
        </w:rPr>
        <w:t>NSE India: including “Emerge” market data</w:t>
      </w:r>
    </w:p>
    <w:p w14:paraId="3D7DDFCA" w14:textId="77777777" w:rsidR="009C313D" w:rsidRPr="0083362F" w:rsidRDefault="009C313D" w:rsidP="009C313D">
      <w:pPr>
        <w:pStyle w:val="ListParagraph"/>
        <w:numPr>
          <w:ilvl w:val="0"/>
          <w:numId w:val="5"/>
        </w:numPr>
        <w:spacing w:after="0" w:line="240" w:lineRule="auto"/>
        <w:rPr>
          <w:rFonts w:ascii="Garamond" w:hAnsi="Garamond"/>
          <w:szCs w:val="24"/>
        </w:rPr>
      </w:pPr>
      <w:r w:rsidRPr="0083362F">
        <w:rPr>
          <w:rFonts w:ascii="Garamond" w:hAnsi="Garamond"/>
          <w:szCs w:val="24"/>
        </w:rPr>
        <w:t>Singapore Exchange: market capitalization includes domestic listings and a substantial number of foreign listings, defined as companies whose principal place of business is outside of Singapore. Inactive secondary foreign listings are excluded.</w:t>
      </w:r>
    </w:p>
    <w:p w14:paraId="20FF27B2" w14:textId="77777777" w:rsidR="009C313D" w:rsidRPr="0083362F" w:rsidRDefault="009C313D" w:rsidP="009C313D">
      <w:pPr>
        <w:rPr>
          <w:rFonts w:ascii="Garamond" w:hAnsi="Garamond"/>
          <w:sz w:val="20"/>
        </w:rPr>
      </w:pPr>
      <w:r w:rsidRPr="0083362F">
        <w:rPr>
          <w:rFonts w:ascii="Garamond" w:hAnsi="Garamond"/>
          <w:sz w:val="20"/>
        </w:rPr>
        <w:t>For Funds mobilised through issuance of bonds, due to different reporting rules &amp; calculation methods, turnover figures are not entirely comparable. The sale &amp; purchase of a share are counted as one transaction</w:t>
      </w:r>
    </w:p>
    <w:p w14:paraId="77A28CEF" w14:textId="77777777" w:rsidR="009C313D" w:rsidRPr="0083362F" w:rsidRDefault="009C313D" w:rsidP="009C313D">
      <w:pPr>
        <w:rPr>
          <w:rFonts w:ascii="Garamond" w:hAnsi="Garamond"/>
          <w:sz w:val="20"/>
        </w:rPr>
      </w:pPr>
      <w:r w:rsidRPr="0083362F">
        <w:rPr>
          <w:rFonts w:ascii="Garamond" w:hAnsi="Garamond"/>
          <w:sz w:val="20"/>
        </w:rPr>
        <w:t>NA = Not Available</w:t>
      </w:r>
    </w:p>
    <w:p w14:paraId="3205B2A6" w14:textId="77777777" w:rsidR="009C313D" w:rsidRPr="0083362F" w:rsidRDefault="009C313D" w:rsidP="009C313D">
      <w:pPr>
        <w:rPr>
          <w:rFonts w:ascii="Garamond" w:hAnsi="Garamond"/>
          <w:b/>
          <w:sz w:val="20"/>
        </w:rPr>
      </w:pPr>
    </w:p>
    <w:p w14:paraId="1FA34DAB" w14:textId="77777777" w:rsidR="009C313D" w:rsidRPr="0083362F" w:rsidRDefault="009C313D" w:rsidP="009C313D">
      <w:pPr>
        <w:rPr>
          <w:rFonts w:ascii="Garamond" w:hAnsi="Garamond"/>
          <w:sz w:val="20"/>
        </w:rPr>
      </w:pPr>
      <w:r w:rsidRPr="0083362F">
        <w:rPr>
          <w:rFonts w:ascii="Garamond" w:hAnsi="Garamond"/>
          <w:b/>
          <w:sz w:val="20"/>
        </w:rPr>
        <w:t>Source:</w:t>
      </w:r>
      <w:r w:rsidRPr="0083362F">
        <w:rPr>
          <w:rFonts w:ascii="Garamond" w:hAnsi="Garamond"/>
          <w:sz w:val="20"/>
        </w:rPr>
        <w:t xml:space="preserve"> World Federation of Exchanges</w:t>
      </w:r>
    </w:p>
    <w:p w14:paraId="56E757E9" w14:textId="77777777" w:rsidR="009C313D" w:rsidRDefault="009C313D" w:rsidP="009C313D">
      <w:pPr>
        <w:rPr>
          <w:rFonts w:ascii="Garamond" w:hAnsi="Garamond"/>
          <w:color w:val="0000FF"/>
        </w:rPr>
      </w:pPr>
    </w:p>
    <w:p w14:paraId="042467BB" w14:textId="77777777" w:rsidR="009C313D" w:rsidRDefault="009C313D" w:rsidP="009C313D">
      <w:pPr>
        <w:rPr>
          <w:rFonts w:ascii="Garamond" w:hAnsi="Garamond"/>
          <w:color w:val="0000FF"/>
        </w:rPr>
      </w:pPr>
    </w:p>
    <w:p w14:paraId="073D6540" w14:textId="77777777" w:rsidR="00C6763D" w:rsidRDefault="00C6763D" w:rsidP="009C313D">
      <w:pPr>
        <w:rPr>
          <w:rFonts w:ascii="Garamond" w:hAnsi="Garamond"/>
          <w:color w:val="0000FF"/>
        </w:rPr>
      </w:pPr>
    </w:p>
    <w:p w14:paraId="5961F1AF" w14:textId="77777777" w:rsidR="00C6763D" w:rsidRDefault="00C6763D" w:rsidP="009C313D">
      <w:pPr>
        <w:rPr>
          <w:rFonts w:ascii="Garamond" w:hAnsi="Garamond"/>
          <w:color w:val="0000FF"/>
        </w:rPr>
      </w:pPr>
    </w:p>
    <w:p w14:paraId="1D81B193" w14:textId="77777777" w:rsidR="00C6763D" w:rsidRDefault="00C6763D" w:rsidP="009C313D">
      <w:pPr>
        <w:rPr>
          <w:rFonts w:ascii="Garamond" w:hAnsi="Garamond"/>
          <w:color w:val="0000FF"/>
        </w:rPr>
      </w:pPr>
    </w:p>
    <w:p w14:paraId="03AC1B7F" w14:textId="77777777" w:rsidR="009C313D" w:rsidRDefault="009C313D" w:rsidP="009C313D">
      <w:pPr>
        <w:rPr>
          <w:rFonts w:ascii="Garamond" w:hAnsi="Garamond"/>
          <w:color w:val="0000FF"/>
        </w:rPr>
      </w:pPr>
    </w:p>
    <w:p w14:paraId="7CA79134" w14:textId="77777777" w:rsidR="009C313D" w:rsidRPr="002800E5" w:rsidRDefault="009C313D" w:rsidP="009C313D">
      <w:pPr>
        <w:rPr>
          <w:rFonts w:ascii="Garamond" w:hAnsi="Garamond"/>
          <w:b/>
        </w:rPr>
      </w:pPr>
      <w:r w:rsidRPr="002800E5">
        <w:rPr>
          <w:rFonts w:ascii="Garamond" w:hAnsi="Garamond"/>
          <w:b/>
        </w:rPr>
        <w:t>Market Capitalisation of Major Exchanges:</w:t>
      </w:r>
    </w:p>
    <w:p w14:paraId="437A6F54" w14:textId="77777777" w:rsidR="009C313D" w:rsidRPr="001500B3" w:rsidRDefault="009C313D" w:rsidP="009C313D">
      <w:pPr>
        <w:jc w:val="both"/>
        <w:rPr>
          <w:rFonts w:ascii="Garamond" w:hAnsi="Garamond"/>
          <w:color w:val="0000FF"/>
        </w:rPr>
      </w:pPr>
    </w:p>
    <w:p w14:paraId="4B0DB1AC" w14:textId="77777777" w:rsidR="009C313D" w:rsidRPr="00301B1C" w:rsidRDefault="009C313D" w:rsidP="009C313D">
      <w:pPr>
        <w:jc w:val="both"/>
        <w:rPr>
          <w:rFonts w:ascii="Garamond" w:hAnsi="Garamond"/>
        </w:rPr>
      </w:pPr>
      <w:r w:rsidRPr="00301B1C">
        <w:rPr>
          <w:rFonts w:ascii="Garamond" w:hAnsi="Garamond"/>
        </w:rPr>
        <w:t>Market capitalisation of most of the major exchanges in the world fell during the month under review. As regards developed market exchanges, market capitalisation of Nasdaq Stock Exchange of the USA went up by 6.2 per cent in August 2018 from its value in the previous month, followed by Korea Exchange of South Korea (2.1 per cent) and New York Stock Exchange of the USA (1.1 per cent). On the other hand, market cap of BME Spanish Stock Exchange fell by 6.6 per cent followed by LSE Group (5.0 per cent) and Singapore Exchange (3.4 per cent).</w:t>
      </w:r>
    </w:p>
    <w:p w14:paraId="6765EA40" w14:textId="77777777" w:rsidR="009C313D" w:rsidRPr="002800E5" w:rsidRDefault="009C313D" w:rsidP="009C313D">
      <w:pPr>
        <w:jc w:val="both"/>
        <w:rPr>
          <w:rFonts w:ascii="Garamond" w:hAnsi="Garamond"/>
        </w:rPr>
      </w:pPr>
    </w:p>
    <w:p w14:paraId="4BD88020" w14:textId="77777777" w:rsidR="009C313D" w:rsidRPr="002800E5" w:rsidRDefault="009C313D" w:rsidP="009C313D">
      <w:pPr>
        <w:jc w:val="both"/>
        <w:rPr>
          <w:rFonts w:ascii="Garamond" w:hAnsi="Garamond"/>
        </w:rPr>
      </w:pPr>
      <w:r w:rsidRPr="002800E5">
        <w:rPr>
          <w:rFonts w:ascii="Garamond" w:hAnsi="Garamond"/>
        </w:rPr>
        <w:t>As regards, BRICS nations, market capitalisation of BSE India Limited increased by 0.5 per cent in August 2018 from its value in the previous month, followed by National Stock Exchange of India Limited (0.4 per cent). On the other hand, market cap of Johannesburg Stock Exchange of South Africa fell by 10.6 per cent followed by Shenzhen Stock Exchange of China (8.0 per cent) and Shanghai Stock Exchange (5.0 per cent).</w:t>
      </w:r>
    </w:p>
    <w:p w14:paraId="4BB83486" w14:textId="77777777" w:rsidR="009C313D" w:rsidRPr="002800E5" w:rsidRDefault="009C313D" w:rsidP="009C313D">
      <w:pPr>
        <w:jc w:val="both"/>
        <w:rPr>
          <w:rFonts w:ascii="Garamond" w:hAnsi="Garamond"/>
        </w:rPr>
      </w:pPr>
    </w:p>
    <w:p w14:paraId="1924F655" w14:textId="1A1C7B11" w:rsidR="009C313D" w:rsidRPr="002800E5" w:rsidRDefault="009C313D" w:rsidP="00C6763D">
      <w:pPr>
        <w:rPr>
          <w:rFonts w:ascii="Garamond" w:hAnsi="Garamond" w:cs="Arial"/>
          <w:sz w:val="20"/>
        </w:rPr>
      </w:pPr>
      <w:r w:rsidRPr="002800E5">
        <w:rPr>
          <w:rFonts w:ascii="Garamond" w:hAnsi="Garamond"/>
          <w:b/>
        </w:rPr>
        <w:t>Table A3: Domestic Market Capitalisation of Major Exchanges</w:t>
      </w:r>
      <w:r w:rsidR="00C6763D">
        <w:rPr>
          <w:rFonts w:ascii="Garamond" w:hAnsi="Garamond"/>
          <w:b/>
        </w:rPr>
        <w:t xml:space="preserve"> </w:t>
      </w:r>
      <w:r w:rsidRPr="002800E5">
        <w:rPr>
          <w:rFonts w:ascii="Garamond" w:hAnsi="Garamond" w:cs="Arial"/>
          <w:sz w:val="20"/>
        </w:rPr>
        <w:t>(US$ Million)</w:t>
      </w:r>
    </w:p>
    <w:tbl>
      <w:tblPr>
        <w:tblW w:w="7765" w:type="dxa"/>
        <w:tblLook w:val="04A0" w:firstRow="1" w:lastRow="0" w:firstColumn="1" w:lastColumn="0" w:noHBand="0" w:noVBand="1"/>
      </w:tblPr>
      <w:tblGrid>
        <w:gridCol w:w="447"/>
        <w:gridCol w:w="1238"/>
        <w:gridCol w:w="3535"/>
        <w:gridCol w:w="1285"/>
        <w:gridCol w:w="1285"/>
      </w:tblGrid>
      <w:tr w:rsidR="009C313D" w:rsidRPr="002800E5" w14:paraId="0D92AF72" w14:textId="77777777" w:rsidTr="00560A50">
        <w:trPr>
          <w:trHeight w:val="250"/>
        </w:trPr>
        <w:tc>
          <w:tcPr>
            <w:tcW w:w="447" w:type="dxa"/>
            <w:tcBorders>
              <w:top w:val="nil"/>
              <w:left w:val="nil"/>
              <w:bottom w:val="nil"/>
              <w:right w:val="nil"/>
            </w:tcBorders>
            <w:shd w:val="clear" w:color="auto" w:fill="auto"/>
            <w:noWrap/>
            <w:vAlign w:val="center"/>
            <w:hideMark/>
          </w:tcPr>
          <w:p w14:paraId="3A0AE7D5" w14:textId="77777777" w:rsidR="009C313D" w:rsidRPr="002800E5" w:rsidRDefault="009C313D" w:rsidP="00560A50">
            <w:pPr>
              <w:rPr>
                <w:rFonts w:ascii="Times New Roman" w:eastAsia="Times New Roman" w:hAnsi="Times New Roman"/>
                <w:lang w:eastAsia="en-GB"/>
              </w:rPr>
            </w:pPr>
          </w:p>
        </w:tc>
        <w:tc>
          <w:tcPr>
            <w:tcW w:w="1238" w:type="dxa"/>
            <w:tcBorders>
              <w:top w:val="single" w:sz="4" w:space="0" w:color="auto"/>
              <w:left w:val="single" w:sz="4" w:space="0" w:color="auto"/>
              <w:bottom w:val="nil"/>
              <w:right w:val="nil"/>
            </w:tcBorders>
            <w:shd w:val="clear" w:color="000000" w:fill="B4C6E7"/>
            <w:noWrap/>
            <w:vAlign w:val="center"/>
            <w:hideMark/>
          </w:tcPr>
          <w:p w14:paraId="4F6C9EC2" w14:textId="77777777" w:rsidR="009C313D" w:rsidRPr="002800E5" w:rsidRDefault="009C313D" w:rsidP="00560A50">
            <w:pPr>
              <w:rPr>
                <w:rFonts w:ascii="Garamond" w:eastAsia="Times New Roman" w:hAnsi="Garamond" w:cs="Calibri"/>
                <w:b/>
                <w:bCs/>
                <w:sz w:val="20"/>
                <w:szCs w:val="20"/>
                <w:lang w:eastAsia="en-GB"/>
              </w:rPr>
            </w:pPr>
            <w:r w:rsidRPr="002800E5">
              <w:rPr>
                <w:rFonts w:ascii="Garamond" w:eastAsia="Times New Roman" w:hAnsi="Garamond" w:cs="Calibri"/>
                <w:b/>
                <w:bCs/>
                <w:sz w:val="20"/>
                <w:szCs w:val="20"/>
                <w:lang w:eastAsia="en-GB"/>
              </w:rPr>
              <w:t>Country</w:t>
            </w:r>
          </w:p>
        </w:tc>
        <w:tc>
          <w:tcPr>
            <w:tcW w:w="3535" w:type="dxa"/>
            <w:tcBorders>
              <w:top w:val="single" w:sz="4" w:space="0" w:color="auto"/>
              <w:left w:val="single" w:sz="4" w:space="0" w:color="auto"/>
              <w:bottom w:val="nil"/>
              <w:right w:val="nil"/>
            </w:tcBorders>
            <w:shd w:val="clear" w:color="000000" w:fill="B4C6E7"/>
            <w:noWrap/>
            <w:vAlign w:val="center"/>
            <w:hideMark/>
          </w:tcPr>
          <w:p w14:paraId="15136427" w14:textId="77777777" w:rsidR="009C313D" w:rsidRPr="002800E5" w:rsidRDefault="009C313D" w:rsidP="00560A50">
            <w:pPr>
              <w:rPr>
                <w:rFonts w:ascii="Garamond" w:eastAsia="Times New Roman" w:hAnsi="Garamond" w:cs="Calibri"/>
                <w:b/>
                <w:bCs/>
                <w:sz w:val="20"/>
                <w:szCs w:val="20"/>
                <w:lang w:eastAsia="en-GB"/>
              </w:rPr>
            </w:pPr>
            <w:r w:rsidRPr="002800E5">
              <w:rPr>
                <w:rFonts w:ascii="Garamond" w:eastAsia="Times New Roman" w:hAnsi="Garamond" w:cs="Calibri"/>
                <w:b/>
                <w:bCs/>
                <w:sz w:val="20"/>
                <w:szCs w:val="20"/>
                <w:lang w:eastAsia="en-GB"/>
              </w:rPr>
              <w:t>Exchange</w:t>
            </w:r>
          </w:p>
        </w:tc>
        <w:tc>
          <w:tcPr>
            <w:tcW w:w="1260" w:type="dxa"/>
            <w:tcBorders>
              <w:top w:val="single" w:sz="4" w:space="0" w:color="auto"/>
              <w:left w:val="nil"/>
              <w:bottom w:val="nil"/>
              <w:right w:val="single" w:sz="4" w:space="0" w:color="auto"/>
            </w:tcBorders>
            <w:shd w:val="clear" w:color="000000" w:fill="B4C6E7"/>
            <w:noWrap/>
            <w:vAlign w:val="center"/>
            <w:hideMark/>
          </w:tcPr>
          <w:p w14:paraId="23F5E052" w14:textId="77777777" w:rsidR="009C313D" w:rsidRPr="002800E5" w:rsidRDefault="009C313D" w:rsidP="00560A50">
            <w:pPr>
              <w:jc w:val="right"/>
              <w:rPr>
                <w:rFonts w:ascii="Garamond" w:eastAsia="Times New Roman" w:hAnsi="Garamond" w:cs="Calibri"/>
                <w:b/>
                <w:bCs/>
                <w:sz w:val="20"/>
                <w:szCs w:val="20"/>
                <w:lang w:eastAsia="en-GB"/>
              </w:rPr>
            </w:pPr>
            <w:r w:rsidRPr="002800E5">
              <w:rPr>
                <w:rFonts w:ascii="Garamond" w:eastAsia="Times New Roman" w:hAnsi="Garamond" w:cs="Calibri"/>
                <w:b/>
                <w:bCs/>
                <w:sz w:val="20"/>
                <w:szCs w:val="20"/>
                <w:lang w:eastAsia="en-GB"/>
              </w:rPr>
              <w:t>Jul-18</w:t>
            </w:r>
          </w:p>
        </w:tc>
        <w:tc>
          <w:tcPr>
            <w:tcW w:w="1285" w:type="dxa"/>
            <w:tcBorders>
              <w:top w:val="single" w:sz="4" w:space="0" w:color="auto"/>
              <w:left w:val="nil"/>
              <w:bottom w:val="nil"/>
              <w:right w:val="single" w:sz="4" w:space="0" w:color="auto"/>
            </w:tcBorders>
            <w:shd w:val="clear" w:color="000000" w:fill="B4C6E7"/>
            <w:noWrap/>
            <w:vAlign w:val="center"/>
            <w:hideMark/>
          </w:tcPr>
          <w:p w14:paraId="2AAB6D73" w14:textId="77777777" w:rsidR="009C313D" w:rsidRPr="002800E5" w:rsidRDefault="009C313D" w:rsidP="00560A50">
            <w:pPr>
              <w:jc w:val="right"/>
              <w:rPr>
                <w:rFonts w:ascii="Garamond" w:eastAsia="Times New Roman" w:hAnsi="Garamond" w:cs="Calibri"/>
                <w:b/>
                <w:bCs/>
                <w:sz w:val="20"/>
                <w:szCs w:val="20"/>
                <w:lang w:eastAsia="en-GB"/>
              </w:rPr>
            </w:pPr>
            <w:r w:rsidRPr="002800E5">
              <w:rPr>
                <w:rFonts w:ascii="Garamond" w:eastAsia="Times New Roman" w:hAnsi="Garamond" w:cs="Calibri"/>
                <w:b/>
                <w:bCs/>
                <w:sz w:val="20"/>
                <w:szCs w:val="20"/>
                <w:lang w:eastAsia="en-GB"/>
              </w:rPr>
              <w:t>Aug-18</w:t>
            </w:r>
          </w:p>
        </w:tc>
      </w:tr>
      <w:tr w:rsidR="009C313D" w:rsidRPr="002800E5" w14:paraId="1700B774" w14:textId="77777777" w:rsidTr="00560A50">
        <w:trPr>
          <w:trHeight w:val="250"/>
        </w:trPr>
        <w:tc>
          <w:tcPr>
            <w:tcW w:w="447" w:type="dxa"/>
            <w:vMerge w:val="restart"/>
            <w:tcBorders>
              <w:top w:val="single" w:sz="4" w:space="0" w:color="auto"/>
              <w:left w:val="single" w:sz="4" w:space="0" w:color="auto"/>
              <w:bottom w:val="single" w:sz="4" w:space="0" w:color="000000"/>
              <w:right w:val="nil"/>
            </w:tcBorders>
            <w:shd w:val="clear" w:color="000000" w:fill="B4C6E7"/>
            <w:noWrap/>
            <w:textDirection w:val="btLr"/>
            <w:vAlign w:val="center"/>
            <w:hideMark/>
          </w:tcPr>
          <w:p w14:paraId="4F6153A6" w14:textId="77777777" w:rsidR="009C313D" w:rsidRPr="002800E5" w:rsidRDefault="009C313D" w:rsidP="00560A50">
            <w:pPr>
              <w:jc w:val="center"/>
              <w:rPr>
                <w:rFonts w:ascii="Garamond" w:eastAsia="Times New Roman" w:hAnsi="Garamond" w:cs="Calibri"/>
                <w:b/>
                <w:bCs/>
                <w:sz w:val="20"/>
                <w:szCs w:val="20"/>
                <w:lang w:eastAsia="en-GB"/>
              </w:rPr>
            </w:pPr>
            <w:r w:rsidRPr="002800E5">
              <w:rPr>
                <w:rFonts w:ascii="Garamond" w:eastAsia="Times New Roman" w:hAnsi="Garamond" w:cs="Calibri"/>
                <w:b/>
                <w:bCs/>
                <w:sz w:val="20"/>
                <w:szCs w:val="20"/>
                <w:lang w:eastAsia="en-GB"/>
              </w:rPr>
              <w:t>Developed Markets</w:t>
            </w:r>
          </w:p>
        </w:tc>
        <w:tc>
          <w:tcPr>
            <w:tcW w:w="1238" w:type="dxa"/>
            <w:tcBorders>
              <w:top w:val="single" w:sz="4" w:space="0" w:color="auto"/>
              <w:left w:val="single" w:sz="4" w:space="0" w:color="auto"/>
              <w:bottom w:val="nil"/>
              <w:right w:val="single" w:sz="4" w:space="0" w:color="auto"/>
            </w:tcBorders>
            <w:shd w:val="clear" w:color="000000" w:fill="D9E1F2"/>
            <w:noWrap/>
            <w:vAlign w:val="center"/>
            <w:hideMark/>
          </w:tcPr>
          <w:p w14:paraId="63D2D9B9"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USA</w:t>
            </w:r>
          </w:p>
        </w:tc>
        <w:tc>
          <w:tcPr>
            <w:tcW w:w="3535" w:type="dxa"/>
            <w:tcBorders>
              <w:top w:val="single" w:sz="4" w:space="0" w:color="auto"/>
              <w:left w:val="nil"/>
              <w:bottom w:val="nil"/>
              <w:right w:val="single" w:sz="4" w:space="0" w:color="auto"/>
            </w:tcBorders>
            <w:shd w:val="clear" w:color="000000" w:fill="D9E1F2"/>
            <w:noWrap/>
            <w:vAlign w:val="center"/>
            <w:hideMark/>
          </w:tcPr>
          <w:p w14:paraId="2AF786EB"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Nasdaq - US</w:t>
            </w:r>
          </w:p>
        </w:tc>
        <w:tc>
          <w:tcPr>
            <w:tcW w:w="1260" w:type="dxa"/>
            <w:tcBorders>
              <w:top w:val="single" w:sz="4" w:space="0" w:color="auto"/>
              <w:left w:val="nil"/>
              <w:bottom w:val="nil"/>
              <w:right w:val="single" w:sz="4" w:space="0" w:color="auto"/>
            </w:tcBorders>
            <w:shd w:val="clear" w:color="auto" w:fill="auto"/>
            <w:noWrap/>
            <w:vAlign w:val="center"/>
            <w:hideMark/>
          </w:tcPr>
          <w:p w14:paraId="74FFB0BF"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11,271,905.50 </w:t>
            </w:r>
          </w:p>
        </w:tc>
        <w:tc>
          <w:tcPr>
            <w:tcW w:w="1285" w:type="dxa"/>
            <w:tcBorders>
              <w:top w:val="single" w:sz="4" w:space="0" w:color="auto"/>
              <w:left w:val="nil"/>
              <w:bottom w:val="nil"/>
              <w:right w:val="single" w:sz="4" w:space="0" w:color="auto"/>
            </w:tcBorders>
            <w:shd w:val="clear" w:color="auto" w:fill="auto"/>
            <w:noWrap/>
            <w:vAlign w:val="center"/>
            <w:hideMark/>
          </w:tcPr>
          <w:p w14:paraId="102C8541"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11,970,874.01 </w:t>
            </w:r>
          </w:p>
        </w:tc>
      </w:tr>
      <w:tr w:rsidR="009C313D" w:rsidRPr="002800E5" w14:paraId="6D09168E"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118A9065"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0BD22F76"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USA</w:t>
            </w:r>
          </w:p>
        </w:tc>
        <w:tc>
          <w:tcPr>
            <w:tcW w:w="3535" w:type="dxa"/>
            <w:tcBorders>
              <w:top w:val="nil"/>
              <w:left w:val="nil"/>
              <w:bottom w:val="nil"/>
              <w:right w:val="single" w:sz="4" w:space="0" w:color="auto"/>
            </w:tcBorders>
            <w:shd w:val="clear" w:color="000000" w:fill="D9E1F2"/>
            <w:noWrap/>
            <w:vAlign w:val="center"/>
            <w:hideMark/>
          </w:tcPr>
          <w:p w14:paraId="19738142"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NYSE</w:t>
            </w:r>
          </w:p>
        </w:tc>
        <w:tc>
          <w:tcPr>
            <w:tcW w:w="1260" w:type="dxa"/>
            <w:tcBorders>
              <w:top w:val="nil"/>
              <w:left w:val="nil"/>
              <w:bottom w:val="nil"/>
              <w:right w:val="single" w:sz="4" w:space="0" w:color="auto"/>
            </w:tcBorders>
            <w:shd w:val="clear" w:color="auto" w:fill="auto"/>
            <w:noWrap/>
            <w:vAlign w:val="center"/>
            <w:hideMark/>
          </w:tcPr>
          <w:p w14:paraId="7F328E13"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23,967,449.43 </w:t>
            </w:r>
          </w:p>
        </w:tc>
        <w:tc>
          <w:tcPr>
            <w:tcW w:w="1285" w:type="dxa"/>
            <w:tcBorders>
              <w:top w:val="nil"/>
              <w:left w:val="nil"/>
              <w:bottom w:val="nil"/>
              <w:right w:val="single" w:sz="4" w:space="0" w:color="auto"/>
            </w:tcBorders>
            <w:shd w:val="clear" w:color="auto" w:fill="auto"/>
            <w:noWrap/>
            <w:vAlign w:val="center"/>
            <w:hideMark/>
          </w:tcPr>
          <w:p w14:paraId="51816B95"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24,239,300.26 </w:t>
            </w:r>
          </w:p>
        </w:tc>
      </w:tr>
      <w:tr w:rsidR="009C313D" w:rsidRPr="002800E5" w14:paraId="20B89C9D"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10B34737"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48BFC5BF"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UK</w:t>
            </w:r>
          </w:p>
        </w:tc>
        <w:tc>
          <w:tcPr>
            <w:tcW w:w="3535" w:type="dxa"/>
            <w:tcBorders>
              <w:top w:val="nil"/>
              <w:left w:val="nil"/>
              <w:bottom w:val="nil"/>
              <w:right w:val="single" w:sz="4" w:space="0" w:color="auto"/>
            </w:tcBorders>
            <w:shd w:val="clear" w:color="000000" w:fill="D9E1F2"/>
            <w:noWrap/>
            <w:vAlign w:val="center"/>
            <w:hideMark/>
          </w:tcPr>
          <w:p w14:paraId="00121625"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LSE Group</w:t>
            </w:r>
          </w:p>
        </w:tc>
        <w:tc>
          <w:tcPr>
            <w:tcW w:w="1260" w:type="dxa"/>
            <w:tcBorders>
              <w:top w:val="nil"/>
              <w:left w:val="nil"/>
              <w:bottom w:val="nil"/>
              <w:right w:val="single" w:sz="4" w:space="0" w:color="auto"/>
            </w:tcBorders>
            <w:shd w:val="clear" w:color="auto" w:fill="auto"/>
            <w:noWrap/>
            <w:vAlign w:val="center"/>
            <w:hideMark/>
          </w:tcPr>
          <w:p w14:paraId="50E8302E"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4,367,328.81 </w:t>
            </w:r>
          </w:p>
        </w:tc>
        <w:tc>
          <w:tcPr>
            <w:tcW w:w="1285" w:type="dxa"/>
            <w:tcBorders>
              <w:top w:val="nil"/>
              <w:left w:val="nil"/>
              <w:bottom w:val="nil"/>
              <w:right w:val="single" w:sz="4" w:space="0" w:color="auto"/>
            </w:tcBorders>
            <w:shd w:val="clear" w:color="auto" w:fill="auto"/>
            <w:noWrap/>
            <w:vAlign w:val="center"/>
            <w:hideMark/>
          </w:tcPr>
          <w:p w14:paraId="768D2B07"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4,147,279.45 </w:t>
            </w:r>
          </w:p>
        </w:tc>
      </w:tr>
      <w:tr w:rsidR="009C313D" w:rsidRPr="002800E5" w14:paraId="01A8A19C"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655CEA41"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3893BACC"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Pan Europe*</w:t>
            </w:r>
          </w:p>
        </w:tc>
        <w:tc>
          <w:tcPr>
            <w:tcW w:w="3535" w:type="dxa"/>
            <w:tcBorders>
              <w:top w:val="nil"/>
              <w:left w:val="nil"/>
              <w:bottom w:val="nil"/>
              <w:right w:val="single" w:sz="4" w:space="0" w:color="auto"/>
            </w:tcBorders>
            <w:shd w:val="clear" w:color="000000" w:fill="D9E1F2"/>
            <w:noWrap/>
            <w:vAlign w:val="center"/>
            <w:hideMark/>
          </w:tcPr>
          <w:p w14:paraId="1671EF44"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Euronext</w:t>
            </w:r>
          </w:p>
        </w:tc>
        <w:tc>
          <w:tcPr>
            <w:tcW w:w="1260" w:type="dxa"/>
            <w:tcBorders>
              <w:top w:val="nil"/>
              <w:left w:val="nil"/>
              <w:bottom w:val="nil"/>
              <w:right w:val="single" w:sz="4" w:space="0" w:color="auto"/>
            </w:tcBorders>
            <w:shd w:val="clear" w:color="auto" w:fill="auto"/>
            <w:noWrap/>
            <w:vAlign w:val="center"/>
            <w:hideMark/>
          </w:tcPr>
          <w:p w14:paraId="2BF4BE4C"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4,461,634.66 </w:t>
            </w:r>
          </w:p>
        </w:tc>
        <w:tc>
          <w:tcPr>
            <w:tcW w:w="1285" w:type="dxa"/>
            <w:tcBorders>
              <w:top w:val="nil"/>
              <w:left w:val="nil"/>
              <w:bottom w:val="nil"/>
              <w:right w:val="single" w:sz="4" w:space="0" w:color="auto"/>
            </w:tcBorders>
            <w:shd w:val="clear" w:color="auto" w:fill="auto"/>
            <w:noWrap/>
            <w:vAlign w:val="center"/>
            <w:hideMark/>
          </w:tcPr>
          <w:p w14:paraId="67354518"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4,369,966.24 </w:t>
            </w:r>
          </w:p>
        </w:tc>
      </w:tr>
      <w:tr w:rsidR="009C313D" w:rsidRPr="002800E5" w14:paraId="5193FE2C"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3D4C82C3"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3B41494F"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Germany</w:t>
            </w:r>
          </w:p>
        </w:tc>
        <w:tc>
          <w:tcPr>
            <w:tcW w:w="3535" w:type="dxa"/>
            <w:tcBorders>
              <w:top w:val="nil"/>
              <w:left w:val="nil"/>
              <w:bottom w:val="nil"/>
              <w:right w:val="single" w:sz="4" w:space="0" w:color="auto"/>
            </w:tcBorders>
            <w:shd w:val="clear" w:color="000000" w:fill="D9E1F2"/>
            <w:noWrap/>
            <w:vAlign w:val="center"/>
            <w:hideMark/>
          </w:tcPr>
          <w:p w14:paraId="52A6322A"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Deutsche Boerse AG</w:t>
            </w:r>
          </w:p>
        </w:tc>
        <w:tc>
          <w:tcPr>
            <w:tcW w:w="1260" w:type="dxa"/>
            <w:tcBorders>
              <w:top w:val="nil"/>
              <w:left w:val="nil"/>
              <w:bottom w:val="nil"/>
              <w:right w:val="single" w:sz="4" w:space="0" w:color="auto"/>
            </w:tcBorders>
            <w:shd w:val="clear" w:color="auto" w:fill="auto"/>
            <w:noWrap/>
            <w:vAlign w:val="center"/>
            <w:hideMark/>
          </w:tcPr>
          <w:p w14:paraId="4CDF66A0"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2,202,236.81 </w:t>
            </w:r>
          </w:p>
        </w:tc>
        <w:tc>
          <w:tcPr>
            <w:tcW w:w="1285" w:type="dxa"/>
            <w:tcBorders>
              <w:top w:val="nil"/>
              <w:left w:val="nil"/>
              <w:bottom w:val="nil"/>
              <w:right w:val="single" w:sz="4" w:space="0" w:color="auto"/>
            </w:tcBorders>
            <w:shd w:val="clear" w:color="auto" w:fill="auto"/>
            <w:noWrap/>
            <w:vAlign w:val="center"/>
            <w:hideMark/>
          </w:tcPr>
          <w:p w14:paraId="3170DB26"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2,147,467.86 </w:t>
            </w:r>
          </w:p>
        </w:tc>
      </w:tr>
      <w:tr w:rsidR="009C313D" w:rsidRPr="002800E5" w14:paraId="19DE578A"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358AAEC2"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245F1AFA"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Spain</w:t>
            </w:r>
          </w:p>
        </w:tc>
        <w:tc>
          <w:tcPr>
            <w:tcW w:w="3535" w:type="dxa"/>
            <w:tcBorders>
              <w:top w:val="nil"/>
              <w:left w:val="nil"/>
              <w:bottom w:val="nil"/>
              <w:right w:val="single" w:sz="4" w:space="0" w:color="auto"/>
            </w:tcBorders>
            <w:shd w:val="clear" w:color="000000" w:fill="D9E1F2"/>
            <w:noWrap/>
            <w:vAlign w:val="center"/>
            <w:hideMark/>
          </w:tcPr>
          <w:p w14:paraId="6F9A9BC5"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BME Spanish Exchanges</w:t>
            </w:r>
          </w:p>
        </w:tc>
        <w:tc>
          <w:tcPr>
            <w:tcW w:w="1260" w:type="dxa"/>
            <w:tcBorders>
              <w:top w:val="nil"/>
              <w:left w:val="nil"/>
              <w:bottom w:val="nil"/>
              <w:right w:val="single" w:sz="4" w:space="0" w:color="auto"/>
            </w:tcBorders>
            <w:shd w:val="clear" w:color="auto" w:fill="auto"/>
            <w:noWrap/>
            <w:vAlign w:val="center"/>
            <w:hideMark/>
          </w:tcPr>
          <w:p w14:paraId="1956C230"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870,235.71 </w:t>
            </w:r>
          </w:p>
        </w:tc>
        <w:tc>
          <w:tcPr>
            <w:tcW w:w="1285" w:type="dxa"/>
            <w:tcBorders>
              <w:top w:val="nil"/>
              <w:left w:val="nil"/>
              <w:bottom w:val="nil"/>
              <w:right w:val="single" w:sz="4" w:space="0" w:color="auto"/>
            </w:tcBorders>
            <w:shd w:val="clear" w:color="auto" w:fill="auto"/>
            <w:noWrap/>
            <w:vAlign w:val="center"/>
            <w:hideMark/>
          </w:tcPr>
          <w:p w14:paraId="30647B63"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812,411.42 </w:t>
            </w:r>
          </w:p>
        </w:tc>
      </w:tr>
      <w:tr w:rsidR="009C313D" w:rsidRPr="002800E5" w14:paraId="642BD7D0"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01D1030E"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4A6EF339"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Japan</w:t>
            </w:r>
          </w:p>
        </w:tc>
        <w:tc>
          <w:tcPr>
            <w:tcW w:w="3535" w:type="dxa"/>
            <w:tcBorders>
              <w:top w:val="nil"/>
              <w:left w:val="nil"/>
              <w:bottom w:val="nil"/>
              <w:right w:val="single" w:sz="4" w:space="0" w:color="auto"/>
            </w:tcBorders>
            <w:shd w:val="clear" w:color="000000" w:fill="D9E1F2"/>
            <w:noWrap/>
            <w:vAlign w:val="center"/>
            <w:hideMark/>
          </w:tcPr>
          <w:p w14:paraId="1D75A1F6"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Japan Exchange Group Inc.</w:t>
            </w:r>
          </w:p>
        </w:tc>
        <w:tc>
          <w:tcPr>
            <w:tcW w:w="1260" w:type="dxa"/>
            <w:tcBorders>
              <w:top w:val="nil"/>
              <w:left w:val="nil"/>
              <w:bottom w:val="nil"/>
              <w:right w:val="single" w:sz="4" w:space="0" w:color="auto"/>
            </w:tcBorders>
            <w:shd w:val="clear" w:color="auto" w:fill="auto"/>
            <w:noWrap/>
            <w:vAlign w:val="center"/>
            <w:hideMark/>
          </w:tcPr>
          <w:p w14:paraId="44D31317"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6,076,402.33 </w:t>
            </w:r>
          </w:p>
        </w:tc>
        <w:tc>
          <w:tcPr>
            <w:tcW w:w="1285" w:type="dxa"/>
            <w:tcBorders>
              <w:top w:val="nil"/>
              <w:left w:val="nil"/>
              <w:bottom w:val="nil"/>
              <w:right w:val="single" w:sz="4" w:space="0" w:color="auto"/>
            </w:tcBorders>
            <w:shd w:val="clear" w:color="auto" w:fill="auto"/>
            <w:noWrap/>
            <w:vAlign w:val="center"/>
            <w:hideMark/>
          </w:tcPr>
          <w:p w14:paraId="70902016"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6,050,365.70 </w:t>
            </w:r>
          </w:p>
        </w:tc>
      </w:tr>
      <w:tr w:rsidR="009C313D" w:rsidRPr="002800E5" w14:paraId="78FBEF12"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01032F17"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723247BD"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Singapore</w:t>
            </w:r>
          </w:p>
        </w:tc>
        <w:tc>
          <w:tcPr>
            <w:tcW w:w="3535" w:type="dxa"/>
            <w:tcBorders>
              <w:top w:val="nil"/>
              <w:left w:val="nil"/>
              <w:bottom w:val="nil"/>
              <w:right w:val="single" w:sz="4" w:space="0" w:color="auto"/>
            </w:tcBorders>
            <w:shd w:val="clear" w:color="000000" w:fill="D9E1F2"/>
            <w:noWrap/>
            <w:vAlign w:val="center"/>
            <w:hideMark/>
          </w:tcPr>
          <w:p w14:paraId="0DF71B52"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Singapore Exchange</w:t>
            </w:r>
          </w:p>
        </w:tc>
        <w:tc>
          <w:tcPr>
            <w:tcW w:w="1260" w:type="dxa"/>
            <w:tcBorders>
              <w:top w:val="nil"/>
              <w:left w:val="nil"/>
              <w:bottom w:val="nil"/>
              <w:right w:val="single" w:sz="4" w:space="0" w:color="auto"/>
            </w:tcBorders>
            <w:shd w:val="clear" w:color="auto" w:fill="auto"/>
            <w:noWrap/>
            <w:vAlign w:val="center"/>
            <w:hideMark/>
          </w:tcPr>
          <w:p w14:paraId="5BDFC8F7"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733,016.01 </w:t>
            </w:r>
          </w:p>
        </w:tc>
        <w:tc>
          <w:tcPr>
            <w:tcW w:w="1285" w:type="dxa"/>
            <w:tcBorders>
              <w:top w:val="nil"/>
              <w:left w:val="nil"/>
              <w:bottom w:val="nil"/>
              <w:right w:val="single" w:sz="4" w:space="0" w:color="auto"/>
            </w:tcBorders>
            <w:shd w:val="clear" w:color="auto" w:fill="auto"/>
            <w:noWrap/>
            <w:vAlign w:val="center"/>
            <w:hideMark/>
          </w:tcPr>
          <w:p w14:paraId="332DA411"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708,258.43 </w:t>
            </w:r>
          </w:p>
        </w:tc>
      </w:tr>
      <w:tr w:rsidR="009C313D" w:rsidRPr="002800E5" w14:paraId="1D222C08"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740F9001"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141469FB"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Hong Kong</w:t>
            </w:r>
          </w:p>
        </w:tc>
        <w:tc>
          <w:tcPr>
            <w:tcW w:w="3535" w:type="dxa"/>
            <w:tcBorders>
              <w:top w:val="nil"/>
              <w:left w:val="nil"/>
              <w:bottom w:val="nil"/>
              <w:right w:val="single" w:sz="4" w:space="0" w:color="auto"/>
            </w:tcBorders>
            <w:shd w:val="clear" w:color="000000" w:fill="D9E1F2"/>
            <w:noWrap/>
            <w:vAlign w:val="center"/>
            <w:hideMark/>
          </w:tcPr>
          <w:p w14:paraId="6E328026"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Hong Kong Exchanges and Clearing</w:t>
            </w:r>
          </w:p>
        </w:tc>
        <w:tc>
          <w:tcPr>
            <w:tcW w:w="1260" w:type="dxa"/>
            <w:tcBorders>
              <w:top w:val="nil"/>
              <w:left w:val="nil"/>
              <w:bottom w:val="nil"/>
              <w:right w:val="single" w:sz="4" w:space="0" w:color="auto"/>
            </w:tcBorders>
            <w:shd w:val="clear" w:color="auto" w:fill="auto"/>
            <w:noWrap/>
            <w:vAlign w:val="center"/>
            <w:hideMark/>
          </w:tcPr>
          <w:p w14:paraId="226B13F7"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4,199,416.42 </w:t>
            </w:r>
          </w:p>
        </w:tc>
        <w:tc>
          <w:tcPr>
            <w:tcW w:w="1285" w:type="dxa"/>
            <w:tcBorders>
              <w:top w:val="nil"/>
              <w:left w:val="nil"/>
              <w:bottom w:val="nil"/>
              <w:right w:val="single" w:sz="4" w:space="0" w:color="auto"/>
            </w:tcBorders>
            <w:shd w:val="clear" w:color="auto" w:fill="auto"/>
            <w:noWrap/>
            <w:vAlign w:val="center"/>
            <w:hideMark/>
          </w:tcPr>
          <w:p w14:paraId="00E99C69"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4,103,649.84 </w:t>
            </w:r>
          </w:p>
        </w:tc>
      </w:tr>
      <w:tr w:rsidR="009C313D" w:rsidRPr="002800E5" w14:paraId="274C1B6C"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42FFF81D"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70DE4145"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South Korea</w:t>
            </w:r>
          </w:p>
        </w:tc>
        <w:tc>
          <w:tcPr>
            <w:tcW w:w="3535" w:type="dxa"/>
            <w:tcBorders>
              <w:top w:val="nil"/>
              <w:left w:val="nil"/>
              <w:bottom w:val="nil"/>
              <w:right w:val="single" w:sz="4" w:space="0" w:color="auto"/>
            </w:tcBorders>
            <w:shd w:val="clear" w:color="000000" w:fill="D9E1F2"/>
            <w:noWrap/>
            <w:vAlign w:val="center"/>
            <w:hideMark/>
          </w:tcPr>
          <w:p w14:paraId="197AD63A"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Korea Exchange</w:t>
            </w:r>
          </w:p>
        </w:tc>
        <w:tc>
          <w:tcPr>
            <w:tcW w:w="1260" w:type="dxa"/>
            <w:tcBorders>
              <w:top w:val="nil"/>
              <w:left w:val="nil"/>
              <w:bottom w:val="nil"/>
              <w:right w:val="single" w:sz="4" w:space="0" w:color="auto"/>
            </w:tcBorders>
            <w:shd w:val="clear" w:color="auto" w:fill="auto"/>
            <w:noWrap/>
            <w:vAlign w:val="center"/>
            <w:hideMark/>
          </w:tcPr>
          <w:p w14:paraId="187920C0"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1,608,889.66 </w:t>
            </w:r>
          </w:p>
        </w:tc>
        <w:tc>
          <w:tcPr>
            <w:tcW w:w="1285" w:type="dxa"/>
            <w:tcBorders>
              <w:top w:val="nil"/>
              <w:left w:val="nil"/>
              <w:bottom w:val="nil"/>
              <w:right w:val="single" w:sz="4" w:space="0" w:color="auto"/>
            </w:tcBorders>
            <w:shd w:val="clear" w:color="auto" w:fill="auto"/>
            <w:noWrap/>
            <w:vAlign w:val="center"/>
            <w:hideMark/>
          </w:tcPr>
          <w:p w14:paraId="79EA29A2"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1,642,031.33 </w:t>
            </w:r>
          </w:p>
        </w:tc>
      </w:tr>
      <w:tr w:rsidR="009C313D" w:rsidRPr="002800E5" w14:paraId="6C02C045" w14:textId="77777777" w:rsidTr="00560A50">
        <w:trPr>
          <w:trHeight w:val="250"/>
        </w:trPr>
        <w:tc>
          <w:tcPr>
            <w:tcW w:w="447" w:type="dxa"/>
            <w:vMerge/>
            <w:tcBorders>
              <w:top w:val="single" w:sz="4" w:space="0" w:color="auto"/>
              <w:left w:val="single" w:sz="4" w:space="0" w:color="auto"/>
              <w:bottom w:val="single" w:sz="4" w:space="0" w:color="000000"/>
              <w:right w:val="nil"/>
            </w:tcBorders>
            <w:vAlign w:val="center"/>
            <w:hideMark/>
          </w:tcPr>
          <w:p w14:paraId="2DC4C38B"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708E8602"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Australia</w:t>
            </w:r>
          </w:p>
        </w:tc>
        <w:tc>
          <w:tcPr>
            <w:tcW w:w="3535" w:type="dxa"/>
            <w:tcBorders>
              <w:top w:val="nil"/>
              <w:left w:val="nil"/>
              <w:bottom w:val="single" w:sz="4" w:space="0" w:color="auto"/>
              <w:right w:val="single" w:sz="4" w:space="0" w:color="auto"/>
            </w:tcBorders>
            <w:shd w:val="clear" w:color="000000" w:fill="D9E1F2"/>
            <w:noWrap/>
            <w:vAlign w:val="center"/>
            <w:hideMark/>
          </w:tcPr>
          <w:p w14:paraId="26B7E4C1"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Australian Securities Exchange</w:t>
            </w:r>
          </w:p>
        </w:tc>
        <w:tc>
          <w:tcPr>
            <w:tcW w:w="1260" w:type="dxa"/>
            <w:tcBorders>
              <w:top w:val="nil"/>
              <w:left w:val="nil"/>
              <w:bottom w:val="single" w:sz="4" w:space="0" w:color="auto"/>
              <w:right w:val="single" w:sz="4" w:space="0" w:color="auto"/>
            </w:tcBorders>
            <w:shd w:val="clear" w:color="auto" w:fill="auto"/>
            <w:noWrap/>
            <w:vAlign w:val="center"/>
            <w:hideMark/>
          </w:tcPr>
          <w:p w14:paraId="77CF747C"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1,477,163.11 </w:t>
            </w:r>
          </w:p>
        </w:tc>
        <w:tc>
          <w:tcPr>
            <w:tcW w:w="1285" w:type="dxa"/>
            <w:tcBorders>
              <w:top w:val="nil"/>
              <w:left w:val="nil"/>
              <w:bottom w:val="single" w:sz="4" w:space="0" w:color="auto"/>
              <w:right w:val="single" w:sz="4" w:space="0" w:color="auto"/>
            </w:tcBorders>
            <w:shd w:val="clear" w:color="auto" w:fill="auto"/>
            <w:noWrap/>
            <w:vAlign w:val="center"/>
            <w:hideMark/>
          </w:tcPr>
          <w:p w14:paraId="6CB4B7F9"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1,448,832.59 </w:t>
            </w:r>
          </w:p>
        </w:tc>
      </w:tr>
      <w:tr w:rsidR="009C313D" w:rsidRPr="002800E5" w14:paraId="0FA11255" w14:textId="77777777" w:rsidTr="00560A50">
        <w:trPr>
          <w:trHeight w:val="250"/>
        </w:trPr>
        <w:tc>
          <w:tcPr>
            <w:tcW w:w="447" w:type="dxa"/>
            <w:vMerge w:val="restart"/>
            <w:tcBorders>
              <w:top w:val="nil"/>
              <w:left w:val="single" w:sz="4" w:space="0" w:color="auto"/>
              <w:bottom w:val="single" w:sz="4" w:space="0" w:color="000000"/>
              <w:right w:val="nil"/>
            </w:tcBorders>
            <w:shd w:val="clear" w:color="000000" w:fill="B4C6E7"/>
            <w:noWrap/>
            <w:textDirection w:val="btLr"/>
            <w:vAlign w:val="center"/>
            <w:hideMark/>
          </w:tcPr>
          <w:p w14:paraId="4096F7CD" w14:textId="77777777" w:rsidR="009C313D" w:rsidRPr="002800E5" w:rsidRDefault="009C313D" w:rsidP="00560A50">
            <w:pPr>
              <w:jc w:val="center"/>
              <w:rPr>
                <w:rFonts w:ascii="Garamond" w:eastAsia="Times New Roman" w:hAnsi="Garamond" w:cs="Calibri"/>
                <w:b/>
                <w:bCs/>
                <w:sz w:val="20"/>
                <w:szCs w:val="20"/>
                <w:lang w:eastAsia="en-GB"/>
              </w:rPr>
            </w:pPr>
            <w:r w:rsidRPr="002800E5">
              <w:rPr>
                <w:rFonts w:ascii="Garamond" w:eastAsia="Times New Roman" w:hAnsi="Garamond" w:cs="Calibri"/>
                <w:b/>
                <w:bCs/>
                <w:sz w:val="20"/>
                <w:szCs w:val="20"/>
                <w:lang w:eastAsia="en-GB"/>
              </w:rPr>
              <w:t>BRICS</w:t>
            </w:r>
          </w:p>
        </w:tc>
        <w:tc>
          <w:tcPr>
            <w:tcW w:w="1238" w:type="dxa"/>
            <w:tcBorders>
              <w:top w:val="single" w:sz="4" w:space="0" w:color="auto"/>
              <w:left w:val="single" w:sz="4" w:space="0" w:color="auto"/>
              <w:bottom w:val="nil"/>
              <w:right w:val="single" w:sz="4" w:space="0" w:color="auto"/>
            </w:tcBorders>
            <w:shd w:val="clear" w:color="000000" w:fill="D9E1F2"/>
            <w:noWrap/>
            <w:vAlign w:val="center"/>
            <w:hideMark/>
          </w:tcPr>
          <w:p w14:paraId="7AAD3A20"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Brazil</w:t>
            </w:r>
          </w:p>
        </w:tc>
        <w:tc>
          <w:tcPr>
            <w:tcW w:w="3535" w:type="dxa"/>
            <w:tcBorders>
              <w:top w:val="nil"/>
              <w:left w:val="nil"/>
              <w:bottom w:val="nil"/>
              <w:right w:val="single" w:sz="4" w:space="0" w:color="auto"/>
            </w:tcBorders>
            <w:shd w:val="clear" w:color="000000" w:fill="D9E1F2"/>
            <w:noWrap/>
            <w:vAlign w:val="center"/>
            <w:hideMark/>
          </w:tcPr>
          <w:p w14:paraId="629BE8D7"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BM&amp;FBOVESPA S.A.</w:t>
            </w:r>
          </w:p>
        </w:tc>
        <w:tc>
          <w:tcPr>
            <w:tcW w:w="1260" w:type="dxa"/>
            <w:tcBorders>
              <w:top w:val="nil"/>
              <w:left w:val="nil"/>
              <w:bottom w:val="nil"/>
              <w:right w:val="single" w:sz="4" w:space="0" w:color="auto"/>
            </w:tcBorders>
            <w:shd w:val="clear" w:color="auto" w:fill="auto"/>
            <w:noWrap/>
            <w:vAlign w:val="center"/>
            <w:hideMark/>
          </w:tcPr>
          <w:p w14:paraId="12406CD4"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876,656.81 </w:t>
            </w:r>
          </w:p>
        </w:tc>
        <w:tc>
          <w:tcPr>
            <w:tcW w:w="1285" w:type="dxa"/>
            <w:tcBorders>
              <w:top w:val="nil"/>
              <w:left w:val="nil"/>
              <w:bottom w:val="nil"/>
              <w:right w:val="single" w:sz="4" w:space="0" w:color="auto"/>
            </w:tcBorders>
            <w:shd w:val="clear" w:color="auto" w:fill="auto"/>
            <w:noWrap/>
            <w:vAlign w:val="center"/>
            <w:hideMark/>
          </w:tcPr>
          <w:p w14:paraId="4C9BC9FF"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 NA </w:t>
            </w:r>
          </w:p>
        </w:tc>
      </w:tr>
      <w:tr w:rsidR="009C313D" w:rsidRPr="002800E5" w14:paraId="42FBBAAC" w14:textId="77777777" w:rsidTr="00560A50">
        <w:trPr>
          <w:trHeight w:val="250"/>
        </w:trPr>
        <w:tc>
          <w:tcPr>
            <w:tcW w:w="447" w:type="dxa"/>
            <w:vMerge/>
            <w:tcBorders>
              <w:top w:val="nil"/>
              <w:left w:val="single" w:sz="4" w:space="0" w:color="auto"/>
              <w:bottom w:val="single" w:sz="4" w:space="0" w:color="000000"/>
              <w:right w:val="nil"/>
            </w:tcBorders>
            <w:vAlign w:val="center"/>
            <w:hideMark/>
          </w:tcPr>
          <w:p w14:paraId="3149006D"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58A21C41"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Russia</w:t>
            </w:r>
          </w:p>
        </w:tc>
        <w:tc>
          <w:tcPr>
            <w:tcW w:w="3535" w:type="dxa"/>
            <w:tcBorders>
              <w:top w:val="nil"/>
              <w:left w:val="nil"/>
              <w:bottom w:val="nil"/>
              <w:right w:val="single" w:sz="4" w:space="0" w:color="auto"/>
            </w:tcBorders>
            <w:shd w:val="clear" w:color="000000" w:fill="D9E1F2"/>
            <w:noWrap/>
            <w:vAlign w:val="center"/>
            <w:hideMark/>
          </w:tcPr>
          <w:p w14:paraId="5E22CE77"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Moscow Exchange</w:t>
            </w:r>
          </w:p>
        </w:tc>
        <w:tc>
          <w:tcPr>
            <w:tcW w:w="1260" w:type="dxa"/>
            <w:tcBorders>
              <w:top w:val="nil"/>
              <w:left w:val="nil"/>
              <w:bottom w:val="nil"/>
              <w:right w:val="single" w:sz="4" w:space="0" w:color="auto"/>
            </w:tcBorders>
            <w:shd w:val="clear" w:color="auto" w:fill="auto"/>
            <w:noWrap/>
            <w:vAlign w:val="center"/>
            <w:hideMark/>
          </w:tcPr>
          <w:p w14:paraId="785797CC"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636,344.08 </w:t>
            </w:r>
          </w:p>
        </w:tc>
        <w:tc>
          <w:tcPr>
            <w:tcW w:w="1285" w:type="dxa"/>
            <w:tcBorders>
              <w:top w:val="nil"/>
              <w:left w:val="nil"/>
              <w:bottom w:val="nil"/>
              <w:right w:val="single" w:sz="4" w:space="0" w:color="auto"/>
            </w:tcBorders>
            <w:shd w:val="clear" w:color="auto" w:fill="auto"/>
            <w:noWrap/>
            <w:vAlign w:val="center"/>
            <w:hideMark/>
          </w:tcPr>
          <w:p w14:paraId="536774E1"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 NA </w:t>
            </w:r>
          </w:p>
        </w:tc>
      </w:tr>
      <w:tr w:rsidR="009C313D" w:rsidRPr="002800E5" w14:paraId="31570E34" w14:textId="77777777" w:rsidTr="00560A50">
        <w:trPr>
          <w:trHeight w:val="250"/>
        </w:trPr>
        <w:tc>
          <w:tcPr>
            <w:tcW w:w="447" w:type="dxa"/>
            <w:vMerge/>
            <w:tcBorders>
              <w:top w:val="nil"/>
              <w:left w:val="single" w:sz="4" w:space="0" w:color="auto"/>
              <w:bottom w:val="single" w:sz="4" w:space="0" w:color="000000"/>
              <w:right w:val="nil"/>
            </w:tcBorders>
            <w:vAlign w:val="center"/>
            <w:hideMark/>
          </w:tcPr>
          <w:p w14:paraId="4E3537A5"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6AA482A4"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India</w:t>
            </w:r>
          </w:p>
        </w:tc>
        <w:tc>
          <w:tcPr>
            <w:tcW w:w="3535" w:type="dxa"/>
            <w:tcBorders>
              <w:top w:val="nil"/>
              <w:left w:val="nil"/>
              <w:bottom w:val="nil"/>
              <w:right w:val="single" w:sz="4" w:space="0" w:color="auto"/>
            </w:tcBorders>
            <w:shd w:val="clear" w:color="000000" w:fill="D9E1F2"/>
            <w:noWrap/>
            <w:vAlign w:val="center"/>
            <w:hideMark/>
          </w:tcPr>
          <w:p w14:paraId="4434B547"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BSE India Limited</w:t>
            </w:r>
          </w:p>
        </w:tc>
        <w:tc>
          <w:tcPr>
            <w:tcW w:w="1260" w:type="dxa"/>
            <w:tcBorders>
              <w:top w:val="nil"/>
              <w:left w:val="nil"/>
              <w:bottom w:val="nil"/>
              <w:right w:val="single" w:sz="4" w:space="0" w:color="auto"/>
            </w:tcBorders>
            <w:shd w:val="clear" w:color="auto" w:fill="auto"/>
            <w:noWrap/>
            <w:vAlign w:val="center"/>
            <w:hideMark/>
          </w:tcPr>
          <w:p w14:paraId="351B4D9E"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2,236,776.30 </w:t>
            </w:r>
          </w:p>
        </w:tc>
        <w:tc>
          <w:tcPr>
            <w:tcW w:w="1285" w:type="dxa"/>
            <w:tcBorders>
              <w:top w:val="nil"/>
              <w:left w:val="nil"/>
              <w:bottom w:val="nil"/>
              <w:right w:val="single" w:sz="4" w:space="0" w:color="auto"/>
            </w:tcBorders>
            <w:shd w:val="clear" w:color="auto" w:fill="auto"/>
            <w:noWrap/>
            <w:vAlign w:val="center"/>
            <w:hideMark/>
          </w:tcPr>
          <w:p w14:paraId="737D84A8"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2,247,643.13 </w:t>
            </w:r>
          </w:p>
        </w:tc>
      </w:tr>
      <w:tr w:rsidR="009C313D" w:rsidRPr="002800E5" w14:paraId="74980CAB" w14:textId="77777777" w:rsidTr="00560A50">
        <w:trPr>
          <w:trHeight w:val="250"/>
        </w:trPr>
        <w:tc>
          <w:tcPr>
            <w:tcW w:w="447" w:type="dxa"/>
            <w:vMerge/>
            <w:tcBorders>
              <w:top w:val="nil"/>
              <w:left w:val="single" w:sz="4" w:space="0" w:color="auto"/>
              <w:bottom w:val="single" w:sz="4" w:space="0" w:color="000000"/>
              <w:right w:val="nil"/>
            </w:tcBorders>
            <w:vAlign w:val="center"/>
            <w:hideMark/>
          </w:tcPr>
          <w:p w14:paraId="73C8AD64"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74B0C09F"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India</w:t>
            </w:r>
          </w:p>
        </w:tc>
        <w:tc>
          <w:tcPr>
            <w:tcW w:w="3535" w:type="dxa"/>
            <w:tcBorders>
              <w:top w:val="nil"/>
              <w:left w:val="nil"/>
              <w:bottom w:val="nil"/>
              <w:right w:val="single" w:sz="4" w:space="0" w:color="auto"/>
            </w:tcBorders>
            <w:shd w:val="clear" w:color="000000" w:fill="D9E1F2"/>
            <w:noWrap/>
            <w:vAlign w:val="center"/>
            <w:hideMark/>
          </w:tcPr>
          <w:p w14:paraId="3BDA9829"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National Stock Exchange of India Limited</w:t>
            </w:r>
          </w:p>
        </w:tc>
        <w:tc>
          <w:tcPr>
            <w:tcW w:w="1260" w:type="dxa"/>
            <w:tcBorders>
              <w:top w:val="nil"/>
              <w:left w:val="nil"/>
              <w:bottom w:val="nil"/>
              <w:right w:val="single" w:sz="4" w:space="0" w:color="auto"/>
            </w:tcBorders>
            <w:shd w:val="clear" w:color="auto" w:fill="auto"/>
            <w:noWrap/>
            <w:vAlign w:val="center"/>
            <w:hideMark/>
          </w:tcPr>
          <w:p w14:paraId="4C0C353C"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2,211,279.86 </w:t>
            </w:r>
          </w:p>
        </w:tc>
        <w:tc>
          <w:tcPr>
            <w:tcW w:w="1285" w:type="dxa"/>
            <w:tcBorders>
              <w:top w:val="nil"/>
              <w:left w:val="nil"/>
              <w:bottom w:val="nil"/>
              <w:right w:val="single" w:sz="4" w:space="0" w:color="auto"/>
            </w:tcBorders>
            <w:shd w:val="clear" w:color="auto" w:fill="auto"/>
            <w:noWrap/>
            <w:vAlign w:val="center"/>
            <w:hideMark/>
          </w:tcPr>
          <w:p w14:paraId="0B631E8F"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2,220,805.17 </w:t>
            </w:r>
          </w:p>
        </w:tc>
      </w:tr>
      <w:tr w:rsidR="009C313D" w:rsidRPr="002800E5" w14:paraId="508EB07C" w14:textId="77777777" w:rsidTr="00560A50">
        <w:trPr>
          <w:trHeight w:val="250"/>
        </w:trPr>
        <w:tc>
          <w:tcPr>
            <w:tcW w:w="447" w:type="dxa"/>
            <w:vMerge/>
            <w:tcBorders>
              <w:top w:val="nil"/>
              <w:left w:val="single" w:sz="4" w:space="0" w:color="auto"/>
              <w:bottom w:val="single" w:sz="4" w:space="0" w:color="000000"/>
              <w:right w:val="nil"/>
            </w:tcBorders>
            <w:vAlign w:val="center"/>
            <w:hideMark/>
          </w:tcPr>
          <w:p w14:paraId="082AE938"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7141CECD"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China</w:t>
            </w:r>
          </w:p>
        </w:tc>
        <w:tc>
          <w:tcPr>
            <w:tcW w:w="3535" w:type="dxa"/>
            <w:tcBorders>
              <w:top w:val="nil"/>
              <w:left w:val="nil"/>
              <w:bottom w:val="nil"/>
              <w:right w:val="single" w:sz="4" w:space="0" w:color="auto"/>
            </w:tcBorders>
            <w:shd w:val="clear" w:color="000000" w:fill="D9E1F2"/>
            <w:noWrap/>
            <w:vAlign w:val="center"/>
            <w:hideMark/>
          </w:tcPr>
          <w:p w14:paraId="04A776ED"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Shanghai Stock Exchange</w:t>
            </w:r>
          </w:p>
        </w:tc>
        <w:tc>
          <w:tcPr>
            <w:tcW w:w="1260" w:type="dxa"/>
            <w:tcBorders>
              <w:top w:val="nil"/>
              <w:left w:val="nil"/>
              <w:bottom w:val="nil"/>
              <w:right w:val="single" w:sz="4" w:space="0" w:color="auto"/>
            </w:tcBorders>
            <w:shd w:val="clear" w:color="auto" w:fill="auto"/>
            <w:noWrap/>
            <w:vAlign w:val="center"/>
            <w:hideMark/>
          </w:tcPr>
          <w:p w14:paraId="278A1DAB"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4,480,259.16 </w:t>
            </w:r>
          </w:p>
        </w:tc>
        <w:tc>
          <w:tcPr>
            <w:tcW w:w="1285" w:type="dxa"/>
            <w:tcBorders>
              <w:top w:val="nil"/>
              <w:left w:val="nil"/>
              <w:bottom w:val="nil"/>
              <w:right w:val="single" w:sz="4" w:space="0" w:color="auto"/>
            </w:tcBorders>
            <w:shd w:val="clear" w:color="auto" w:fill="auto"/>
            <w:noWrap/>
            <w:vAlign w:val="center"/>
            <w:hideMark/>
          </w:tcPr>
          <w:p w14:paraId="78A0EC1B"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4,254,450.10 </w:t>
            </w:r>
          </w:p>
        </w:tc>
      </w:tr>
      <w:tr w:rsidR="009C313D" w:rsidRPr="002800E5" w14:paraId="2AC892F3" w14:textId="77777777" w:rsidTr="00560A50">
        <w:trPr>
          <w:trHeight w:val="250"/>
        </w:trPr>
        <w:tc>
          <w:tcPr>
            <w:tcW w:w="447" w:type="dxa"/>
            <w:vMerge/>
            <w:tcBorders>
              <w:top w:val="nil"/>
              <w:left w:val="single" w:sz="4" w:space="0" w:color="auto"/>
              <w:bottom w:val="single" w:sz="4" w:space="0" w:color="000000"/>
              <w:right w:val="nil"/>
            </w:tcBorders>
            <w:vAlign w:val="center"/>
            <w:hideMark/>
          </w:tcPr>
          <w:p w14:paraId="0D155573"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nil"/>
              <w:right w:val="single" w:sz="4" w:space="0" w:color="auto"/>
            </w:tcBorders>
            <w:shd w:val="clear" w:color="000000" w:fill="D9E1F2"/>
            <w:noWrap/>
            <w:vAlign w:val="center"/>
            <w:hideMark/>
          </w:tcPr>
          <w:p w14:paraId="067BCC70"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China</w:t>
            </w:r>
          </w:p>
        </w:tc>
        <w:tc>
          <w:tcPr>
            <w:tcW w:w="3535" w:type="dxa"/>
            <w:tcBorders>
              <w:top w:val="nil"/>
              <w:left w:val="nil"/>
              <w:bottom w:val="nil"/>
              <w:right w:val="single" w:sz="4" w:space="0" w:color="auto"/>
            </w:tcBorders>
            <w:shd w:val="clear" w:color="000000" w:fill="D9E1F2"/>
            <w:noWrap/>
            <w:vAlign w:val="center"/>
            <w:hideMark/>
          </w:tcPr>
          <w:p w14:paraId="565E85E1"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Shenzhen Stock Exchange</w:t>
            </w:r>
          </w:p>
        </w:tc>
        <w:tc>
          <w:tcPr>
            <w:tcW w:w="1260" w:type="dxa"/>
            <w:tcBorders>
              <w:top w:val="nil"/>
              <w:left w:val="nil"/>
              <w:bottom w:val="nil"/>
              <w:right w:val="single" w:sz="4" w:space="0" w:color="auto"/>
            </w:tcBorders>
            <w:shd w:val="clear" w:color="auto" w:fill="auto"/>
            <w:noWrap/>
            <w:vAlign w:val="center"/>
            <w:hideMark/>
          </w:tcPr>
          <w:p w14:paraId="0342F47D"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2,944,978.39 </w:t>
            </w:r>
          </w:p>
        </w:tc>
        <w:tc>
          <w:tcPr>
            <w:tcW w:w="1285" w:type="dxa"/>
            <w:tcBorders>
              <w:top w:val="nil"/>
              <w:left w:val="nil"/>
              <w:bottom w:val="nil"/>
              <w:right w:val="single" w:sz="4" w:space="0" w:color="auto"/>
            </w:tcBorders>
            <w:shd w:val="clear" w:color="auto" w:fill="auto"/>
            <w:noWrap/>
            <w:vAlign w:val="center"/>
            <w:hideMark/>
          </w:tcPr>
          <w:p w14:paraId="3AAA1A87"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2,708,709.99 </w:t>
            </w:r>
          </w:p>
        </w:tc>
      </w:tr>
      <w:tr w:rsidR="009C313D" w:rsidRPr="002800E5" w14:paraId="306539AA" w14:textId="77777777" w:rsidTr="00560A50">
        <w:trPr>
          <w:trHeight w:val="250"/>
        </w:trPr>
        <w:tc>
          <w:tcPr>
            <w:tcW w:w="447" w:type="dxa"/>
            <w:vMerge/>
            <w:tcBorders>
              <w:top w:val="nil"/>
              <w:left w:val="single" w:sz="4" w:space="0" w:color="auto"/>
              <w:bottom w:val="single" w:sz="4" w:space="0" w:color="000000"/>
              <w:right w:val="nil"/>
            </w:tcBorders>
            <w:vAlign w:val="center"/>
            <w:hideMark/>
          </w:tcPr>
          <w:p w14:paraId="6BBA3FF4" w14:textId="77777777" w:rsidR="009C313D" w:rsidRPr="002800E5" w:rsidRDefault="009C313D" w:rsidP="00560A50">
            <w:pPr>
              <w:rPr>
                <w:rFonts w:ascii="Garamond" w:eastAsia="Times New Roman" w:hAnsi="Garamond" w:cs="Calibri"/>
                <w:b/>
                <w:bCs/>
                <w:sz w:val="20"/>
                <w:szCs w:val="20"/>
                <w:lang w:eastAsia="en-GB"/>
              </w:rPr>
            </w:pPr>
          </w:p>
        </w:tc>
        <w:tc>
          <w:tcPr>
            <w:tcW w:w="1238" w:type="dxa"/>
            <w:tcBorders>
              <w:top w:val="nil"/>
              <w:left w:val="single" w:sz="4" w:space="0" w:color="auto"/>
              <w:bottom w:val="single" w:sz="4" w:space="0" w:color="auto"/>
              <w:right w:val="single" w:sz="4" w:space="0" w:color="auto"/>
            </w:tcBorders>
            <w:shd w:val="clear" w:color="000000" w:fill="D9E1F2"/>
            <w:noWrap/>
            <w:vAlign w:val="center"/>
            <w:hideMark/>
          </w:tcPr>
          <w:p w14:paraId="63345F03"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South Africa</w:t>
            </w:r>
          </w:p>
        </w:tc>
        <w:tc>
          <w:tcPr>
            <w:tcW w:w="3535" w:type="dxa"/>
            <w:tcBorders>
              <w:top w:val="nil"/>
              <w:left w:val="nil"/>
              <w:bottom w:val="single" w:sz="4" w:space="0" w:color="auto"/>
              <w:right w:val="single" w:sz="4" w:space="0" w:color="auto"/>
            </w:tcBorders>
            <w:shd w:val="clear" w:color="000000" w:fill="D9E1F2"/>
            <w:noWrap/>
            <w:vAlign w:val="center"/>
            <w:hideMark/>
          </w:tcPr>
          <w:p w14:paraId="6B2DDB2A" w14:textId="77777777" w:rsidR="009C313D" w:rsidRPr="002800E5" w:rsidRDefault="009C313D" w:rsidP="00560A50">
            <w:pPr>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Johannesburg Stock Exchange</w:t>
            </w:r>
          </w:p>
        </w:tc>
        <w:tc>
          <w:tcPr>
            <w:tcW w:w="1260" w:type="dxa"/>
            <w:tcBorders>
              <w:top w:val="nil"/>
              <w:left w:val="nil"/>
              <w:bottom w:val="single" w:sz="4" w:space="0" w:color="auto"/>
              <w:right w:val="single" w:sz="4" w:space="0" w:color="auto"/>
            </w:tcBorders>
            <w:shd w:val="clear" w:color="auto" w:fill="auto"/>
            <w:noWrap/>
            <w:vAlign w:val="center"/>
            <w:hideMark/>
          </w:tcPr>
          <w:p w14:paraId="593DDBBC"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1,097,980.86 </w:t>
            </w:r>
          </w:p>
        </w:tc>
        <w:tc>
          <w:tcPr>
            <w:tcW w:w="1285" w:type="dxa"/>
            <w:tcBorders>
              <w:top w:val="nil"/>
              <w:left w:val="nil"/>
              <w:bottom w:val="single" w:sz="4" w:space="0" w:color="auto"/>
              <w:right w:val="single" w:sz="4" w:space="0" w:color="auto"/>
            </w:tcBorders>
            <w:shd w:val="clear" w:color="auto" w:fill="auto"/>
            <w:noWrap/>
            <w:vAlign w:val="center"/>
            <w:hideMark/>
          </w:tcPr>
          <w:p w14:paraId="35239057" w14:textId="77777777" w:rsidR="009C313D" w:rsidRPr="002800E5" w:rsidRDefault="009C313D" w:rsidP="00560A50">
            <w:pPr>
              <w:jc w:val="right"/>
              <w:rPr>
                <w:rFonts w:ascii="Garamond" w:eastAsia="Times New Roman" w:hAnsi="Garamond" w:cs="Calibri"/>
                <w:sz w:val="20"/>
                <w:szCs w:val="20"/>
                <w:lang w:eastAsia="en-GB"/>
              </w:rPr>
            </w:pPr>
            <w:r w:rsidRPr="002800E5">
              <w:rPr>
                <w:rFonts w:ascii="Garamond" w:eastAsia="Times New Roman" w:hAnsi="Garamond" w:cs="Calibri"/>
                <w:sz w:val="20"/>
                <w:szCs w:val="20"/>
                <w:lang w:eastAsia="en-GB"/>
              </w:rPr>
              <w:t xml:space="preserve">981,673.86 </w:t>
            </w:r>
          </w:p>
        </w:tc>
      </w:tr>
    </w:tbl>
    <w:p w14:paraId="3662035A" w14:textId="77777777" w:rsidR="009C313D" w:rsidRPr="002800E5" w:rsidRDefault="009C313D" w:rsidP="009C313D">
      <w:pPr>
        <w:rPr>
          <w:rFonts w:ascii="Garamond" w:hAnsi="Garamond"/>
          <w:sz w:val="20"/>
        </w:rPr>
      </w:pPr>
      <w:r w:rsidRPr="002800E5">
        <w:rPr>
          <w:rFonts w:ascii="Garamond" w:hAnsi="Garamond"/>
          <w:b/>
          <w:sz w:val="20"/>
        </w:rPr>
        <w:t>Note:</w:t>
      </w:r>
      <w:r w:rsidRPr="002800E5">
        <w:rPr>
          <w:rFonts w:ascii="Garamond" w:hAnsi="Garamond"/>
          <w:sz w:val="20"/>
        </w:rPr>
        <w:t xml:space="preserve"> </w:t>
      </w:r>
    </w:p>
    <w:p w14:paraId="6927704E" w14:textId="77777777" w:rsidR="009C313D" w:rsidRPr="002800E5" w:rsidRDefault="009C313D" w:rsidP="009C313D">
      <w:pPr>
        <w:rPr>
          <w:rFonts w:ascii="Garamond" w:hAnsi="Garamond"/>
          <w:sz w:val="20"/>
        </w:rPr>
      </w:pPr>
      <w:r w:rsidRPr="002800E5">
        <w:rPr>
          <w:rFonts w:ascii="Garamond" w:hAnsi="Garamond"/>
          <w:b/>
          <w:sz w:val="20"/>
        </w:rPr>
        <w:t xml:space="preserve">* </w:t>
      </w:r>
      <w:r w:rsidRPr="002800E5">
        <w:rPr>
          <w:rFonts w:ascii="Garamond" w:hAnsi="Garamond"/>
          <w:sz w:val="20"/>
        </w:rPr>
        <w:t>Euronext is the first pan-European exchange, spanning Belgium, France, Ireland, the Netherlands, Portugal and the UK.</w:t>
      </w:r>
    </w:p>
    <w:p w14:paraId="290C4DA8" w14:textId="77777777" w:rsidR="009C313D" w:rsidRPr="002800E5" w:rsidRDefault="009C313D" w:rsidP="009C313D">
      <w:pPr>
        <w:rPr>
          <w:rFonts w:ascii="Garamond" w:hAnsi="Garamond"/>
          <w:sz w:val="20"/>
        </w:rPr>
      </w:pPr>
      <w:r w:rsidRPr="002800E5">
        <w:rPr>
          <w:rFonts w:ascii="Garamond" w:hAnsi="Garamond"/>
          <w:sz w:val="20"/>
        </w:rPr>
        <w:t>NA = Not Available</w:t>
      </w:r>
    </w:p>
    <w:p w14:paraId="580C0065" w14:textId="77777777" w:rsidR="009C313D" w:rsidRPr="002800E5" w:rsidRDefault="009C313D" w:rsidP="009C313D">
      <w:pPr>
        <w:rPr>
          <w:rFonts w:ascii="Garamond" w:hAnsi="Garamond"/>
          <w:sz w:val="20"/>
        </w:rPr>
      </w:pPr>
      <w:r w:rsidRPr="002800E5">
        <w:rPr>
          <w:rFonts w:ascii="Garamond" w:hAnsi="Garamond"/>
          <w:b/>
          <w:sz w:val="20"/>
        </w:rPr>
        <w:t>Source:</w:t>
      </w:r>
      <w:r w:rsidRPr="002800E5">
        <w:rPr>
          <w:rFonts w:ascii="Garamond" w:hAnsi="Garamond"/>
          <w:sz w:val="20"/>
        </w:rPr>
        <w:t xml:space="preserve"> World Federation of Exchanges</w:t>
      </w:r>
    </w:p>
    <w:p w14:paraId="5F77FEC7" w14:textId="77777777" w:rsidR="009C313D" w:rsidRPr="002800E5" w:rsidRDefault="009C313D" w:rsidP="009C313D">
      <w:pPr>
        <w:rPr>
          <w:rFonts w:ascii="Garamond" w:hAnsi="Garamond"/>
          <w:sz w:val="20"/>
        </w:rPr>
      </w:pPr>
    </w:p>
    <w:p w14:paraId="5E32A460" w14:textId="77777777" w:rsidR="009C313D" w:rsidRPr="002800E5" w:rsidRDefault="009C313D" w:rsidP="009C313D">
      <w:pPr>
        <w:jc w:val="both"/>
        <w:rPr>
          <w:rFonts w:ascii="Garamond" w:hAnsi="Garamond"/>
          <w:b/>
        </w:rPr>
      </w:pPr>
      <w:r w:rsidRPr="002800E5">
        <w:rPr>
          <w:rFonts w:ascii="Garamond" w:hAnsi="Garamond"/>
          <w:b/>
        </w:rPr>
        <w:t>Equity Derivatives:</w:t>
      </w:r>
    </w:p>
    <w:p w14:paraId="57D8D057" w14:textId="77777777" w:rsidR="009C313D" w:rsidRPr="001500B3" w:rsidRDefault="009C313D" w:rsidP="009C313D">
      <w:pPr>
        <w:jc w:val="both"/>
        <w:rPr>
          <w:rFonts w:ascii="Garamond" w:hAnsi="Garamond"/>
          <w:color w:val="0000FF"/>
        </w:rPr>
      </w:pPr>
    </w:p>
    <w:p w14:paraId="33BD6ECD" w14:textId="77777777" w:rsidR="009C313D" w:rsidRPr="00763281" w:rsidRDefault="009C313D" w:rsidP="009C313D">
      <w:pPr>
        <w:jc w:val="both"/>
        <w:rPr>
          <w:rFonts w:ascii="Garamond" w:hAnsi="Garamond"/>
        </w:rPr>
      </w:pPr>
      <w:r w:rsidRPr="00763281">
        <w:rPr>
          <w:rFonts w:ascii="Garamond" w:hAnsi="Garamond"/>
        </w:rPr>
        <w:t>As per the latest data available from the World Federation of Exchanges, during August 2018</w:t>
      </w:r>
      <w:r>
        <w:rPr>
          <w:rFonts w:ascii="Garamond" w:hAnsi="Garamond"/>
        </w:rPr>
        <w:t>,</w:t>
      </w:r>
      <w:r w:rsidRPr="00763281">
        <w:rPr>
          <w:rFonts w:ascii="Garamond" w:hAnsi="Garamond"/>
        </w:rPr>
        <w:t xml:space="preserve"> the following performance was recorded in equity derivatives markets across the globe (Table A4 and A5):</w:t>
      </w:r>
    </w:p>
    <w:p w14:paraId="0550761C" w14:textId="77777777" w:rsidR="009C313D" w:rsidRPr="00763281" w:rsidRDefault="009C313D" w:rsidP="009C313D">
      <w:pPr>
        <w:jc w:val="both"/>
        <w:rPr>
          <w:rFonts w:ascii="Garamond" w:hAnsi="Garamond"/>
          <w:b/>
        </w:rPr>
      </w:pPr>
    </w:p>
    <w:p w14:paraId="7ACFB628" w14:textId="77777777" w:rsidR="009C313D" w:rsidRPr="00763281" w:rsidRDefault="009C313D" w:rsidP="009C313D">
      <w:pPr>
        <w:jc w:val="both"/>
        <w:rPr>
          <w:rFonts w:ascii="Garamond" w:hAnsi="Garamond"/>
          <w:b/>
        </w:rPr>
      </w:pPr>
      <w:r w:rsidRPr="00763281">
        <w:rPr>
          <w:rFonts w:ascii="Garamond" w:hAnsi="Garamond"/>
          <w:b/>
        </w:rPr>
        <w:t>Single Stock Options:</w:t>
      </w:r>
    </w:p>
    <w:p w14:paraId="0D8C2042" w14:textId="77777777" w:rsidR="009C313D" w:rsidRPr="00763281" w:rsidRDefault="009C313D" w:rsidP="009C313D">
      <w:pPr>
        <w:pStyle w:val="ListParagraph"/>
        <w:numPr>
          <w:ilvl w:val="0"/>
          <w:numId w:val="4"/>
        </w:numPr>
        <w:spacing w:after="0" w:line="240" w:lineRule="auto"/>
        <w:ind w:left="360"/>
        <w:jc w:val="both"/>
        <w:rPr>
          <w:rFonts w:ascii="Garamond" w:hAnsi="Garamond"/>
          <w:sz w:val="24"/>
        </w:rPr>
      </w:pPr>
      <w:r w:rsidRPr="00763281">
        <w:rPr>
          <w:rFonts w:ascii="Garamond" w:hAnsi="Garamond"/>
          <w:sz w:val="24"/>
        </w:rPr>
        <w:t xml:space="preserve">Among exchanges in the Americas, Nasdaq Stock Exchange of the USA recorded 63,566,309 contracts traded on stock options, followed by Chicago Board Options Exchange (42,434,119 contracts) and International Securities Exchange (31,427,930 </w:t>
      </w:r>
      <w:r>
        <w:rPr>
          <w:rFonts w:ascii="Garamond" w:hAnsi="Garamond"/>
          <w:sz w:val="24"/>
        </w:rPr>
        <w:t>contracts).</w:t>
      </w:r>
    </w:p>
    <w:p w14:paraId="53BE440A" w14:textId="77777777" w:rsidR="009C313D" w:rsidRPr="000741C8" w:rsidRDefault="009C313D" w:rsidP="009C313D">
      <w:pPr>
        <w:pStyle w:val="ListParagraph"/>
        <w:numPr>
          <w:ilvl w:val="0"/>
          <w:numId w:val="4"/>
        </w:numPr>
        <w:spacing w:after="0" w:line="240" w:lineRule="auto"/>
        <w:ind w:left="360"/>
        <w:jc w:val="both"/>
        <w:rPr>
          <w:rFonts w:ascii="Garamond" w:hAnsi="Garamond"/>
          <w:sz w:val="24"/>
        </w:rPr>
      </w:pPr>
      <w:r w:rsidRPr="000741C8">
        <w:rPr>
          <w:rFonts w:ascii="Garamond" w:hAnsi="Garamond"/>
          <w:sz w:val="24"/>
        </w:rPr>
        <w:t>Among exchanges in the Europe - Africa - Middle East, Nasdaq Nordic Exchange recorded trading of 1,492,256 contracts, followed by Euronext (5,552,760 contracts) and BME Spanish Exchanges (818,250 contracts).</w:t>
      </w:r>
    </w:p>
    <w:p w14:paraId="45451916" w14:textId="77777777" w:rsidR="009C313D" w:rsidRPr="000741C8" w:rsidRDefault="009C313D" w:rsidP="009C313D">
      <w:pPr>
        <w:pStyle w:val="ListParagraph"/>
        <w:numPr>
          <w:ilvl w:val="0"/>
          <w:numId w:val="4"/>
        </w:numPr>
        <w:spacing w:after="0" w:line="240" w:lineRule="auto"/>
        <w:ind w:left="360"/>
        <w:jc w:val="both"/>
        <w:rPr>
          <w:rFonts w:ascii="Garamond" w:hAnsi="Garamond"/>
          <w:sz w:val="24"/>
        </w:rPr>
      </w:pPr>
      <w:r w:rsidRPr="000741C8">
        <w:rPr>
          <w:rFonts w:ascii="Garamond" w:hAnsi="Garamond"/>
          <w:sz w:val="24"/>
        </w:rPr>
        <w:t>Among exchanges in the Asia – Pacific, the Nationals Stock Exchange of India recorded trading of 17,309,073 contracts, followed by Hong Kong Exchanges and Clearing (10,358,547 contracts) and Australian Securities Exchange (7,215,468 contracts).</w:t>
      </w:r>
    </w:p>
    <w:p w14:paraId="06E03896" w14:textId="77777777" w:rsidR="009C313D" w:rsidRPr="001500B3" w:rsidRDefault="009C313D" w:rsidP="009C313D">
      <w:pPr>
        <w:jc w:val="both"/>
        <w:rPr>
          <w:rFonts w:ascii="Garamond" w:hAnsi="Garamond"/>
          <w:b/>
          <w:color w:val="0000FF"/>
        </w:rPr>
      </w:pPr>
    </w:p>
    <w:p w14:paraId="62E792EE" w14:textId="77777777" w:rsidR="009C313D" w:rsidRPr="00736F3C" w:rsidRDefault="009C313D" w:rsidP="009C313D">
      <w:pPr>
        <w:jc w:val="both"/>
        <w:rPr>
          <w:rFonts w:ascii="Garamond" w:hAnsi="Garamond"/>
          <w:b/>
        </w:rPr>
      </w:pPr>
      <w:r w:rsidRPr="00736F3C">
        <w:rPr>
          <w:rFonts w:ascii="Garamond" w:hAnsi="Garamond"/>
          <w:b/>
        </w:rPr>
        <w:t>Single Stock Futures:</w:t>
      </w:r>
    </w:p>
    <w:p w14:paraId="68FC9664" w14:textId="77777777" w:rsidR="009C313D" w:rsidRPr="00E4351A" w:rsidRDefault="009C313D" w:rsidP="009C313D">
      <w:pPr>
        <w:pStyle w:val="ListParagraph"/>
        <w:numPr>
          <w:ilvl w:val="0"/>
          <w:numId w:val="4"/>
        </w:numPr>
        <w:spacing w:after="0" w:line="240" w:lineRule="auto"/>
        <w:ind w:left="360"/>
        <w:jc w:val="both"/>
        <w:rPr>
          <w:rFonts w:ascii="Garamond" w:hAnsi="Garamond"/>
          <w:sz w:val="24"/>
        </w:rPr>
      </w:pPr>
      <w:r w:rsidRPr="00E4351A">
        <w:rPr>
          <w:rFonts w:ascii="Garamond" w:hAnsi="Garamond"/>
          <w:sz w:val="24"/>
        </w:rPr>
        <w:t>Among exchanges in the Americas, Bolsa de Valores de Colombia recorded</w:t>
      </w:r>
      <w:r>
        <w:rPr>
          <w:rFonts w:ascii="Garamond" w:hAnsi="Garamond"/>
          <w:sz w:val="24"/>
        </w:rPr>
        <w:t xml:space="preserve"> </w:t>
      </w:r>
      <w:r w:rsidRPr="00E4351A">
        <w:rPr>
          <w:rFonts w:ascii="Garamond" w:hAnsi="Garamond"/>
          <w:sz w:val="24"/>
        </w:rPr>
        <w:t xml:space="preserve">5,860 contracts traded on </w:t>
      </w:r>
      <w:r>
        <w:rPr>
          <w:rFonts w:ascii="Garamond" w:hAnsi="Garamond"/>
          <w:sz w:val="24"/>
        </w:rPr>
        <w:t xml:space="preserve">single </w:t>
      </w:r>
      <w:r w:rsidRPr="00E4351A">
        <w:rPr>
          <w:rFonts w:ascii="Garamond" w:hAnsi="Garamond"/>
          <w:sz w:val="24"/>
        </w:rPr>
        <w:t>stock futures.</w:t>
      </w:r>
    </w:p>
    <w:p w14:paraId="3D2263AE" w14:textId="77777777" w:rsidR="009C313D" w:rsidRPr="00736F3C" w:rsidRDefault="009C313D" w:rsidP="009C313D">
      <w:pPr>
        <w:pStyle w:val="ListParagraph"/>
        <w:numPr>
          <w:ilvl w:val="0"/>
          <w:numId w:val="4"/>
        </w:numPr>
        <w:spacing w:after="0" w:line="240" w:lineRule="auto"/>
        <w:ind w:left="360"/>
        <w:jc w:val="both"/>
        <w:rPr>
          <w:rFonts w:ascii="Garamond" w:hAnsi="Garamond"/>
          <w:sz w:val="24"/>
        </w:rPr>
      </w:pPr>
      <w:r w:rsidRPr="00736F3C">
        <w:rPr>
          <w:rFonts w:ascii="Garamond" w:hAnsi="Garamond"/>
          <w:sz w:val="24"/>
        </w:rPr>
        <w:t>Among exchanges in the Europe - Africa - Middle East, EUREX recorded trading of 60,599,723 contracts, followed by Borsa Istanbul (4,141,774 contracts) and Athens Derivatives Exchange (558,666 contracts).</w:t>
      </w:r>
    </w:p>
    <w:p w14:paraId="6B56CC85" w14:textId="77777777" w:rsidR="009C313D" w:rsidRPr="00736F3C" w:rsidRDefault="009C313D" w:rsidP="009C313D">
      <w:pPr>
        <w:pStyle w:val="ListParagraph"/>
        <w:numPr>
          <w:ilvl w:val="0"/>
          <w:numId w:val="4"/>
        </w:numPr>
        <w:spacing w:after="0" w:line="240" w:lineRule="auto"/>
        <w:ind w:left="360"/>
        <w:jc w:val="both"/>
        <w:rPr>
          <w:rFonts w:ascii="Garamond" w:hAnsi="Garamond"/>
          <w:sz w:val="24"/>
        </w:rPr>
      </w:pPr>
      <w:r w:rsidRPr="00736F3C">
        <w:rPr>
          <w:rFonts w:ascii="Garamond" w:hAnsi="Garamond"/>
          <w:sz w:val="24"/>
        </w:rPr>
        <w:t>Among exchanges in the Asia – Pacific, Korea Exchange of South Korea recorded trading of 43,323,961 contracts, followed by National Stock Exchange of India (</w:t>
      </w:r>
      <w:r>
        <w:rPr>
          <w:rFonts w:ascii="Garamond" w:hAnsi="Garamond"/>
          <w:sz w:val="24"/>
        </w:rPr>
        <w:t xml:space="preserve">22,324,608 </w:t>
      </w:r>
      <w:r w:rsidRPr="00736F3C">
        <w:rPr>
          <w:rFonts w:ascii="Garamond" w:hAnsi="Garamond"/>
          <w:sz w:val="24"/>
        </w:rPr>
        <w:t>contracts) and Thailand Futures Exchange (3,349,462 contracts).</w:t>
      </w:r>
    </w:p>
    <w:p w14:paraId="7BF10100" w14:textId="77777777" w:rsidR="009C313D" w:rsidRPr="001500B3" w:rsidRDefault="009C313D" w:rsidP="009C313D">
      <w:pPr>
        <w:jc w:val="both"/>
        <w:rPr>
          <w:rFonts w:ascii="Garamond" w:hAnsi="Garamond"/>
          <w:b/>
          <w:color w:val="0000FF"/>
        </w:rPr>
      </w:pPr>
    </w:p>
    <w:p w14:paraId="67C05269" w14:textId="77777777" w:rsidR="009C313D" w:rsidRPr="00491794" w:rsidRDefault="009C313D" w:rsidP="009C313D">
      <w:pPr>
        <w:jc w:val="both"/>
        <w:rPr>
          <w:rFonts w:ascii="Garamond" w:hAnsi="Garamond"/>
          <w:b/>
        </w:rPr>
      </w:pPr>
      <w:r w:rsidRPr="00491794">
        <w:rPr>
          <w:rFonts w:ascii="Garamond" w:hAnsi="Garamond"/>
          <w:b/>
        </w:rPr>
        <w:t>Stock Index Options:</w:t>
      </w:r>
    </w:p>
    <w:p w14:paraId="58267842" w14:textId="77777777" w:rsidR="009C313D" w:rsidRPr="00491794" w:rsidRDefault="009C313D" w:rsidP="009C313D">
      <w:pPr>
        <w:pStyle w:val="ListParagraph"/>
        <w:numPr>
          <w:ilvl w:val="0"/>
          <w:numId w:val="4"/>
        </w:numPr>
        <w:spacing w:after="0" w:line="240" w:lineRule="auto"/>
        <w:ind w:left="360"/>
        <w:jc w:val="both"/>
        <w:rPr>
          <w:rFonts w:ascii="Garamond" w:hAnsi="Garamond"/>
          <w:sz w:val="24"/>
        </w:rPr>
      </w:pPr>
      <w:r w:rsidRPr="00491794">
        <w:rPr>
          <w:rFonts w:ascii="Garamond" w:hAnsi="Garamond"/>
          <w:sz w:val="24"/>
        </w:rPr>
        <w:t xml:space="preserve">Among exchanges in the Americas, Chicago Board Options Exchange recorded  41,787,572 contracts traded on stock index futures, followed by CME Group (15,162,569 contracts) and Nasdaq of the USA (351,024 contracts). </w:t>
      </w:r>
    </w:p>
    <w:p w14:paraId="56E06E51" w14:textId="77777777" w:rsidR="009C313D" w:rsidRPr="00491794" w:rsidRDefault="009C313D" w:rsidP="009C313D">
      <w:pPr>
        <w:pStyle w:val="ListParagraph"/>
        <w:numPr>
          <w:ilvl w:val="0"/>
          <w:numId w:val="4"/>
        </w:numPr>
        <w:spacing w:after="0" w:line="240" w:lineRule="auto"/>
        <w:ind w:left="360"/>
        <w:jc w:val="both"/>
        <w:rPr>
          <w:rFonts w:ascii="Garamond" w:hAnsi="Garamond"/>
          <w:sz w:val="24"/>
        </w:rPr>
      </w:pPr>
      <w:r w:rsidRPr="00491794">
        <w:rPr>
          <w:rFonts w:ascii="Garamond" w:hAnsi="Garamond"/>
          <w:sz w:val="24"/>
        </w:rPr>
        <w:t>Among exchanges in the Europe - Africa - Middle East, EUREX recorded trading of 6,845,309 contracts, followed by Tel-Aviv Stock Exchange (2,948,775 contracts) and Euronext (1,514,465 contracts).</w:t>
      </w:r>
    </w:p>
    <w:p w14:paraId="7AF4FA4E" w14:textId="77777777" w:rsidR="009C313D" w:rsidRPr="00491794" w:rsidRDefault="009C313D" w:rsidP="009C313D">
      <w:pPr>
        <w:pStyle w:val="ListParagraph"/>
        <w:numPr>
          <w:ilvl w:val="0"/>
          <w:numId w:val="4"/>
        </w:numPr>
        <w:spacing w:after="0" w:line="240" w:lineRule="auto"/>
        <w:ind w:left="360"/>
        <w:jc w:val="both"/>
        <w:rPr>
          <w:rFonts w:ascii="Garamond" w:hAnsi="Garamond"/>
          <w:sz w:val="24"/>
        </w:rPr>
      </w:pPr>
      <w:r w:rsidRPr="00491794">
        <w:rPr>
          <w:rFonts w:ascii="Garamond" w:hAnsi="Garamond"/>
          <w:sz w:val="24"/>
        </w:rPr>
        <w:t>Among exchanges in the Asia – Pacific, National Stock Exchange of India recorded trading of 163,699,594 contracts, followed by Korea Exchange (48,973,344 contracts) and Taiwan Futures Exchange (TAIFEX) (17,305,565 contracts).</w:t>
      </w:r>
    </w:p>
    <w:p w14:paraId="23337D38" w14:textId="77777777" w:rsidR="009C313D" w:rsidRPr="001500B3" w:rsidRDefault="009C313D" w:rsidP="009C313D">
      <w:pPr>
        <w:jc w:val="both"/>
        <w:rPr>
          <w:rFonts w:ascii="Garamond" w:hAnsi="Garamond"/>
          <w:b/>
          <w:color w:val="0000FF"/>
        </w:rPr>
      </w:pPr>
    </w:p>
    <w:p w14:paraId="0957A2FE" w14:textId="77777777" w:rsidR="009C313D" w:rsidRPr="00491794" w:rsidRDefault="009C313D" w:rsidP="009C313D">
      <w:pPr>
        <w:jc w:val="both"/>
        <w:rPr>
          <w:rFonts w:ascii="Garamond" w:hAnsi="Garamond"/>
          <w:b/>
        </w:rPr>
      </w:pPr>
      <w:r w:rsidRPr="00491794">
        <w:rPr>
          <w:rFonts w:ascii="Garamond" w:hAnsi="Garamond"/>
          <w:b/>
        </w:rPr>
        <w:t>Stock Index Futures:</w:t>
      </w:r>
    </w:p>
    <w:p w14:paraId="02148EFE" w14:textId="77777777" w:rsidR="009C313D" w:rsidRPr="00E4351A" w:rsidRDefault="009C313D" w:rsidP="009C313D">
      <w:pPr>
        <w:pStyle w:val="ListParagraph"/>
        <w:numPr>
          <w:ilvl w:val="0"/>
          <w:numId w:val="4"/>
        </w:numPr>
        <w:spacing w:after="0" w:line="240" w:lineRule="auto"/>
        <w:ind w:left="360"/>
        <w:jc w:val="both"/>
        <w:rPr>
          <w:rFonts w:ascii="Garamond" w:hAnsi="Garamond"/>
          <w:sz w:val="24"/>
        </w:rPr>
      </w:pPr>
      <w:r w:rsidRPr="00E4351A">
        <w:rPr>
          <w:rFonts w:ascii="Garamond" w:hAnsi="Garamond"/>
          <w:sz w:val="24"/>
        </w:rPr>
        <w:t xml:space="preserve">Among exchanges in the Americas, CME Group recorded 39,417,676 contracts traded on stock index futures followed by CBOE Futures Exchange </w:t>
      </w:r>
      <w:r>
        <w:rPr>
          <w:rFonts w:ascii="Garamond" w:hAnsi="Garamond"/>
          <w:sz w:val="24"/>
        </w:rPr>
        <w:t>(</w:t>
      </w:r>
      <w:r w:rsidRPr="00E4351A">
        <w:rPr>
          <w:rFonts w:ascii="Garamond" w:hAnsi="Garamond"/>
          <w:sz w:val="24"/>
        </w:rPr>
        <w:t>5,826,373 contracts</w:t>
      </w:r>
      <w:r>
        <w:rPr>
          <w:rFonts w:ascii="Garamond" w:hAnsi="Garamond"/>
          <w:sz w:val="24"/>
        </w:rPr>
        <w:t>)</w:t>
      </w:r>
      <w:r w:rsidRPr="00E4351A">
        <w:rPr>
          <w:rFonts w:ascii="Garamond" w:hAnsi="Garamond"/>
          <w:sz w:val="24"/>
        </w:rPr>
        <w:t xml:space="preserve"> and Bolsa de Comercio de Buenos Aires (116,904 contracts).</w:t>
      </w:r>
    </w:p>
    <w:p w14:paraId="69BE59E6" w14:textId="77777777" w:rsidR="009C313D" w:rsidRPr="00491794" w:rsidRDefault="009C313D" w:rsidP="009C313D">
      <w:pPr>
        <w:pStyle w:val="ListParagraph"/>
        <w:numPr>
          <w:ilvl w:val="0"/>
          <w:numId w:val="4"/>
        </w:numPr>
        <w:spacing w:after="0" w:line="240" w:lineRule="auto"/>
        <w:ind w:left="360"/>
        <w:jc w:val="both"/>
        <w:rPr>
          <w:rFonts w:ascii="Garamond" w:hAnsi="Garamond"/>
          <w:sz w:val="24"/>
        </w:rPr>
      </w:pPr>
      <w:r w:rsidRPr="00491794">
        <w:rPr>
          <w:rFonts w:ascii="Garamond" w:hAnsi="Garamond"/>
          <w:sz w:val="24"/>
        </w:rPr>
        <w:t>Among exchanges in the Europe - Africa - Middle East, EUREX recorded trading of 43,393,530 contracts, followed by Borsa Istanbul (5,164,296 contracts) and Nasdaq Nordic Exchanges (3,105,755 contracts).</w:t>
      </w:r>
    </w:p>
    <w:p w14:paraId="468BAC2A" w14:textId="77777777" w:rsidR="009C313D" w:rsidRPr="00491794" w:rsidRDefault="009C313D" w:rsidP="009C313D">
      <w:pPr>
        <w:pStyle w:val="ListParagraph"/>
        <w:numPr>
          <w:ilvl w:val="0"/>
          <w:numId w:val="4"/>
        </w:numPr>
        <w:spacing w:after="0" w:line="240" w:lineRule="auto"/>
        <w:ind w:left="360"/>
        <w:jc w:val="both"/>
        <w:rPr>
          <w:rFonts w:ascii="Garamond" w:hAnsi="Garamond"/>
          <w:sz w:val="24"/>
        </w:rPr>
      </w:pPr>
      <w:r w:rsidRPr="00491794">
        <w:rPr>
          <w:rFonts w:ascii="Garamond" w:hAnsi="Garamond"/>
          <w:sz w:val="24"/>
        </w:rPr>
        <w:t>Among exchanges in the Asia – Pacific, Japan Exchange Group recorded trading of 23,432,715 contracts, followed by Singapore Exchange (14,664,763 contracts) and Hong Kong Exchange and Clearing (10,794,362 contracts).</w:t>
      </w:r>
    </w:p>
    <w:p w14:paraId="7758AF68" w14:textId="77777777" w:rsidR="009C313D" w:rsidRPr="001500B3" w:rsidRDefault="009C313D" w:rsidP="009C313D">
      <w:pPr>
        <w:jc w:val="both"/>
        <w:rPr>
          <w:rFonts w:ascii="Garamond" w:hAnsi="Garamond"/>
          <w:b/>
          <w:color w:val="0000FF"/>
        </w:rPr>
      </w:pPr>
    </w:p>
    <w:p w14:paraId="204E150E" w14:textId="77777777" w:rsidR="009C313D" w:rsidRPr="001500B3" w:rsidRDefault="009C313D" w:rsidP="009C313D">
      <w:pPr>
        <w:jc w:val="both"/>
        <w:rPr>
          <w:rFonts w:ascii="Garamond" w:hAnsi="Garamond"/>
          <w:b/>
          <w:color w:val="0000FF"/>
        </w:rPr>
      </w:pPr>
    </w:p>
    <w:p w14:paraId="6E8A7FB1" w14:textId="77777777" w:rsidR="009C313D" w:rsidRPr="000A4A8A" w:rsidRDefault="009C313D" w:rsidP="009C313D">
      <w:pPr>
        <w:jc w:val="both"/>
        <w:rPr>
          <w:rFonts w:ascii="Garamond" w:hAnsi="Garamond"/>
          <w:b/>
        </w:rPr>
      </w:pPr>
      <w:r w:rsidRPr="000A4A8A">
        <w:rPr>
          <w:rFonts w:ascii="Garamond" w:hAnsi="Garamond"/>
          <w:b/>
        </w:rPr>
        <w:t>Currency Derivatives:</w:t>
      </w:r>
    </w:p>
    <w:p w14:paraId="2067FC7B" w14:textId="77777777" w:rsidR="009C313D" w:rsidRPr="000A4A8A" w:rsidRDefault="009C313D" w:rsidP="009C313D">
      <w:pPr>
        <w:jc w:val="both"/>
        <w:rPr>
          <w:rFonts w:ascii="Garamond" w:hAnsi="Garamond"/>
        </w:rPr>
      </w:pPr>
      <w:r w:rsidRPr="000A4A8A">
        <w:rPr>
          <w:rFonts w:ascii="Garamond" w:hAnsi="Garamond"/>
        </w:rPr>
        <w:t xml:space="preserve">As per the latest data available from the World Federation of Exchanges, during August 2018, </w:t>
      </w:r>
      <w:r>
        <w:rPr>
          <w:rFonts w:ascii="Garamond" w:hAnsi="Garamond"/>
        </w:rPr>
        <w:t xml:space="preserve">the </w:t>
      </w:r>
      <w:r w:rsidRPr="000A4A8A">
        <w:rPr>
          <w:rFonts w:ascii="Garamond" w:hAnsi="Garamond"/>
        </w:rPr>
        <w:t>exchanges across the world showed the following trend</w:t>
      </w:r>
      <w:r>
        <w:rPr>
          <w:rFonts w:ascii="Garamond" w:hAnsi="Garamond"/>
        </w:rPr>
        <w:t>s</w:t>
      </w:r>
      <w:r w:rsidRPr="000A4A8A">
        <w:rPr>
          <w:rFonts w:ascii="Garamond" w:hAnsi="Garamond"/>
        </w:rPr>
        <w:t xml:space="preserve"> in trading of currency derivatives (Table A6):</w:t>
      </w:r>
    </w:p>
    <w:p w14:paraId="504DB07B" w14:textId="77777777" w:rsidR="009C313D" w:rsidRPr="000A4A8A" w:rsidRDefault="009C313D" w:rsidP="009C313D">
      <w:pPr>
        <w:jc w:val="both"/>
        <w:rPr>
          <w:rFonts w:ascii="Garamond" w:hAnsi="Garamond"/>
          <w:b/>
        </w:rPr>
      </w:pPr>
    </w:p>
    <w:p w14:paraId="4F78488F" w14:textId="77777777" w:rsidR="009C313D" w:rsidRPr="000A4A8A" w:rsidRDefault="009C313D" w:rsidP="009C313D">
      <w:pPr>
        <w:jc w:val="both"/>
        <w:rPr>
          <w:rFonts w:ascii="Garamond" w:hAnsi="Garamond"/>
          <w:b/>
        </w:rPr>
      </w:pPr>
      <w:r w:rsidRPr="000A4A8A">
        <w:rPr>
          <w:rFonts w:ascii="Garamond" w:hAnsi="Garamond"/>
          <w:b/>
        </w:rPr>
        <w:t>Currency Options:</w:t>
      </w:r>
    </w:p>
    <w:p w14:paraId="548462AD" w14:textId="77777777" w:rsidR="009C313D" w:rsidRPr="000A4A8A" w:rsidRDefault="009C313D" w:rsidP="009C313D">
      <w:pPr>
        <w:pStyle w:val="ListParagraph"/>
        <w:numPr>
          <w:ilvl w:val="0"/>
          <w:numId w:val="4"/>
        </w:numPr>
        <w:spacing w:after="0" w:line="240" w:lineRule="auto"/>
        <w:ind w:left="360"/>
        <w:jc w:val="both"/>
        <w:rPr>
          <w:rFonts w:ascii="Garamond" w:hAnsi="Garamond"/>
          <w:sz w:val="24"/>
        </w:rPr>
      </w:pPr>
      <w:r w:rsidRPr="000A4A8A">
        <w:rPr>
          <w:rFonts w:ascii="Garamond" w:hAnsi="Garamond"/>
          <w:sz w:val="24"/>
        </w:rPr>
        <w:t xml:space="preserve">Among exchanges in the Americas, CME Group recorded 1,608,009 contracts traded on currency options, followed by Mexican Derivatives Exchange (MexDer) (17,500 contracts) and ICE Futures US (822 contracts). </w:t>
      </w:r>
    </w:p>
    <w:p w14:paraId="75CA60AF" w14:textId="77777777" w:rsidR="009C313D" w:rsidRPr="000A4A8A" w:rsidRDefault="009C313D" w:rsidP="009C313D">
      <w:pPr>
        <w:pStyle w:val="ListParagraph"/>
        <w:numPr>
          <w:ilvl w:val="0"/>
          <w:numId w:val="4"/>
        </w:numPr>
        <w:spacing w:after="0" w:line="240" w:lineRule="auto"/>
        <w:ind w:left="360"/>
        <w:jc w:val="both"/>
        <w:rPr>
          <w:rFonts w:ascii="Garamond" w:hAnsi="Garamond"/>
          <w:sz w:val="24"/>
        </w:rPr>
      </w:pPr>
      <w:r w:rsidRPr="000A4A8A">
        <w:rPr>
          <w:rFonts w:ascii="Garamond" w:hAnsi="Garamond"/>
          <w:sz w:val="24"/>
        </w:rPr>
        <w:t>Among exchanges in the Europe - Africa - Middle East, Johannesburg Stock Exchange recorded trading of 5,070,583 contracts, followed by Tel-Aviv Stock Exchange (1,120,146 contracts) and Borsa Istanbul (413,150 contracts).</w:t>
      </w:r>
    </w:p>
    <w:p w14:paraId="6FEC119B" w14:textId="77777777" w:rsidR="009C313D" w:rsidRPr="000A4A8A" w:rsidRDefault="009C313D" w:rsidP="009C313D">
      <w:pPr>
        <w:pStyle w:val="ListParagraph"/>
        <w:numPr>
          <w:ilvl w:val="0"/>
          <w:numId w:val="4"/>
        </w:numPr>
        <w:spacing w:after="0" w:line="240" w:lineRule="auto"/>
        <w:ind w:left="360"/>
        <w:jc w:val="both"/>
        <w:rPr>
          <w:rFonts w:ascii="Garamond" w:hAnsi="Garamond"/>
          <w:sz w:val="24"/>
        </w:rPr>
      </w:pPr>
      <w:r w:rsidRPr="000A4A8A">
        <w:rPr>
          <w:rFonts w:ascii="Garamond" w:hAnsi="Garamond"/>
          <w:sz w:val="24"/>
        </w:rPr>
        <w:t>Among exchanges in the Asia – Pacific, BSE India Limited recorded trading of 59,987,416 contracts, followed by National Stock Exchange of India (49,297,157 contracts) and Ta</w:t>
      </w:r>
      <w:r>
        <w:rPr>
          <w:rFonts w:ascii="Garamond" w:hAnsi="Garamond"/>
          <w:sz w:val="24"/>
        </w:rPr>
        <w:t>i</w:t>
      </w:r>
      <w:r w:rsidRPr="000A4A8A">
        <w:rPr>
          <w:rFonts w:ascii="Garamond" w:hAnsi="Garamond"/>
          <w:sz w:val="24"/>
        </w:rPr>
        <w:t>wan Futures Exchange (TAIFEX) (8,286 contracts).</w:t>
      </w:r>
    </w:p>
    <w:p w14:paraId="2FC05EDB" w14:textId="77777777" w:rsidR="009C313D" w:rsidRPr="007A6AF0" w:rsidRDefault="009C313D" w:rsidP="009C313D">
      <w:pPr>
        <w:jc w:val="both"/>
        <w:rPr>
          <w:rFonts w:ascii="Garamond" w:hAnsi="Garamond"/>
          <w:b/>
        </w:rPr>
      </w:pPr>
      <w:r w:rsidRPr="007A6AF0">
        <w:rPr>
          <w:rFonts w:ascii="Garamond" w:hAnsi="Garamond"/>
          <w:b/>
        </w:rPr>
        <w:t>Currency Futures:</w:t>
      </w:r>
    </w:p>
    <w:p w14:paraId="0203C20B" w14:textId="77777777" w:rsidR="009C313D" w:rsidRPr="000A4A8A" w:rsidRDefault="009C313D" w:rsidP="009C313D">
      <w:pPr>
        <w:pStyle w:val="ListParagraph"/>
        <w:numPr>
          <w:ilvl w:val="0"/>
          <w:numId w:val="4"/>
        </w:numPr>
        <w:spacing w:after="0" w:line="240" w:lineRule="auto"/>
        <w:ind w:left="360"/>
        <w:jc w:val="both"/>
        <w:rPr>
          <w:rFonts w:ascii="Garamond" w:hAnsi="Garamond"/>
          <w:sz w:val="24"/>
        </w:rPr>
      </w:pPr>
      <w:r w:rsidRPr="000A4A8A">
        <w:rPr>
          <w:rFonts w:ascii="Garamond" w:hAnsi="Garamond"/>
          <w:sz w:val="24"/>
        </w:rPr>
        <w:t xml:space="preserve">Among exchanges in the Americas, CME Group recorded 18,703,784 contracts traded on currency futures, followed by Mexican Derivatives Exchange (MexDer) (542,203 contracts) and ICE Futures US (530,313 contracts). </w:t>
      </w:r>
    </w:p>
    <w:p w14:paraId="6537C23D" w14:textId="77777777" w:rsidR="009C313D" w:rsidRPr="006010C4" w:rsidRDefault="009C313D" w:rsidP="009C313D">
      <w:pPr>
        <w:pStyle w:val="ListParagraph"/>
        <w:numPr>
          <w:ilvl w:val="0"/>
          <w:numId w:val="4"/>
        </w:numPr>
        <w:spacing w:after="0" w:line="240" w:lineRule="auto"/>
        <w:ind w:left="360"/>
        <w:jc w:val="both"/>
        <w:rPr>
          <w:rFonts w:ascii="Garamond" w:hAnsi="Garamond"/>
          <w:sz w:val="24"/>
        </w:rPr>
      </w:pPr>
      <w:r w:rsidRPr="000A4A8A">
        <w:rPr>
          <w:rFonts w:ascii="Garamond" w:hAnsi="Garamond"/>
          <w:sz w:val="24"/>
        </w:rPr>
        <w:t xml:space="preserve">Among exchanges in the Europe - Africa - Middle East, </w:t>
      </w:r>
      <w:r>
        <w:rPr>
          <w:rFonts w:ascii="Garamond" w:hAnsi="Garamond"/>
          <w:sz w:val="24"/>
        </w:rPr>
        <w:t>Borsa Istanbul</w:t>
      </w:r>
      <w:r w:rsidRPr="000A4A8A">
        <w:rPr>
          <w:rFonts w:ascii="Garamond" w:hAnsi="Garamond"/>
          <w:sz w:val="24"/>
        </w:rPr>
        <w:t xml:space="preserve"> recorded trading</w:t>
      </w:r>
      <w:r w:rsidRPr="006010C4">
        <w:rPr>
          <w:rFonts w:ascii="Garamond" w:hAnsi="Garamond"/>
          <w:sz w:val="24"/>
        </w:rPr>
        <w:t xml:space="preserve"> of 9,215,612 contracts, followed by Johannesburg Stock Exchange (3,990,412 contracts) and Dubai Gold &amp; Commodities Exchange (1,772,727 contracts).</w:t>
      </w:r>
    </w:p>
    <w:p w14:paraId="27237861" w14:textId="77777777" w:rsidR="009C313D" w:rsidRPr="00EB3429" w:rsidRDefault="009C313D" w:rsidP="009C313D">
      <w:pPr>
        <w:pStyle w:val="ListParagraph"/>
        <w:numPr>
          <w:ilvl w:val="0"/>
          <w:numId w:val="4"/>
        </w:numPr>
        <w:spacing w:after="0" w:line="240" w:lineRule="auto"/>
        <w:ind w:left="360"/>
        <w:jc w:val="both"/>
        <w:rPr>
          <w:rFonts w:ascii="Garamond" w:hAnsi="Garamond"/>
          <w:sz w:val="24"/>
        </w:rPr>
      </w:pPr>
      <w:r w:rsidRPr="00EB3429">
        <w:rPr>
          <w:rFonts w:ascii="Garamond" w:hAnsi="Garamond"/>
          <w:sz w:val="24"/>
        </w:rPr>
        <w:t>Among exchanges in the Asia – Pacific, National Stock Exchange of India recorded trading of 56,747,406 contracts, followed by BSE India Limited (37,207,835 contracts) and Korea Exchange (6,526,918 contracts).</w:t>
      </w:r>
    </w:p>
    <w:p w14:paraId="16CDE008" w14:textId="77777777" w:rsidR="009C313D" w:rsidRPr="001500B3" w:rsidRDefault="009C313D" w:rsidP="009C313D">
      <w:pPr>
        <w:jc w:val="both"/>
        <w:rPr>
          <w:rFonts w:ascii="Garamond" w:hAnsi="Garamond"/>
          <w:b/>
          <w:color w:val="0000FF"/>
        </w:rPr>
      </w:pPr>
    </w:p>
    <w:p w14:paraId="73184E9F" w14:textId="77777777" w:rsidR="009C313D" w:rsidRPr="00F36CFC" w:rsidRDefault="009C313D" w:rsidP="009C313D">
      <w:pPr>
        <w:jc w:val="both"/>
        <w:rPr>
          <w:rFonts w:ascii="Garamond" w:hAnsi="Garamond"/>
          <w:b/>
        </w:rPr>
      </w:pPr>
      <w:r w:rsidRPr="00F36CFC">
        <w:rPr>
          <w:rFonts w:ascii="Garamond" w:hAnsi="Garamond"/>
          <w:b/>
        </w:rPr>
        <w:t>Interest Rate Derivatives:</w:t>
      </w:r>
    </w:p>
    <w:p w14:paraId="068D210D" w14:textId="77777777" w:rsidR="009C313D" w:rsidRPr="00F36CFC" w:rsidRDefault="009C313D" w:rsidP="009C313D">
      <w:pPr>
        <w:jc w:val="both"/>
        <w:rPr>
          <w:rFonts w:ascii="Garamond" w:hAnsi="Garamond"/>
          <w:b/>
        </w:rPr>
      </w:pPr>
    </w:p>
    <w:p w14:paraId="6F39A9CA" w14:textId="77777777" w:rsidR="009C313D" w:rsidRPr="00F36CFC" w:rsidRDefault="009C313D" w:rsidP="009C313D">
      <w:pPr>
        <w:jc w:val="both"/>
        <w:rPr>
          <w:rFonts w:ascii="Garamond" w:hAnsi="Garamond"/>
        </w:rPr>
      </w:pPr>
      <w:r w:rsidRPr="00F36CFC">
        <w:rPr>
          <w:rFonts w:ascii="Garamond" w:hAnsi="Garamond"/>
        </w:rPr>
        <w:t>As per the latest data available from the World Federation of Exchanges, during August 2018, exchanges across the world showed the following trend in trading of interest rate derivatives (Table A7):</w:t>
      </w:r>
    </w:p>
    <w:p w14:paraId="1233A1D2" w14:textId="77777777" w:rsidR="009C313D" w:rsidRPr="001500B3" w:rsidRDefault="009C313D" w:rsidP="009C313D">
      <w:pPr>
        <w:jc w:val="both"/>
        <w:rPr>
          <w:rFonts w:ascii="Garamond" w:hAnsi="Garamond"/>
          <w:b/>
          <w:color w:val="0000FF"/>
        </w:rPr>
      </w:pPr>
    </w:p>
    <w:p w14:paraId="61D3BD71" w14:textId="77777777" w:rsidR="009C313D" w:rsidRPr="00150963" w:rsidRDefault="009C313D" w:rsidP="009C313D">
      <w:pPr>
        <w:jc w:val="both"/>
        <w:rPr>
          <w:rFonts w:ascii="Garamond" w:hAnsi="Garamond"/>
          <w:b/>
        </w:rPr>
      </w:pPr>
      <w:r w:rsidRPr="00150963">
        <w:rPr>
          <w:rFonts w:ascii="Garamond" w:hAnsi="Garamond"/>
          <w:b/>
        </w:rPr>
        <w:t>Interest Rate Options:</w:t>
      </w:r>
    </w:p>
    <w:p w14:paraId="1317952F" w14:textId="77777777" w:rsidR="009C313D" w:rsidRPr="00150963" w:rsidRDefault="009C313D" w:rsidP="009C313D">
      <w:pPr>
        <w:pStyle w:val="ListParagraph"/>
        <w:numPr>
          <w:ilvl w:val="0"/>
          <w:numId w:val="4"/>
        </w:numPr>
        <w:spacing w:after="0" w:line="240" w:lineRule="auto"/>
        <w:ind w:left="360"/>
        <w:jc w:val="both"/>
        <w:rPr>
          <w:rFonts w:ascii="Garamond" w:hAnsi="Garamond"/>
          <w:sz w:val="24"/>
        </w:rPr>
      </w:pPr>
      <w:r w:rsidRPr="00150963">
        <w:rPr>
          <w:rFonts w:ascii="Garamond" w:hAnsi="Garamond"/>
          <w:sz w:val="24"/>
        </w:rPr>
        <w:t>Among exchanges in the Americas, CME Group recorded 42,974,033 contracts traded on interest rate options.</w:t>
      </w:r>
    </w:p>
    <w:p w14:paraId="0AC2EC97" w14:textId="77777777" w:rsidR="009C313D" w:rsidRPr="00150963" w:rsidRDefault="009C313D" w:rsidP="009C313D">
      <w:pPr>
        <w:pStyle w:val="ListParagraph"/>
        <w:numPr>
          <w:ilvl w:val="0"/>
          <w:numId w:val="4"/>
        </w:numPr>
        <w:spacing w:after="0" w:line="240" w:lineRule="auto"/>
        <w:ind w:left="360"/>
        <w:jc w:val="both"/>
        <w:rPr>
          <w:rFonts w:ascii="Garamond" w:hAnsi="Garamond"/>
          <w:sz w:val="24"/>
        </w:rPr>
      </w:pPr>
      <w:r w:rsidRPr="00150963">
        <w:rPr>
          <w:rFonts w:ascii="Garamond" w:hAnsi="Garamond"/>
          <w:sz w:val="24"/>
        </w:rPr>
        <w:t>Among exchanges in the  Europe, Africa and Middle East, Nasdaq Nordic Exchanges recorded trading of 742,317 contracts, followed by Johannesburg Stock Exchange (17,260 contracts) and EUREX (23 contracts).</w:t>
      </w:r>
    </w:p>
    <w:p w14:paraId="72FB1F64" w14:textId="77777777" w:rsidR="009C313D" w:rsidRPr="00150963" w:rsidRDefault="009C313D" w:rsidP="009C313D">
      <w:pPr>
        <w:pStyle w:val="ListParagraph"/>
        <w:numPr>
          <w:ilvl w:val="0"/>
          <w:numId w:val="4"/>
        </w:numPr>
        <w:spacing w:after="0" w:line="240" w:lineRule="auto"/>
        <w:ind w:left="360"/>
        <w:jc w:val="both"/>
        <w:rPr>
          <w:rFonts w:ascii="Garamond" w:hAnsi="Garamond"/>
          <w:sz w:val="24"/>
        </w:rPr>
      </w:pPr>
      <w:r w:rsidRPr="00150963">
        <w:rPr>
          <w:rFonts w:ascii="Garamond" w:hAnsi="Garamond"/>
          <w:sz w:val="24"/>
        </w:rPr>
        <w:t>Among exchanges in the Asia – Pacific, Australian Securities Exchange recorded trading of 103,869 contracts, followed by Japan Exchange Group (80,887 contracts).</w:t>
      </w:r>
    </w:p>
    <w:p w14:paraId="26F0248F" w14:textId="77777777" w:rsidR="009C313D" w:rsidRPr="001500B3" w:rsidRDefault="009C313D" w:rsidP="009C313D">
      <w:pPr>
        <w:jc w:val="both"/>
        <w:rPr>
          <w:rFonts w:ascii="Garamond" w:hAnsi="Garamond"/>
          <w:color w:val="0000FF"/>
        </w:rPr>
      </w:pPr>
    </w:p>
    <w:p w14:paraId="65B744B5" w14:textId="77777777" w:rsidR="009C313D" w:rsidRPr="00E66773" w:rsidRDefault="009C313D" w:rsidP="009C313D">
      <w:pPr>
        <w:jc w:val="both"/>
        <w:rPr>
          <w:rFonts w:ascii="Garamond" w:hAnsi="Garamond"/>
          <w:b/>
        </w:rPr>
      </w:pPr>
      <w:r w:rsidRPr="00E66773">
        <w:rPr>
          <w:rFonts w:ascii="Garamond" w:hAnsi="Garamond"/>
          <w:b/>
        </w:rPr>
        <w:t>Interest Rate Futures:</w:t>
      </w:r>
    </w:p>
    <w:p w14:paraId="42D3CDE3" w14:textId="77777777" w:rsidR="009C313D" w:rsidRPr="006F07A9" w:rsidRDefault="009C313D" w:rsidP="009C313D">
      <w:pPr>
        <w:pStyle w:val="ListParagraph"/>
        <w:numPr>
          <w:ilvl w:val="0"/>
          <w:numId w:val="4"/>
        </w:numPr>
        <w:spacing w:after="0" w:line="240" w:lineRule="auto"/>
        <w:ind w:left="360"/>
        <w:jc w:val="both"/>
        <w:rPr>
          <w:rFonts w:ascii="Garamond" w:hAnsi="Garamond"/>
          <w:sz w:val="24"/>
        </w:rPr>
      </w:pPr>
      <w:r w:rsidRPr="006F07A9">
        <w:rPr>
          <w:rFonts w:ascii="Garamond" w:hAnsi="Garamond"/>
          <w:sz w:val="24"/>
        </w:rPr>
        <w:t>Among exchanges in the Americas, CME Group recorded 155,779,241 contracts traded on interest rate futures, followed Mexican Derivatives Exchange (MexDer) (42,400 contracts) and Bolsa de Valores de Colombia (18,205 contracts).</w:t>
      </w:r>
    </w:p>
    <w:p w14:paraId="528E5A26" w14:textId="77777777" w:rsidR="009C313D" w:rsidRPr="00E66773" w:rsidRDefault="009C313D" w:rsidP="009C313D">
      <w:pPr>
        <w:pStyle w:val="ListParagraph"/>
        <w:numPr>
          <w:ilvl w:val="0"/>
          <w:numId w:val="4"/>
        </w:numPr>
        <w:spacing w:after="0" w:line="240" w:lineRule="auto"/>
        <w:ind w:left="360"/>
        <w:jc w:val="both"/>
        <w:rPr>
          <w:rFonts w:ascii="Garamond" w:hAnsi="Garamond"/>
          <w:sz w:val="24"/>
        </w:rPr>
      </w:pPr>
      <w:r w:rsidRPr="00E66773">
        <w:rPr>
          <w:rFonts w:ascii="Garamond" w:hAnsi="Garamond"/>
          <w:sz w:val="24"/>
        </w:rPr>
        <w:t>Among exchanges in the Europe - Africa - Middle East, EUREX recorded trading of 2,612,628 contracts, followed by Nasdaq Nordic Exchanges (845,622 contracts) and Johannesburg Stock Exchange (707,022 contracts).</w:t>
      </w:r>
    </w:p>
    <w:p w14:paraId="3A255818" w14:textId="77777777" w:rsidR="009C313D" w:rsidRPr="00E66773" w:rsidRDefault="009C313D" w:rsidP="009C313D">
      <w:pPr>
        <w:pStyle w:val="ListParagraph"/>
        <w:numPr>
          <w:ilvl w:val="0"/>
          <w:numId w:val="4"/>
        </w:numPr>
        <w:spacing w:after="0" w:line="240" w:lineRule="auto"/>
        <w:ind w:left="360"/>
        <w:jc w:val="both"/>
        <w:rPr>
          <w:rFonts w:ascii="Garamond" w:hAnsi="Garamond"/>
          <w:sz w:val="24"/>
        </w:rPr>
      </w:pPr>
      <w:r w:rsidRPr="00E66773">
        <w:rPr>
          <w:rFonts w:ascii="Garamond" w:hAnsi="Garamond"/>
          <w:sz w:val="24"/>
        </w:rPr>
        <w:t>Among exchanges in the Asia – Pacific, Australian Securities Exchange recorded trading of 9,492,892 contracts, followed by Korea Exchange (3,070,266 contracts) and National Stock Exchange of India (964,141 contracts).</w:t>
      </w:r>
    </w:p>
    <w:p w14:paraId="45B166F6" w14:textId="77777777" w:rsidR="009C313D" w:rsidRPr="001500B3" w:rsidRDefault="009C313D" w:rsidP="009C313D">
      <w:pPr>
        <w:jc w:val="both"/>
        <w:rPr>
          <w:rFonts w:ascii="Garamond" w:hAnsi="Garamond"/>
          <w:color w:val="0000FF"/>
        </w:rPr>
      </w:pPr>
    </w:p>
    <w:p w14:paraId="41C7C7D4" w14:textId="77777777" w:rsidR="009C313D" w:rsidRPr="004B5387" w:rsidRDefault="009C313D" w:rsidP="009C313D">
      <w:pPr>
        <w:jc w:val="both"/>
        <w:rPr>
          <w:rFonts w:ascii="Garamond" w:hAnsi="Garamond"/>
          <w:b/>
        </w:rPr>
      </w:pPr>
      <w:r w:rsidRPr="004B5387">
        <w:rPr>
          <w:rFonts w:ascii="Garamond" w:hAnsi="Garamond"/>
          <w:b/>
        </w:rPr>
        <w:t>Commodity Derivatives:</w:t>
      </w:r>
    </w:p>
    <w:p w14:paraId="2849EF67" w14:textId="77777777" w:rsidR="009C313D" w:rsidRPr="004B5387" w:rsidRDefault="009C313D" w:rsidP="009C313D">
      <w:pPr>
        <w:jc w:val="both"/>
        <w:rPr>
          <w:rFonts w:ascii="Garamond" w:hAnsi="Garamond"/>
        </w:rPr>
      </w:pPr>
    </w:p>
    <w:p w14:paraId="3771FEA9" w14:textId="77777777" w:rsidR="009C313D" w:rsidRPr="004B5387" w:rsidRDefault="009C313D" w:rsidP="009C313D">
      <w:pPr>
        <w:jc w:val="both"/>
        <w:rPr>
          <w:rFonts w:ascii="Garamond" w:hAnsi="Garamond"/>
        </w:rPr>
      </w:pPr>
      <w:r w:rsidRPr="004B5387">
        <w:rPr>
          <w:rFonts w:ascii="Garamond" w:hAnsi="Garamond"/>
        </w:rPr>
        <w:t>As per the latest data available from the World Federation of Exchanges, during August 2018, exchanges across the world showed the following trend in trading of commodity derivatives (Table A8):</w:t>
      </w:r>
    </w:p>
    <w:p w14:paraId="2B4374BC" w14:textId="77777777" w:rsidR="009C313D" w:rsidRPr="004B5387" w:rsidRDefault="009C313D" w:rsidP="009C313D">
      <w:pPr>
        <w:jc w:val="both"/>
        <w:rPr>
          <w:rFonts w:ascii="Garamond" w:hAnsi="Garamond"/>
        </w:rPr>
      </w:pPr>
    </w:p>
    <w:p w14:paraId="55E213E2" w14:textId="77777777" w:rsidR="009C313D" w:rsidRPr="000C4B93" w:rsidRDefault="009C313D" w:rsidP="009C313D">
      <w:pPr>
        <w:jc w:val="both"/>
        <w:rPr>
          <w:rFonts w:ascii="Garamond" w:hAnsi="Garamond"/>
          <w:b/>
        </w:rPr>
      </w:pPr>
      <w:r w:rsidRPr="000C4B93">
        <w:rPr>
          <w:rFonts w:ascii="Garamond" w:hAnsi="Garamond"/>
          <w:b/>
        </w:rPr>
        <w:t>Commodity Options:</w:t>
      </w:r>
    </w:p>
    <w:p w14:paraId="5D2198CC" w14:textId="77777777" w:rsidR="009C313D" w:rsidRPr="000C4B93" w:rsidRDefault="009C313D" w:rsidP="009C313D">
      <w:pPr>
        <w:pStyle w:val="ListParagraph"/>
        <w:numPr>
          <w:ilvl w:val="0"/>
          <w:numId w:val="4"/>
        </w:numPr>
        <w:spacing w:after="0" w:line="240" w:lineRule="auto"/>
        <w:ind w:left="360"/>
        <w:jc w:val="both"/>
        <w:rPr>
          <w:rFonts w:ascii="Garamond" w:hAnsi="Garamond"/>
          <w:sz w:val="24"/>
        </w:rPr>
      </w:pPr>
      <w:r w:rsidRPr="000C4B93">
        <w:rPr>
          <w:rFonts w:ascii="Garamond" w:hAnsi="Garamond"/>
          <w:sz w:val="24"/>
        </w:rPr>
        <w:t xml:space="preserve">Among exchanges in the Americas, CME Group recorded 12,925,004 contracts traded on commodity options, followed by ICE Futures US (1,077,357 contracts). </w:t>
      </w:r>
    </w:p>
    <w:p w14:paraId="6CEF9FD3" w14:textId="77777777" w:rsidR="009C313D" w:rsidRPr="00174FDD" w:rsidRDefault="009C313D" w:rsidP="009C313D">
      <w:pPr>
        <w:pStyle w:val="ListParagraph"/>
        <w:numPr>
          <w:ilvl w:val="0"/>
          <w:numId w:val="4"/>
        </w:numPr>
        <w:spacing w:after="0" w:line="240" w:lineRule="auto"/>
        <w:ind w:left="360"/>
        <w:jc w:val="both"/>
        <w:rPr>
          <w:rFonts w:ascii="Garamond" w:hAnsi="Garamond"/>
          <w:sz w:val="24"/>
        </w:rPr>
      </w:pPr>
      <w:r w:rsidRPr="00174FDD">
        <w:rPr>
          <w:rFonts w:ascii="Garamond" w:hAnsi="Garamond"/>
          <w:sz w:val="24"/>
        </w:rPr>
        <w:t>Among exchanges in the Europe - Africa - Middle East, London Metal Exchange recorded trading of  572,304 contracts, followed by EUREX (391,020 contracts) and Euronext (173,028 contracts).</w:t>
      </w:r>
    </w:p>
    <w:p w14:paraId="3FD35A10" w14:textId="77777777" w:rsidR="009C313D" w:rsidRPr="00174FDD" w:rsidRDefault="009C313D" w:rsidP="009C313D">
      <w:pPr>
        <w:pStyle w:val="ListParagraph"/>
        <w:numPr>
          <w:ilvl w:val="0"/>
          <w:numId w:val="4"/>
        </w:numPr>
        <w:spacing w:after="0" w:line="240" w:lineRule="auto"/>
        <w:ind w:left="360"/>
        <w:jc w:val="both"/>
        <w:rPr>
          <w:rFonts w:ascii="Garamond" w:hAnsi="Garamond"/>
          <w:sz w:val="24"/>
        </w:rPr>
      </w:pPr>
      <w:r w:rsidRPr="00174FDD">
        <w:rPr>
          <w:rFonts w:ascii="Garamond" w:hAnsi="Garamond"/>
          <w:sz w:val="24"/>
        </w:rPr>
        <w:t>Among exchanges in the Asia – Pacific, Zhengzhou Commodity Exchange recorded trading of 400,154 contracts, followed by Singapore Exchange (274,585 contracts) and Multi Commodity Exchange of India (102,578 contracts).</w:t>
      </w:r>
    </w:p>
    <w:p w14:paraId="2A32EDC2" w14:textId="77777777" w:rsidR="009C313D" w:rsidRPr="001500B3" w:rsidRDefault="009C313D" w:rsidP="009C313D">
      <w:pPr>
        <w:jc w:val="both"/>
        <w:rPr>
          <w:rFonts w:ascii="Garamond" w:hAnsi="Garamond"/>
          <w:color w:val="0000FF"/>
        </w:rPr>
      </w:pPr>
    </w:p>
    <w:p w14:paraId="7ED7EC10" w14:textId="77777777" w:rsidR="009C313D" w:rsidRPr="00174FDD" w:rsidRDefault="009C313D" w:rsidP="009C313D">
      <w:pPr>
        <w:jc w:val="both"/>
        <w:rPr>
          <w:rFonts w:ascii="Garamond" w:hAnsi="Garamond"/>
          <w:b/>
        </w:rPr>
      </w:pPr>
      <w:r w:rsidRPr="00174FDD">
        <w:rPr>
          <w:rFonts w:ascii="Garamond" w:hAnsi="Garamond"/>
          <w:b/>
        </w:rPr>
        <w:t>Commodity Futures:</w:t>
      </w:r>
    </w:p>
    <w:p w14:paraId="3C8811AE" w14:textId="77777777" w:rsidR="009C313D" w:rsidRPr="00174FDD" w:rsidRDefault="009C313D" w:rsidP="009C313D">
      <w:pPr>
        <w:pStyle w:val="ListParagraph"/>
        <w:numPr>
          <w:ilvl w:val="0"/>
          <w:numId w:val="4"/>
        </w:numPr>
        <w:spacing w:after="0" w:line="240" w:lineRule="auto"/>
        <w:ind w:left="360"/>
        <w:jc w:val="both"/>
        <w:rPr>
          <w:rFonts w:ascii="Garamond" w:hAnsi="Garamond"/>
          <w:sz w:val="24"/>
        </w:rPr>
      </w:pPr>
      <w:r w:rsidRPr="00174FDD">
        <w:rPr>
          <w:rFonts w:ascii="Garamond" w:hAnsi="Garamond"/>
          <w:sz w:val="24"/>
        </w:rPr>
        <w:t>Among exchanges in the Americas, CME Group recorded 79,095,635 contracts traded on commodity futures, followed ICE Futures US (6,500,508 contracts).</w:t>
      </w:r>
    </w:p>
    <w:p w14:paraId="4B1B2165" w14:textId="77777777" w:rsidR="009C313D" w:rsidRPr="00C53220" w:rsidRDefault="009C313D" w:rsidP="009C313D">
      <w:pPr>
        <w:pStyle w:val="ListParagraph"/>
        <w:numPr>
          <w:ilvl w:val="0"/>
          <w:numId w:val="4"/>
        </w:numPr>
        <w:spacing w:after="0" w:line="240" w:lineRule="auto"/>
        <w:ind w:left="360"/>
        <w:jc w:val="both"/>
        <w:rPr>
          <w:rFonts w:ascii="Garamond" w:hAnsi="Garamond"/>
          <w:sz w:val="24"/>
        </w:rPr>
      </w:pPr>
      <w:r w:rsidRPr="00C53220">
        <w:rPr>
          <w:rFonts w:ascii="Garamond" w:hAnsi="Garamond"/>
          <w:sz w:val="24"/>
        </w:rPr>
        <w:t>Among exchanges in the Europe - Africa - Middle East, London Metal Exchanges recorded trading of 15,028,658 contracts, followed by Euronext (1,668,485 contracts) and Borsa Istanbul (1,373,409 contracts).</w:t>
      </w:r>
    </w:p>
    <w:p w14:paraId="6ADCE9B8" w14:textId="77777777" w:rsidR="009C313D" w:rsidRPr="00FB60C1" w:rsidRDefault="009C313D" w:rsidP="009C313D">
      <w:pPr>
        <w:pStyle w:val="ListParagraph"/>
        <w:numPr>
          <w:ilvl w:val="0"/>
          <w:numId w:val="4"/>
        </w:numPr>
        <w:spacing w:after="0" w:line="240" w:lineRule="auto"/>
        <w:ind w:left="360"/>
        <w:jc w:val="both"/>
        <w:rPr>
          <w:rFonts w:ascii="Garamond" w:hAnsi="Garamond"/>
          <w:sz w:val="24"/>
        </w:rPr>
      </w:pPr>
      <w:r w:rsidRPr="00FB60C1">
        <w:rPr>
          <w:rFonts w:ascii="Garamond" w:hAnsi="Garamond"/>
          <w:sz w:val="24"/>
        </w:rPr>
        <w:t>Among exchanges in the Asia – Pacific, Shanghai Futures Exchange recorded trading of 119,978,851 contracts, followed by Zhengzhou Commodity Exchange (118,098,729 contracts) and Multi Commodity Exchange of India (18,047,650 contracts).</w:t>
      </w:r>
    </w:p>
    <w:p w14:paraId="37FF235E" w14:textId="7ED392BC" w:rsidR="009C313D" w:rsidRPr="001500B3" w:rsidRDefault="009C313D" w:rsidP="009C313D">
      <w:pPr>
        <w:rPr>
          <w:rFonts w:ascii="Garamond" w:hAnsi="Garamond"/>
          <w:color w:val="0000FF"/>
        </w:rPr>
      </w:pPr>
    </w:p>
    <w:p w14:paraId="51FC99CD" w14:textId="77777777" w:rsidR="009C313D" w:rsidRPr="00FB7FE0" w:rsidRDefault="009C313D" w:rsidP="009C313D">
      <w:pPr>
        <w:rPr>
          <w:rFonts w:ascii="Garamond" w:hAnsi="Garamond"/>
          <w:b/>
        </w:rPr>
      </w:pPr>
      <w:r w:rsidRPr="00FB7FE0">
        <w:rPr>
          <w:rFonts w:ascii="Garamond" w:hAnsi="Garamond"/>
          <w:b/>
        </w:rPr>
        <w:t>Table A4: Stock Options and Stock Futures Traded in Major Exchanges</w:t>
      </w:r>
    </w:p>
    <w:p w14:paraId="62A52057" w14:textId="77777777" w:rsidR="009C313D" w:rsidRPr="001500B3" w:rsidRDefault="009C313D" w:rsidP="009C313D">
      <w:pPr>
        <w:rPr>
          <w:rFonts w:ascii="Garamond" w:hAnsi="Garamond"/>
          <w:b/>
          <w:color w:val="0000FF"/>
        </w:rPr>
      </w:pPr>
    </w:p>
    <w:tbl>
      <w:tblPr>
        <w:tblW w:w="9460" w:type="dxa"/>
        <w:jc w:val="center"/>
        <w:tblLayout w:type="fixed"/>
        <w:tblCellMar>
          <w:left w:w="58" w:type="dxa"/>
          <w:right w:w="58" w:type="dxa"/>
        </w:tblCellMar>
        <w:tblLook w:val="04A0" w:firstRow="1" w:lastRow="0" w:firstColumn="1" w:lastColumn="0" w:noHBand="0" w:noVBand="1"/>
      </w:tblPr>
      <w:tblGrid>
        <w:gridCol w:w="2965"/>
        <w:gridCol w:w="1023"/>
        <w:gridCol w:w="887"/>
        <w:gridCol w:w="1017"/>
        <w:gridCol w:w="1131"/>
        <w:gridCol w:w="855"/>
        <w:gridCol w:w="804"/>
        <w:gridCol w:w="778"/>
      </w:tblGrid>
      <w:tr w:rsidR="009C313D" w:rsidRPr="000521D8" w14:paraId="458C59B2" w14:textId="77777777" w:rsidTr="00560A50">
        <w:trPr>
          <w:trHeight w:val="52"/>
          <w:jc w:val="center"/>
        </w:trPr>
        <w:tc>
          <w:tcPr>
            <w:tcW w:w="296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3D6A5C2" w14:textId="77777777" w:rsidR="009C313D" w:rsidRPr="000521D8" w:rsidRDefault="009C313D" w:rsidP="00560A50">
            <w:pPr>
              <w:jc w:val="cente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Exchange</w:t>
            </w:r>
          </w:p>
        </w:tc>
        <w:tc>
          <w:tcPr>
            <w:tcW w:w="5717" w:type="dxa"/>
            <w:gridSpan w:val="6"/>
            <w:tcBorders>
              <w:top w:val="single" w:sz="4" w:space="0" w:color="auto"/>
              <w:left w:val="nil"/>
              <w:bottom w:val="single" w:sz="4" w:space="0" w:color="auto"/>
              <w:right w:val="single" w:sz="4" w:space="0" w:color="auto"/>
            </w:tcBorders>
            <w:shd w:val="clear" w:color="000000" w:fill="B4C6E7"/>
            <w:vAlign w:val="center"/>
            <w:hideMark/>
          </w:tcPr>
          <w:p w14:paraId="0CA202DC" w14:textId="77777777" w:rsidR="009C313D" w:rsidRPr="000521D8" w:rsidRDefault="009C313D" w:rsidP="00560A50">
            <w:pPr>
              <w:jc w:val="cente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August 2018</w:t>
            </w:r>
          </w:p>
        </w:tc>
        <w:tc>
          <w:tcPr>
            <w:tcW w:w="778" w:type="dxa"/>
            <w:vMerge w:val="restart"/>
            <w:tcBorders>
              <w:top w:val="single" w:sz="4" w:space="0" w:color="auto"/>
              <w:left w:val="single" w:sz="4" w:space="0" w:color="auto"/>
              <w:bottom w:val="single" w:sz="4" w:space="0" w:color="000000"/>
              <w:right w:val="single" w:sz="4" w:space="0" w:color="auto"/>
            </w:tcBorders>
            <w:shd w:val="clear" w:color="000000" w:fill="B4C6E7"/>
            <w:vAlign w:val="center"/>
            <w:hideMark/>
          </w:tcPr>
          <w:p w14:paraId="3E545D4E" w14:textId="77777777" w:rsidR="009C313D" w:rsidRPr="000521D8" w:rsidRDefault="009C313D" w:rsidP="00560A50">
            <w:pPr>
              <w:jc w:val="cente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 xml:space="preserve">Trading </w:t>
            </w:r>
            <w:r>
              <w:rPr>
                <w:rFonts w:ascii="Garamond" w:eastAsia="Times New Roman" w:hAnsi="Garamond" w:cs="Calibri"/>
                <w:b/>
                <w:bCs/>
                <w:color w:val="000000"/>
                <w:sz w:val="18"/>
                <w:szCs w:val="18"/>
                <w:lang w:eastAsia="en-GB"/>
              </w:rPr>
              <w:t>D</w:t>
            </w:r>
            <w:r w:rsidRPr="000521D8">
              <w:rPr>
                <w:rFonts w:ascii="Garamond" w:eastAsia="Times New Roman" w:hAnsi="Garamond" w:cs="Calibri"/>
                <w:b/>
                <w:bCs/>
                <w:color w:val="000000"/>
                <w:sz w:val="18"/>
                <w:szCs w:val="18"/>
                <w:lang w:eastAsia="en-GB"/>
              </w:rPr>
              <w:t xml:space="preserve">ays </w:t>
            </w:r>
            <w:r w:rsidRPr="000521D8">
              <w:rPr>
                <w:rFonts w:ascii="Garamond" w:eastAsia="Times New Roman" w:hAnsi="Garamond" w:cs="Calibri"/>
                <w:b/>
                <w:bCs/>
                <w:color w:val="000000"/>
                <w:sz w:val="18"/>
                <w:szCs w:val="18"/>
                <w:lang w:eastAsia="en-GB"/>
              </w:rPr>
              <w:br/>
              <w:t>Aug 2018</w:t>
            </w:r>
          </w:p>
        </w:tc>
      </w:tr>
      <w:tr w:rsidR="009C313D" w:rsidRPr="000521D8" w14:paraId="5DB39E65" w14:textId="77777777" w:rsidTr="00560A50">
        <w:trPr>
          <w:trHeight w:val="52"/>
          <w:jc w:val="center"/>
        </w:trPr>
        <w:tc>
          <w:tcPr>
            <w:tcW w:w="2965" w:type="dxa"/>
            <w:vMerge/>
            <w:tcBorders>
              <w:top w:val="single" w:sz="4" w:space="0" w:color="auto"/>
              <w:left w:val="single" w:sz="4" w:space="0" w:color="auto"/>
              <w:bottom w:val="single" w:sz="4" w:space="0" w:color="auto"/>
              <w:right w:val="single" w:sz="4" w:space="0" w:color="auto"/>
            </w:tcBorders>
            <w:vAlign w:val="center"/>
            <w:hideMark/>
          </w:tcPr>
          <w:p w14:paraId="3459CBC5" w14:textId="77777777" w:rsidR="009C313D" w:rsidRPr="000521D8" w:rsidRDefault="009C313D" w:rsidP="00560A50">
            <w:pPr>
              <w:rPr>
                <w:rFonts w:ascii="Garamond" w:eastAsia="Times New Roman" w:hAnsi="Garamond" w:cs="Calibri"/>
                <w:b/>
                <w:bCs/>
                <w:color w:val="000000"/>
                <w:sz w:val="18"/>
                <w:szCs w:val="18"/>
                <w:lang w:eastAsia="en-GB"/>
              </w:rPr>
            </w:pPr>
          </w:p>
        </w:tc>
        <w:tc>
          <w:tcPr>
            <w:tcW w:w="2927" w:type="dxa"/>
            <w:gridSpan w:val="3"/>
            <w:tcBorders>
              <w:top w:val="single" w:sz="4" w:space="0" w:color="auto"/>
              <w:left w:val="nil"/>
              <w:bottom w:val="single" w:sz="4" w:space="0" w:color="auto"/>
              <w:right w:val="single" w:sz="4" w:space="0" w:color="auto"/>
            </w:tcBorders>
            <w:shd w:val="clear" w:color="000000" w:fill="B4C6E7"/>
            <w:vAlign w:val="center"/>
            <w:hideMark/>
          </w:tcPr>
          <w:p w14:paraId="73EB10B1" w14:textId="77777777" w:rsidR="009C313D" w:rsidRPr="000521D8" w:rsidRDefault="009C313D" w:rsidP="00560A50">
            <w:pPr>
              <w:jc w:val="center"/>
              <w:rPr>
                <w:rFonts w:ascii="Garamond" w:eastAsia="Times New Roman" w:hAnsi="Garamond" w:cs="Calibri"/>
                <w:b/>
                <w:bCs/>
                <w:color w:val="000000"/>
                <w:sz w:val="18"/>
                <w:szCs w:val="18"/>
                <w:lang w:eastAsia="en-GB"/>
              </w:rPr>
            </w:pPr>
            <w:r>
              <w:rPr>
                <w:rFonts w:ascii="Garamond" w:eastAsia="Times New Roman" w:hAnsi="Garamond" w:cs="Calibri"/>
                <w:b/>
                <w:bCs/>
                <w:color w:val="000000"/>
                <w:sz w:val="18"/>
                <w:szCs w:val="18"/>
                <w:lang w:eastAsia="en-GB"/>
              </w:rPr>
              <w:t xml:space="preserve">Single </w:t>
            </w:r>
            <w:r w:rsidRPr="000521D8">
              <w:rPr>
                <w:rFonts w:ascii="Garamond" w:eastAsia="Times New Roman" w:hAnsi="Garamond" w:cs="Calibri"/>
                <w:b/>
                <w:bCs/>
                <w:color w:val="000000"/>
                <w:sz w:val="18"/>
                <w:szCs w:val="18"/>
                <w:lang w:eastAsia="en-GB"/>
              </w:rPr>
              <w:t xml:space="preserve">Stock </w:t>
            </w:r>
            <w:r>
              <w:rPr>
                <w:rFonts w:ascii="Garamond" w:eastAsia="Times New Roman" w:hAnsi="Garamond" w:cs="Calibri"/>
                <w:b/>
                <w:bCs/>
                <w:color w:val="000000"/>
                <w:sz w:val="18"/>
                <w:szCs w:val="18"/>
                <w:lang w:eastAsia="en-GB"/>
              </w:rPr>
              <w:t>O</w:t>
            </w:r>
            <w:r w:rsidRPr="000521D8">
              <w:rPr>
                <w:rFonts w:ascii="Garamond" w:eastAsia="Times New Roman" w:hAnsi="Garamond" w:cs="Calibri"/>
                <w:b/>
                <w:bCs/>
                <w:color w:val="000000"/>
                <w:sz w:val="18"/>
                <w:szCs w:val="18"/>
                <w:lang w:eastAsia="en-GB"/>
              </w:rPr>
              <w:t>ptions</w:t>
            </w:r>
          </w:p>
        </w:tc>
        <w:tc>
          <w:tcPr>
            <w:tcW w:w="2790" w:type="dxa"/>
            <w:gridSpan w:val="3"/>
            <w:tcBorders>
              <w:top w:val="single" w:sz="4" w:space="0" w:color="auto"/>
              <w:left w:val="nil"/>
              <w:bottom w:val="single" w:sz="4" w:space="0" w:color="auto"/>
              <w:right w:val="single" w:sz="4" w:space="0" w:color="auto"/>
            </w:tcBorders>
            <w:shd w:val="clear" w:color="000000" w:fill="B4C6E7"/>
            <w:vAlign w:val="center"/>
            <w:hideMark/>
          </w:tcPr>
          <w:p w14:paraId="1BEC451F" w14:textId="77777777" w:rsidR="009C313D" w:rsidRPr="000521D8" w:rsidRDefault="009C313D" w:rsidP="00560A50">
            <w:pPr>
              <w:jc w:val="cente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 xml:space="preserve">Single </w:t>
            </w:r>
            <w:r>
              <w:rPr>
                <w:rFonts w:ascii="Garamond" w:eastAsia="Times New Roman" w:hAnsi="Garamond" w:cs="Calibri"/>
                <w:b/>
                <w:bCs/>
                <w:color w:val="000000"/>
                <w:sz w:val="18"/>
                <w:szCs w:val="18"/>
                <w:lang w:eastAsia="en-GB"/>
              </w:rPr>
              <w:t>S</w:t>
            </w:r>
            <w:r w:rsidRPr="000521D8">
              <w:rPr>
                <w:rFonts w:ascii="Garamond" w:eastAsia="Times New Roman" w:hAnsi="Garamond" w:cs="Calibri"/>
                <w:b/>
                <w:bCs/>
                <w:color w:val="000000"/>
                <w:sz w:val="18"/>
                <w:szCs w:val="18"/>
                <w:lang w:eastAsia="en-GB"/>
              </w:rPr>
              <w:t xml:space="preserve">tock </w:t>
            </w:r>
            <w:r>
              <w:rPr>
                <w:rFonts w:ascii="Garamond" w:eastAsia="Times New Roman" w:hAnsi="Garamond" w:cs="Calibri"/>
                <w:b/>
                <w:bCs/>
                <w:color w:val="000000"/>
                <w:sz w:val="18"/>
                <w:szCs w:val="18"/>
                <w:lang w:eastAsia="en-GB"/>
              </w:rPr>
              <w:t>F</w:t>
            </w:r>
            <w:r w:rsidRPr="000521D8">
              <w:rPr>
                <w:rFonts w:ascii="Garamond" w:eastAsia="Times New Roman" w:hAnsi="Garamond" w:cs="Calibri"/>
                <w:b/>
                <w:bCs/>
                <w:color w:val="000000"/>
                <w:sz w:val="18"/>
                <w:szCs w:val="18"/>
                <w:lang w:eastAsia="en-GB"/>
              </w:rPr>
              <w:t>utures</w:t>
            </w: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5224829D" w14:textId="77777777" w:rsidR="009C313D" w:rsidRPr="000521D8" w:rsidRDefault="009C313D" w:rsidP="00560A50">
            <w:pPr>
              <w:rPr>
                <w:rFonts w:ascii="Garamond" w:eastAsia="Times New Roman" w:hAnsi="Garamond" w:cs="Calibri"/>
                <w:b/>
                <w:bCs/>
                <w:color w:val="000000"/>
                <w:sz w:val="18"/>
                <w:szCs w:val="18"/>
                <w:lang w:eastAsia="en-GB"/>
              </w:rPr>
            </w:pPr>
          </w:p>
        </w:tc>
      </w:tr>
      <w:tr w:rsidR="009C313D" w:rsidRPr="000521D8" w14:paraId="57C07E65" w14:textId="77777777" w:rsidTr="00560A50">
        <w:trPr>
          <w:trHeight w:val="52"/>
          <w:jc w:val="center"/>
        </w:trPr>
        <w:tc>
          <w:tcPr>
            <w:tcW w:w="2965" w:type="dxa"/>
            <w:vMerge/>
            <w:tcBorders>
              <w:top w:val="single" w:sz="4" w:space="0" w:color="auto"/>
              <w:left w:val="single" w:sz="4" w:space="0" w:color="auto"/>
              <w:bottom w:val="single" w:sz="4" w:space="0" w:color="auto"/>
              <w:right w:val="single" w:sz="4" w:space="0" w:color="auto"/>
            </w:tcBorders>
            <w:vAlign w:val="center"/>
            <w:hideMark/>
          </w:tcPr>
          <w:p w14:paraId="4ED06EF8" w14:textId="77777777" w:rsidR="009C313D" w:rsidRPr="000521D8" w:rsidRDefault="009C313D" w:rsidP="00560A50">
            <w:pPr>
              <w:rPr>
                <w:rFonts w:ascii="Garamond" w:eastAsia="Times New Roman" w:hAnsi="Garamond" w:cs="Calibri"/>
                <w:b/>
                <w:bCs/>
                <w:color w:val="000000"/>
                <w:sz w:val="18"/>
                <w:szCs w:val="18"/>
                <w:lang w:eastAsia="en-GB"/>
              </w:rPr>
            </w:pPr>
          </w:p>
        </w:tc>
        <w:tc>
          <w:tcPr>
            <w:tcW w:w="1023" w:type="dxa"/>
            <w:tcBorders>
              <w:top w:val="nil"/>
              <w:left w:val="nil"/>
              <w:bottom w:val="single" w:sz="4" w:space="0" w:color="auto"/>
              <w:right w:val="single" w:sz="4" w:space="0" w:color="auto"/>
            </w:tcBorders>
            <w:shd w:val="clear" w:color="000000" w:fill="B4C6E7"/>
            <w:vAlign w:val="center"/>
            <w:hideMark/>
          </w:tcPr>
          <w:p w14:paraId="2D3DF79D"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Number of</w:t>
            </w:r>
            <w:r w:rsidRPr="000521D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C</w:t>
            </w:r>
            <w:r w:rsidRPr="000521D8">
              <w:rPr>
                <w:rFonts w:ascii="Garamond" w:eastAsia="Times New Roman" w:hAnsi="Garamond" w:cs="Calibri"/>
                <w:b/>
                <w:bCs/>
                <w:color w:val="000000"/>
                <w:sz w:val="18"/>
                <w:szCs w:val="18"/>
                <w:lang w:eastAsia="en-GB"/>
              </w:rPr>
              <w:t xml:space="preserve">ontracts </w:t>
            </w:r>
            <w:r>
              <w:rPr>
                <w:rFonts w:ascii="Garamond" w:eastAsia="Times New Roman" w:hAnsi="Garamond" w:cs="Calibri"/>
                <w:b/>
                <w:bCs/>
                <w:color w:val="000000"/>
                <w:sz w:val="18"/>
                <w:szCs w:val="18"/>
                <w:lang w:eastAsia="en-GB"/>
              </w:rPr>
              <w:t>T</w:t>
            </w:r>
            <w:r w:rsidRPr="000521D8">
              <w:rPr>
                <w:rFonts w:ascii="Garamond" w:eastAsia="Times New Roman" w:hAnsi="Garamond" w:cs="Calibri"/>
                <w:b/>
                <w:bCs/>
                <w:color w:val="000000"/>
                <w:sz w:val="18"/>
                <w:szCs w:val="18"/>
                <w:lang w:eastAsia="en-GB"/>
              </w:rPr>
              <w:t>raded</w:t>
            </w:r>
          </w:p>
        </w:tc>
        <w:tc>
          <w:tcPr>
            <w:tcW w:w="887" w:type="dxa"/>
            <w:tcBorders>
              <w:top w:val="nil"/>
              <w:left w:val="nil"/>
              <w:bottom w:val="single" w:sz="4" w:space="0" w:color="auto"/>
              <w:right w:val="single" w:sz="4" w:space="0" w:color="auto"/>
            </w:tcBorders>
            <w:shd w:val="clear" w:color="000000" w:fill="B4C6E7"/>
            <w:vAlign w:val="center"/>
            <w:hideMark/>
          </w:tcPr>
          <w:p w14:paraId="3D50FB81"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Notional</w:t>
            </w:r>
            <w:r w:rsidRPr="000521D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T</w:t>
            </w:r>
            <w:r w:rsidRPr="000521D8">
              <w:rPr>
                <w:rFonts w:ascii="Garamond" w:eastAsia="Times New Roman" w:hAnsi="Garamond" w:cs="Calibri"/>
                <w:b/>
                <w:bCs/>
                <w:color w:val="000000"/>
                <w:sz w:val="18"/>
                <w:szCs w:val="18"/>
                <w:lang w:eastAsia="en-GB"/>
              </w:rPr>
              <w:t>urnover</w:t>
            </w:r>
          </w:p>
        </w:tc>
        <w:tc>
          <w:tcPr>
            <w:tcW w:w="1017" w:type="dxa"/>
            <w:tcBorders>
              <w:top w:val="nil"/>
              <w:left w:val="nil"/>
              <w:bottom w:val="single" w:sz="4" w:space="0" w:color="auto"/>
              <w:right w:val="single" w:sz="4" w:space="0" w:color="auto"/>
            </w:tcBorders>
            <w:shd w:val="clear" w:color="000000" w:fill="B4C6E7"/>
            <w:vAlign w:val="center"/>
            <w:hideMark/>
          </w:tcPr>
          <w:p w14:paraId="66CD69EA"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Open</w:t>
            </w:r>
            <w:r w:rsidRPr="000521D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I</w:t>
            </w:r>
            <w:r w:rsidRPr="000521D8">
              <w:rPr>
                <w:rFonts w:ascii="Garamond" w:eastAsia="Times New Roman" w:hAnsi="Garamond" w:cs="Calibri"/>
                <w:b/>
                <w:bCs/>
                <w:color w:val="000000"/>
                <w:sz w:val="18"/>
                <w:szCs w:val="18"/>
                <w:lang w:eastAsia="en-GB"/>
              </w:rPr>
              <w:t>nterest</w:t>
            </w:r>
          </w:p>
        </w:tc>
        <w:tc>
          <w:tcPr>
            <w:tcW w:w="1131" w:type="dxa"/>
            <w:tcBorders>
              <w:top w:val="nil"/>
              <w:left w:val="nil"/>
              <w:bottom w:val="single" w:sz="4" w:space="0" w:color="auto"/>
              <w:right w:val="single" w:sz="4" w:space="0" w:color="auto"/>
            </w:tcBorders>
            <w:shd w:val="clear" w:color="000000" w:fill="B4C6E7"/>
            <w:vAlign w:val="center"/>
            <w:hideMark/>
          </w:tcPr>
          <w:p w14:paraId="71651EFB"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Number of</w:t>
            </w:r>
            <w:r w:rsidRPr="000521D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C</w:t>
            </w:r>
            <w:r w:rsidRPr="000521D8">
              <w:rPr>
                <w:rFonts w:ascii="Garamond" w:eastAsia="Times New Roman" w:hAnsi="Garamond" w:cs="Calibri"/>
                <w:b/>
                <w:bCs/>
                <w:color w:val="000000"/>
                <w:sz w:val="18"/>
                <w:szCs w:val="18"/>
                <w:lang w:eastAsia="en-GB"/>
              </w:rPr>
              <w:t xml:space="preserve">ontracts </w:t>
            </w:r>
            <w:r>
              <w:rPr>
                <w:rFonts w:ascii="Garamond" w:eastAsia="Times New Roman" w:hAnsi="Garamond" w:cs="Calibri"/>
                <w:b/>
                <w:bCs/>
                <w:color w:val="000000"/>
                <w:sz w:val="18"/>
                <w:szCs w:val="18"/>
                <w:lang w:eastAsia="en-GB"/>
              </w:rPr>
              <w:t>T</w:t>
            </w:r>
            <w:r w:rsidRPr="000521D8">
              <w:rPr>
                <w:rFonts w:ascii="Garamond" w:eastAsia="Times New Roman" w:hAnsi="Garamond" w:cs="Calibri"/>
                <w:b/>
                <w:bCs/>
                <w:color w:val="000000"/>
                <w:sz w:val="18"/>
                <w:szCs w:val="18"/>
                <w:lang w:eastAsia="en-GB"/>
              </w:rPr>
              <w:t>raded</w:t>
            </w:r>
          </w:p>
        </w:tc>
        <w:tc>
          <w:tcPr>
            <w:tcW w:w="855" w:type="dxa"/>
            <w:tcBorders>
              <w:top w:val="nil"/>
              <w:left w:val="nil"/>
              <w:bottom w:val="single" w:sz="4" w:space="0" w:color="auto"/>
              <w:right w:val="single" w:sz="4" w:space="0" w:color="auto"/>
            </w:tcBorders>
            <w:shd w:val="clear" w:color="000000" w:fill="B4C6E7"/>
            <w:vAlign w:val="center"/>
            <w:hideMark/>
          </w:tcPr>
          <w:p w14:paraId="4F626F61"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Notional</w:t>
            </w:r>
            <w:r w:rsidRPr="000521D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T</w:t>
            </w:r>
            <w:r w:rsidRPr="000521D8">
              <w:rPr>
                <w:rFonts w:ascii="Garamond" w:eastAsia="Times New Roman" w:hAnsi="Garamond" w:cs="Calibri"/>
                <w:b/>
                <w:bCs/>
                <w:color w:val="000000"/>
                <w:sz w:val="18"/>
                <w:szCs w:val="18"/>
                <w:lang w:eastAsia="en-GB"/>
              </w:rPr>
              <w:t>urnover</w:t>
            </w:r>
          </w:p>
        </w:tc>
        <w:tc>
          <w:tcPr>
            <w:tcW w:w="804" w:type="dxa"/>
            <w:tcBorders>
              <w:top w:val="nil"/>
              <w:left w:val="nil"/>
              <w:bottom w:val="single" w:sz="4" w:space="0" w:color="auto"/>
              <w:right w:val="single" w:sz="4" w:space="0" w:color="auto"/>
            </w:tcBorders>
            <w:shd w:val="clear" w:color="000000" w:fill="B4C6E7"/>
            <w:vAlign w:val="center"/>
            <w:hideMark/>
          </w:tcPr>
          <w:p w14:paraId="0E57C12C"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Open</w:t>
            </w:r>
            <w:r w:rsidRPr="000521D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I</w:t>
            </w:r>
            <w:r w:rsidRPr="000521D8">
              <w:rPr>
                <w:rFonts w:ascii="Garamond" w:eastAsia="Times New Roman" w:hAnsi="Garamond" w:cs="Calibri"/>
                <w:b/>
                <w:bCs/>
                <w:color w:val="000000"/>
                <w:sz w:val="18"/>
                <w:szCs w:val="18"/>
                <w:lang w:eastAsia="en-GB"/>
              </w:rPr>
              <w:t>nterest</w:t>
            </w:r>
          </w:p>
        </w:tc>
        <w:tc>
          <w:tcPr>
            <w:tcW w:w="778" w:type="dxa"/>
            <w:vMerge/>
            <w:tcBorders>
              <w:top w:val="single" w:sz="4" w:space="0" w:color="auto"/>
              <w:left w:val="single" w:sz="4" w:space="0" w:color="auto"/>
              <w:bottom w:val="single" w:sz="4" w:space="0" w:color="000000"/>
              <w:right w:val="single" w:sz="4" w:space="0" w:color="auto"/>
            </w:tcBorders>
            <w:vAlign w:val="center"/>
            <w:hideMark/>
          </w:tcPr>
          <w:p w14:paraId="579A5BCC" w14:textId="77777777" w:rsidR="009C313D" w:rsidRPr="000521D8" w:rsidRDefault="009C313D" w:rsidP="00560A50">
            <w:pPr>
              <w:rPr>
                <w:rFonts w:ascii="Garamond" w:eastAsia="Times New Roman" w:hAnsi="Garamond" w:cs="Calibri"/>
                <w:b/>
                <w:bCs/>
                <w:color w:val="000000"/>
                <w:sz w:val="18"/>
                <w:szCs w:val="18"/>
                <w:lang w:eastAsia="en-GB"/>
              </w:rPr>
            </w:pPr>
          </w:p>
        </w:tc>
      </w:tr>
      <w:tr w:rsidR="009C313D" w:rsidRPr="000521D8" w14:paraId="21AE83A4" w14:textId="77777777" w:rsidTr="00560A50">
        <w:trPr>
          <w:trHeight w:val="53"/>
          <w:jc w:val="center"/>
        </w:trPr>
        <w:tc>
          <w:tcPr>
            <w:tcW w:w="9460" w:type="dxa"/>
            <w:gridSpan w:val="8"/>
            <w:tcBorders>
              <w:top w:val="single" w:sz="4" w:space="0" w:color="auto"/>
              <w:left w:val="single" w:sz="4" w:space="0" w:color="auto"/>
              <w:bottom w:val="single" w:sz="4" w:space="0" w:color="auto"/>
              <w:right w:val="single" w:sz="4" w:space="0" w:color="000000"/>
            </w:tcBorders>
            <w:shd w:val="clear" w:color="000000" w:fill="D9E1F2"/>
            <w:vAlign w:val="center"/>
            <w:hideMark/>
          </w:tcPr>
          <w:p w14:paraId="0EBDC801"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Americas</w:t>
            </w:r>
          </w:p>
        </w:tc>
      </w:tr>
      <w:tr w:rsidR="009C313D" w:rsidRPr="000521D8" w14:paraId="6E838E10" w14:textId="77777777" w:rsidTr="00560A50">
        <w:trPr>
          <w:trHeight w:val="53"/>
          <w:jc w:val="center"/>
        </w:trPr>
        <w:tc>
          <w:tcPr>
            <w:tcW w:w="2965" w:type="dxa"/>
            <w:tcBorders>
              <w:top w:val="nil"/>
              <w:left w:val="single" w:sz="4" w:space="0" w:color="auto"/>
              <w:bottom w:val="nil"/>
              <w:right w:val="single" w:sz="4" w:space="0" w:color="auto"/>
            </w:tcBorders>
            <w:shd w:val="clear" w:color="000000" w:fill="B4C6E7"/>
            <w:vAlign w:val="center"/>
            <w:hideMark/>
          </w:tcPr>
          <w:p w14:paraId="3EFCE3AD"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BATS Global Markets - US</w:t>
            </w:r>
          </w:p>
        </w:tc>
        <w:tc>
          <w:tcPr>
            <w:tcW w:w="1023" w:type="dxa"/>
            <w:tcBorders>
              <w:top w:val="nil"/>
              <w:left w:val="nil"/>
              <w:bottom w:val="nil"/>
              <w:right w:val="single" w:sz="4" w:space="0" w:color="auto"/>
            </w:tcBorders>
            <w:shd w:val="clear" w:color="auto" w:fill="auto"/>
            <w:vAlign w:val="center"/>
            <w:hideMark/>
          </w:tcPr>
          <w:p w14:paraId="06B7271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28,343,984</w:t>
            </w:r>
          </w:p>
        </w:tc>
        <w:tc>
          <w:tcPr>
            <w:tcW w:w="887" w:type="dxa"/>
            <w:tcBorders>
              <w:top w:val="nil"/>
              <w:left w:val="nil"/>
              <w:bottom w:val="nil"/>
              <w:right w:val="single" w:sz="4" w:space="0" w:color="auto"/>
            </w:tcBorders>
            <w:shd w:val="clear" w:color="auto" w:fill="auto"/>
            <w:vAlign w:val="center"/>
            <w:hideMark/>
          </w:tcPr>
          <w:p w14:paraId="3B6241A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nil"/>
            </w:tcBorders>
            <w:shd w:val="clear" w:color="auto" w:fill="auto"/>
            <w:vAlign w:val="center"/>
            <w:hideMark/>
          </w:tcPr>
          <w:p w14:paraId="437E011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131" w:type="dxa"/>
            <w:tcBorders>
              <w:top w:val="nil"/>
              <w:left w:val="single" w:sz="4" w:space="0" w:color="auto"/>
              <w:bottom w:val="nil"/>
              <w:right w:val="single" w:sz="4" w:space="0" w:color="auto"/>
            </w:tcBorders>
            <w:shd w:val="clear" w:color="auto" w:fill="auto"/>
            <w:vAlign w:val="center"/>
            <w:hideMark/>
          </w:tcPr>
          <w:p w14:paraId="53FC52C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55" w:type="dxa"/>
            <w:tcBorders>
              <w:top w:val="nil"/>
              <w:left w:val="nil"/>
              <w:bottom w:val="nil"/>
              <w:right w:val="nil"/>
            </w:tcBorders>
            <w:shd w:val="clear" w:color="auto" w:fill="auto"/>
            <w:vAlign w:val="center"/>
            <w:hideMark/>
          </w:tcPr>
          <w:p w14:paraId="120169F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04" w:type="dxa"/>
            <w:tcBorders>
              <w:top w:val="nil"/>
              <w:left w:val="single" w:sz="4" w:space="0" w:color="auto"/>
              <w:bottom w:val="nil"/>
              <w:right w:val="single" w:sz="4" w:space="0" w:color="auto"/>
            </w:tcBorders>
            <w:shd w:val="clear" w:color="auto" w:fill="auto"/>
            <w:vAlign w:val="center"/>
            <w:hideMark/>
          </w:tcPr>
          <w:p w14:paraId="5B4A633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778" w:type="dxa"/>
            <w:tcBorders>
              <w:top w:val="nil"/>
              <w:left w:val="nil"/>
              <w:bottom w:val="nil"/>
              <w:right w:val="single" w:sz="4" w:space="0" w:color="auto"/>
            </w:tcBorders>
            <w:shd w:val="clear" w:color="auto" w:fill="auto"/>
            <w:vAlign w:val="center"/>
            <w:hideMark/>
          </w:tcPr>
          <w:p w14:paraId="4FCC5FC9" w14:textId="77777777" w:rsidR="009C313D" w:rsidRPr="000521D8" w:rsidRDefault="009C313D" w:rsidP="00560A50">
            <w:pPr>
              <w:jc w:val="right"/>
              <w:rPr>
                <w:rFonts w:ascii="Garamond" w:eastAsia="Times New Roman" w:hAnsi="Garamond" w:cs="Calibri"/>
                <w:color w:val="000000"/>
                <w:sz w:val="18"/>
                <w:szCs w:val="18"/>
                <w:lang w:eastAsia="en-GB"/>
              </w:rPr>
            </w:pPr>
          </w:p>
        </w:tc>
      </w:tr>
      <w:tr w:rsidR="009C313D" w:rsidRPr="000521D8" w14:paraId="6EAA4ECA"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47EDF92B"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Bolsa de Comercio de Buenos Aires</w:t>
            </w:r>
          </w:p>
        </w:tc>
        <w:tc>
          <w:tcPr>
            <w:tcW w:w="1023" w:type="dxa"/>
            <w:tcBorders>
              <w:top w:val="nil"/>
              <w:left w:val="nil"/>
              <w:bottom w:val="nil"/>
              <w:right w:val="single" w:sz="4" w:space="0" w:color="auto"/>
            </w:tcBorders>
            <w:shd w:val="clear" w:color="auto" w:fill="auto"/>
            <w:vAlign w:val="center"/>
            <w:hideMark/>
          </w:tcPr>
          <w:p w14:paraId="0F7CBC1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2,610,526</w:t>
            </w:r>
          </w:p>
        </w:tc>
        <w:tc>
          <w:tcPr>
            <w:tcW w:w="887" w:type="dxa"/>
            <w:tcBorders>
              <w:top w:val="nil"/>
              <w:left w:val="nil"/>
              <w:bottom w:val="nil"/>
              <w:right w:val="single" w:sz="4" w:space="0" w:color="auto"/>
            </w:tcBorders>
            <w:shd w:val="clear" w:color="auto" w:fill="auto"/>
            <w:vAlign w:val="center"/>
            <w:hideMark/>
          </w:tcPr>
          <w:p w14:paraId="3F49880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1017" w:type="dxa"/>
            <w:tcBorders>
              <w:top w:val="nil"/>
              <w:left w:val="nil"/>
              <w:bottom w:val="nil"/>
              <w:right w:val="nil"/>
            </w:tcBorders>
            <w:shd w:val="clear" w:color="auto" w:fill="auto"/>
            <w:vAlign w:val="center"/>
            <w:hideMark/>
          </w:tcPr>
          <w:p w14:paraId="02F4C9D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1131" w:type="dxa"/>
            <w:tcBorders>
              <w:top w:val="nil"/>
              <w:left w:val="single" w:sz="4" w:space="0" w:color="auto"/>
              <w:bottom w:val="nil"/>
              <w:right w:val="single" w:sz="4" w:space="0" w:color="auto"/>
            </w:tcBorders>
            <w:shd w:val="clear" w:color="auto" w:fill="auto"/>
            <w:vAlign w:val="center"/>
            <w:hideMark/>
          </w:tcPr>
          <w:p w14:paraId="03F1022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855" w:type="dxa"/>
            <w:tcBorders>
              <w:top w:val="nil"/>
              <w:left w:val="nil"/>
              <w:bottom w:val="nil"/>
              <w:right w:val="nil"/>
            </w:tcBorders>
            <w:shd w:val="clear" w:color="auto" w:fill="auto"/>
            <w:vAlign w:val="center"/>
            <w:hideMark/>
          </w:tcPr>
          <w:p w14:paraId="4FEC1DA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804" w:type="dxa"/>
            <w:tcBorders>
              <w:top w:val="nil"/>
              <w:left w:val="single" w:sz="4" w:space="0" w:color="auto"/>
              <w:bottom w:val="nil"/>
              <w:right w:val="single" w:sz="4" w:space="0" w:color="auto"/>
            </w:tcBorders>
            <w:shd w:val="clear" w:color="auto" w:fill="auto"/>
            <w:vAlign w:val="center"/>
            <w:hideMark/>
          </w:tcPr>
          <w:p w14:paraId="3039B8A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778" w:type="dxa"/>
            <w:tcBorders>
              <w:top w:val="nil"/>
              <w:left w:val="nil"/>
              <w:bottom w:val="nil"/>
              <w:right w:val="single" w:sz="4" w:space="0" w:color="auto"/>
            </w:tcBorders>
            <w:shd w:val="clear" w:color="auto" w:fill="auto"/>
            <w:vAlign w:val="center"/>
            <w:hideMark/>
          </w:tcPr>
          <w:p w14:paraId="316E471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2AAA00D9"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169D8AE1"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Bolsa de Valores de Colombia</w:t>
            </w:r>
          </w:p>
        </w:tc>
        <w:tc>
          <w:tcPr>
            <w:tcW w:w="1023" w:type="dxa"/>
            <w:tcBorders>
              <w:top w:val="nil"/>
              <w:left w:val="nil"/>
              <w:bottom w:val="nil"/>
              <w:right w:val="single" w:sz="4" w:space="0" w:color="auto"/>
            </w:tcBorders>
            <w:shd w:val="clear" w:color="auto" w:fill="auto"/>
            <w:vAlign w:val="center"/>
            <w:hideMark/>
          </w:tcPr>
          <w:p w14:paraId="34E5980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87" w:type="dxa"/>
            <w:tcBorders>
              <w:top w:val="nil"/>
              <w:left w:val="nil"/>
              <w:bottom w:val="nil"/>
              <w:right w:val="single" w:sz="4" w:space="0" w:color="auto"/>
            </w:tcBorders>
            <w:shd w:val="clear" w:color="auto" w:fill="auto"/>
            <w:vAlign w:val="center"/>
            <w:hideMark/>
          </w:tcPr>
          <w:p w14:paraId="6705360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1017" w:type="dxa"/>
            <w:tcBorders>
              <w:top w:val="nil"/>
              <w:left w:val="nil"/>
              <w:bottom w:val="nil"/>
              <w:right w:val="nil"/>
            </w:tcBorders>
            <w:shd w:val="clear" w:color="auto" w:fill="auto"/>
            <w:vAlign w:val="center"/>
            <w:hideMark/>
          </w:tcPr>
          <w:p w14:paraId="4DF6985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1131" w:type="dxa"/>
            <w:tcBorders>
              <w:top w:val="nil"/>
              <w:left w:val="single" w:sz="4" w:space="0" w:color="auto"/>
              <w:bottom w:val="nil"/>
              <w:right w:val="single" w:sz="4" w:space="0" w:color="auto"/>
            </w:tcBorders>
            <w:shd w:val="clear" w:color="auto" w:fill="auto"/>
            <w:vAlign w:val="center"/>
            <w:hideMark/>
          </w:tcPr>
          <w:p w14:paraId="083E12E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5,860</w:t>
            </w:r>
          </w:p>
        </w:tc>
        <w:tc>
          <w:tcPr>
            <w:tcW w:w="855" w:type="dxa"/>
            <w:tcBorders>
              <w:top w:val="nil"/>
              <w:left w:val="nil"/>
              <w:bottom w:val="nil"/>
              <w:right w:val="nil"/>
            </w:tcBorders>
            <w:shd w:val="clear" w:color="auto" w:fill="auto"/>
            <w:vAlign w:val="center"/>
            <w:hideMark/>
          </w:tcPr>
          <w:p w14:paraId="5066DEB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10</w:t>
            </w:r>
          </w:p>
        </w:tc>
        <w:tc>
          <w:tcPr>
            <w:tcW w:w="804" w:type="dxa"/>
            <w:tcBorders>
              <w:top w:val="nil"/>
              <w:left w:val="single" w:sz="4" w:space="0" w:color="auto"/>
              <w:bottom w:val="nil"/>
              <w:right w:val="single" w:sz="4" w:space="0" w:color="auto"/>
            </w:tcBorders>
            <w:shd w:val="clear" w:color="auto" w:fill="auto"/>
            <w:vAlign w:val="center"/>
            <w:hideMark/>
          </w:tcPr>
          <w:p w14:paraId="157BB77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10,462</w:t>
            </w:r>
          </w:p>
        </w:tc>
        <w:tc>
          <w:tcPr>
            <w:tcW w:w="778" w:type="dxa"/>
            <w:tcBorders>
              <w:top w:val="nil"/>
              <w:left w:val="nil"/>
              <w:bottom w:val="nil"/>
              <w:right w:val="single" w:sz="4" w:space="0" w:color="auto"/>
            </w:tcBorders>
            <w:shd w:val="clear" w:color="auto" w:fill="auto"/>
            <w:vAlign w:val="center"/>
            <w:hideMark/>
          </w:tcPr>
          <w:p w14:paraId="463998D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21</w:t>
            </w:r>
          </w:p>
        </w:tc>
      </w:tr>
      <w:tr w:rsidR="009C313D" w:rsidRPr="000521D8" w14:paraId="7665D450"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56EF3EE6"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Chicago Board Options Exchange</w:t>
            </w:r>
          </w:p>
        </w:tc>
        <w:tc>
          <w:tcPr>
            <w:tcW w:w="1023" w:type="dxa"/>
            <w:tcBorders>
              <w:top w:val="nil"/>
              <w:left w:val="nil"/>
              <w:bottom w:val="nil"/>
              <w:right w:val="single" w:sz="4" w:space="0" w:color="auto"/>
            </w:tcBorders>
            <w:shd w:val="clear" w:color="auto" w:fill="auto"/>
            <w:vAlign w:val="center"/>
            <w:hideMark/>
          </w:tcPr>
          <w:p w14:paraId="334CF4F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42,434,119</w:t>
            </w:r>
          </w:p>
        </w:tc>
        <w:tc>
          <w:tcPr>
            <w:tcW w:w="887" w:type="dxa"/>
            <w:tcBorders>
              <w:top w:val="nil"/>
              <w:left w:val="nil"/>
              <w:bottom w:val="nil"/>
              <w:right w:val="single" w:sz="4" w:space="0" w:color="auto"/>
            </w:tcBorders>
            <w:shd w:val="clear" w:color="auto" w:fill="auto"/>
            <w:vAlign w:val="center"/>
            <w:hideMark/>
          </w:tcPr>
          <w:p w14:paraId="2A5F7C4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nil"/>
            </w:tcBorders>
            <w:shd w:val="clear" w:color="auto" w:fill="auto"/>
            <w:vAlign w:val="center"/>
            <w:hideMark/>
          </w:tcPr>
          <w:p w14:paraId="2C2F9EF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185,361,000</w:t>
            </w:r>
          </w:p>
        </w:tc>
        <w:tc>
          <w:tcPr>
            <w:tcW w:w="1131" w:type="dxa"/>
            <w:tcBorders>
              <w:top w:val="nil"/>
              <w:left w:val="single" w:sz="4" w:space="0" w:color="auto"/>
              <w:bottom w:val="nil"/>
              <w:right w:val="single" w:sz="4" w:space="0" w:color="auto"/>
            </w:tcBorders>
            <w:shd w:val="clear" w:color="auto" w:fill="auto"/>
            <w:vAlign w:val="center"/>
            <w:hideMark/>
          </w:tcPr>
          <w:p w14:paraId="39F318A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55" w:type="dxa"/>
            <w:tcBorders>
              <w:top w:val="nil"/>
              <w:left w:val="nil"/>
              <w:bottom w:val="nil"/>
              <w:right w:val="nil"/>
            </w:tcBorders>
            <w:shd w:val="clear" w:color="auto" w:fill="auto"/>
            <w:vAlign w:val="center"/>
            <w:hideMark/>
          </w:tcPr>
          <w:p w14:paraId="3E0619E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04" w:type="dxa"/>
            <w:tcBorders>
              <w:top w:val="nil"/>
              <w:left w:val="single" w:sz="4" w:space="0" w:color="auto"/>
              <w:bottom w:val="nil"/>
              <w:right w:val="single" w:sz="4" w:space="0" w:color="auto"/>
            </w:tcBorders>
            <w:shd w:val="clear" w:color="auto" w:fill="auto"/>
            <w:vAlign w:val="center"/>
            <w:hideMark/>
          </w:tcPr>
          <w:p w14:paraId="0B1CC58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778" w:type="dxa"/>
            <w:tcBorders>
              <w:top w:val="nil"/>
              <w:left w:val="nil"/>
              <w:bottom w:val="nil"/>
              <w:right w:val="single" w:sz="4" w:space="0" w:color="auto"/>
            </w:tcBorders>
            <w:shd w:val="clear" w:color="auto" w:fill="auto"/>
            <w:vAlign w:val="center"/>
            <w:hideMark/>
          </w:tcPr>
          <w:p w14:paraId="69D39E1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r>
      <w:tr w:rsidR="009C313D" w:rsidRPr="000521D8" w14:paraId="44107EDA"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3B8F0516"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International Securities Exchange</w:t>
            </w:r>
          </w:p>
        </w:tc>
        <w:tc>
          <w:tcPr>
            <w:tcW w:w="1023" w:type="dxa"/>
            <w:tcBorders>
              <w:top w:val="nil"/>
              <w:left w:val="nil"/>
              <w:bottom w:val="nil"/>
              <w:right w:val="single" w:sz="4" w:space="0" w:color="auto"/>
            </w:tcBorders>
            <w:shd w:val="clear" w:color="auto" w:fill="auto"/>
            <w:vAlign w:val="center"/>
            <w:hideMark/>
          </w:tcPr>
          <w:p w14:paraId="78C2F8E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31,427,930</w:t>
            </w:r>
          </w:p>
        </w:tc>
        <w:tc>
          <w:tcPr>
            <w:tcW w:w="887" w:type="dxa"/>
            <w:tcBorders>
              <w:top w:val="nil"/>
              <w:left w:val="nil"/>
              <w:bottom w:val="nil"/>
              <w:right w:val="single" w:sz="4" w:space="0" w:color="auto"/>
            </w:tcBorders>
            <w:shd w:val="clear" w:color="auto" w:fill="auto"/>
            <w:vAlign w:val="center"/>
            <w:hideMark/>
          </w:tcPr>
          <w:p w14:paraId="6AD4976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nil"/>
            </w:tcBorders>
            <w:shd w:val="clear" w:color="auto" w:fill="auto"/>
            <w:vAlign w:val="center"/>
            <w:hideMark/>
          </w:tcPr>
          <w:p w14:paraId="78C23033"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131" w:type="dxa"/>
            <w:tcBorders>
              <w:top w:val="nil"/>
              <w:left w:val="single" w:sz="4" w:space="0" w:color="auto"/>
              <w:bottom w:val="nil"/>
              <w:right w:val="single" w:sz="4" w:space="0" w:color="auto"/>
            </w:tcBorders>
            <w:shd w:val="clear" w:color="auto" w:fill="auto"/>
            <w:vAlign w:val="center"/>
            <w:hideMark/>
          </w:tcPr>
          <w:p w14:paraId="4CBFFB4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55" w:type="dxa"/>
            <w:tcBorders>
              <w:top w:val="nil"/>
              <w:left w:val="nil"/>
              <w:bottom w:val="nil"/>
              <w:right w:val="nil"/>
            </w:tcBorders>
            <w:shd w:val="clear" w:color="auto" w:fill="auto"/>
            <w:vAlign w:val="center"/>
            <w:hideMark/>
          </w:tcPr>
          <w:p w14:paraId="7C16C7A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04" w:type="dxa"/>
            <w:tcBorders>
              <w:top w:val="nil"/>
              <w:left w:val="single" w:sz="4" w:space="0" w:color="auto"/>
              <w:bottom w:val="nil"/>
              <w:right w:val="single" w:sz="4" w:space="0" w:color="auto"/>
            </w:tcBorders>
            <w:shd w:val="clear" w:color="auto" w:fill="auto"/>
            <w:vAlign w:val="center"/>
            <w:hideMark/>
          </w:tcPr>
          <w:p w14:paraId="10F61FBF"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778" w:type="dxa"/>
            <w:tcBorders>
              <w:top w:val="nil"/>
              <w:left w:val="nil"/>
              <w:bottom w:val="nil"/>
              <w:right w:val="single" w:sz="4" w:space="0" w:color="auto"/>
            </w:tcBorders>
            <w:shd w:val="clear" w:color="auto" w:fill="auto"/>
            <w:vAlign w:val="center"/>
            <w:hideMark/>
          </w:tcPr>
          <w:p w14:paraId="4D2CA05A" w14:textId="77777777" w:rsidR="009C313D" w:rsidRPr="000521D8" w:rsidRDefault="009C313D" w:rsidP="00560A50">
            <w:pPr>
              <w:jc w:val="right"/>
              <w:rPr>
                <w:rFonts w:ascii="Garamond" w:eastAsia="Times New Roman" w:hAnsi="Garamond" w:cs="Calibri"/>
                <w:color w:val="000000"/>
                <w:sz w:val="18"/>
                <w:szCs w:val="18"/>
                <w:lang w:eastAsia="en-GB"/>
              </w:rPr>
            </w:pPr>
          </w:p>
        </w:tc>
      </w:tr>
      <w:tr w:rsidR="009C313D" w:rsidRPr="000521D8" w14:paraId="3C7A3657"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47DF4916"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MexDer</w:t>
            </w:r>
          </w:p>
        </w:tc>
        <w:tc>
          <w:tcPr>
            <w:tcW w:w="1023" w:type="dxa"/>
            <w:tcBorders>
              <w:top w:val="nil"/>
              <w:left w:val="nil"/>
              <w:bottom w:val="nil"/>
              <w:right w:val="single" w:sz="4" w:space="0" w:color="auto"/>
            </w:tcBorders>
            <w:shd w:val="clear" w:color="auto" w:fill="auto"/>
            <w:vAlign w:val="center"/>
            <w:hideMark/>
          </w:tcPr>
          <w:p w14:paraId="5C03AD4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79,880</w:t>
            </w:r>
          </w:p>
        </w:tc>
        <w:tc>
          <w:tcPr>
            <w:tcW w:w="887" w:type="dxa"/>
            <w:tcBorders>
              <w:top w:val="nil"/>
              <w:left w:val="nil"/>
              <w:bottom w:val="nil"/>
              <w:right w:val="single" w:sz="4" w:space="0" w:color="auto"/>
            </w:tcBorders>
            <w:shd w:val="clear" w:color="auto" w:fill="auto"/>
            <w:vAlign w:val="center"/>
            <w:hideMark/>
          </w:tcPr>
          <w:p w14:paraId="141C5AC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29</w:t>
            </w:r>
          </w:p>
        </w:tc>
        <w:tc>
          <w:tcPr>
            <w:tcW w:w="1017" w:type="dxa"/>
            <w:tcBorders>
              <w:top w:val="nil"/>
              <w:left w:val="nil"/>
              <w:bottom w:val="nil"/>
              <w:right w:val="nil"/>
            </w:tcBorders>
            <w:shd w:val="clear" w:color="auto" w:fill="auto"/>
            <w:vAlign w:val="center"/>
            <w:hideMark/>
          </w:tcPr>
          <w:p w14:paraId="1ED3958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145,881</w:t>
            </w:r>
          </w:p>
        </w:tc>
        <w:tc>
          <w:tcPr>
            <w:tcW w:w="1131" w:type="dxa"/>
            <w:tcBorders>
              <w:top w:val="nil"/>
              <w:left w:val="single" w:sz="4" w:space="0" w:color="auto"/>
              <w:bottom w:val="nil"/>
              <w:right w:val="single" w:sz="4" w:space="0" w:color="auto"/>
            </w:tcBorders>
            <w:shd w:val="clear" w:color="auto" w:fill="auto"/>
            <w:vAlign w:val="center"/>
            <w:hideMark/>
          </w:tcPr>
          <w:p w14:paraId="361B507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855" w:type="dxa"/>
            <w:tcBorders>
              <w:top w:val="nil"/>
              <w:left w:val="nil"/>
              <w:bottom w:val="nil"/>
              <w:right w:val="nil"/>
            </w:tcBorders>
            <w:shd w:val="clear" w:color="auto" w:fill="auto"/>
            <w:vAlign w:val="center"/>
            <w:hideMark/>
          </w:tcPr>
          <w:p w14:paraId="50EA3CC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804" w:type="dxa"/>
            <w:tcBorders>
              <w:top w:val="nil"/>
              <w:left w:val="single" w:sz="4" w:space="0" w:color="auto"/>
              <w:bottom w:val="nil"/>
              <w:right w:val="single" w:sz="4" w:space="0" w:color="auto"/>
            </w:tcBorders>
            <w:shd w:val="clear" w:color="auto" w:fill="auto"/>
            <w:vAlign w:val="center"/>
            <w:hideMark/>
          </w:tcPr>
          <w:p w14:paraId="452A281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300</w:t>
            </w:r>
          </w:p>
        </w:tc>
        <w:tc>
          <w:tcPr>
            <w:tcW w:w="778" w:type="dxa"/>
            <w:tcBorders>
              <w:top w:val="nil"/>
              <w:left w:val="nil"/>
              <w:bottom w:val="nil"/>
              <w:right w:val="single" w:sz="4" w:space="0" w:color="auto"/>
            </w:tcBorders>
            <w:shd w:val="clear" w:color="auto" w:fill="auto"/>
            <w:vAlign w:val="center"/>
            <w:hideMark/>
          </w:tcPr>
          <w:p w14:paraId="7D518C2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r>
      <w:tr w:rsidR="009C313D" w:rsidRPr="000521D8" w14:paraId="40F98D6C"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37838BC9"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Miami International Securities Exchange</w:t>
            </w:r>
          </w:p>
        </w:tc>
        <w:tc>
          <w:tcPr>
            <w:tcW w:w="1023" w:type="dxa"/>
            <w:tcBorders>
              <w:top w:val="nil"/>
              <w:left w:val="nil"/>
              <w:bottom w:val="nil"/>
              <w:right w:val="single" w:sz="4" w:space="0" w:color="auto"/>
            </w:tcBorders>
            <w:shd w:val="clear" w:color="auto" w:fill="auto"/>
            <w:vAlign w:val="center"/>
            <w:hideMark/>
          </w:tcPr>
          <w:p w14:paraId="4C96723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11,451,184</w:t>
            </w:r>
          </w:p>
        </w:tc>
        <w:tc>
          <w:tcPr>
            <w:tcW w:w="887" w:type="dxa"/>
            <w:tcBorders>
              <w:top w:val="nil"/>
              <w:left w:val="nil"/>
              <w:bottom w:val="nil"/>
              <w:right w:val="single" w:sz="4" w:space="0" w:color="auto"/>
            </w:tcBorders>
            <w:shd w:val="clear" w:color="auto" w:fill="auto"/>
            <w:vAlign w:val="center"/>
            <w:hideMark/>
          </w:tcPr>
          <w:p w14:paraId="42A96E4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nil"/>
            </w:tcBorders>
            <w:shd w:val="clear" w:color="auto" w:fill="auto"/>
            <w:vAlign w:val="center"/>
            <w:hideMark/>
          </w:tcPr>
          <w:p w14:paraId="78F90EC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131" w:type="dxa"/>
            <w:tcBorders>
              <w:top w:val="nil"/>
              <w:left w:val="single" w:sz="4" w:space="0" w:color="auto"/>
              <w:bottom w:val="nil"/>
              <w:right w:val="single" w:sz="4" w:space="0" w:color="auto"/>
            </w:tcBorders>
            <w:shd w:val="clear" w:color="auto" w:fill="auto"/>
            <w:vAlign w:val="center"/>
            <w:hideMark/>
          </w:tcPr>
          <w:p w14:paraId="05B9F3B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55" w:type="dxa"/>
            <w:tcBorders>
              <w:top w:val="nil"/>
              <w:left w:val="nil"/>
              <w:bottom w:val="nil"/>
              <w:right w:val="nil"/>
            </w:tcBorders>
            <w:shd w:val="clear" w:color="auto" w:fill="auto"/>
            <w:vAlign w:val="center"/>
            <w:hideMark/>
          </w:tcPr>
          <w:p w14:paraId="49C694B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04" w:type="dxa"/>
            <w:tcBorders>
              <w:top w:val="nil"/>
              <w:left w:val="single" w:sz="4" w:space="0" w:color="auto"/>
              <w:bottom w:val="nil"/>
              <w:right w:val="single" w:sz="4" w:space="0" w:color="auto"/>
            </w:tcBorders>
            <w:shd w:val="clear" w:color="auto" w:fill="auto"/>
            <w:vAlign w:val="center"/>
            <w:hideMark/>
          </w:tcPr>
          <w:p w14:paraId="6243C19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778" w:type="dxa"/>
            <w:tcBorders>
              <w:top w:val="nil"/>
              <w:left w:val="nil"/>
              <w:bottom w:val="nil"/>
              <w:right w:val="single" w:sz="4" w:space="0" w:color="auto"/>
            </w:tcBorders>
            <w:shd w:val="clear" w:color="auto" w:fill="auto"/>
            <w:vAlign w:val="center"/>
            <w:hideMark/>
          </w:tcPr>
          <w:p w14:paraId="5C659B09" w14:textId="77777777" w:rsidR="009C313D" w:rsidRPr="000521D8" w:rsidRDefault="009C313D" w:rsidP="00560A50">
            <w:pPr>
              <w:jc w:val="right"/>
              <w:rPr>
                <w:rFonts w:ascii="Garamond" w:eastAsia="Times New Roman" w:hAnsi="Garamond" w:cs="Calibri"/>
                <w:color w:val="000000"/>
                <w:sz w:val="18"/>
                <w:szCs w:val="18"/>
                <w:lang w:eastAsia="en-GB"/>
              </w:rPr>
            </w:pPr>
          </w:p>
        </w:tc>
      </w:tr>
      <w:tr w:rsidR="009C313D" w:rsidRPr="000521D8" w14:paraId="1C0D1849"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40B34A51"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Nasdaq - US</w:t>
            </w:r>
          </w:p>
        </w:tc>
        <w:tc>
          <w:tcPr>
            <w:tcW w:w="1023" w:type="dxa"/>
            <w:tcBorders>
              <w:top w:val="nil"/>
              <w:left w:val="nil"/>
              <w:bottom w:val="nil"/>
              <w:right w:val="single" w:sz="4" w:space="0" w:color="auto"/>
            </w:tcBorders>
            <w:shd w:val="clear" w:color="auto" w:fill="auto"/>
            <w:vAlign w:val="center"/>
            <w:hideMark/>
          </w:tcPr>
          <w:p w14:paraId="3936D65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63,566,309</w:t>
            </w:r>
          </w:p>
        </w:tc>
        <w:tc>
          <w:tcPr>
            <w:tcW w:w="887" w:type="dxa"/>
            <w:tcBorders>
              <w:top w:val="nil"/>
              <w:left w:val="nil"/>
              <w:bottom w:val="nil"/>
              <w:right w:val="single" w:sz="4" w:space="0" w:color="auto"/>
            </w:tcBorders>
            <w:shd w:val="clear" w:color="auto" w:fill="auto"/>
            <w:vAlign w:val="center"/>
            <w:hideMark/>
          </w:tcPr>
          <w:p w14:paraId="07C9F4C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nil"/>
            </w:tcBorders>
            <w:shd w:val="clear" w:color="auto" w:fill="auto"/>
            <w:vAlign w:val="center"/>
            <w:hideMark/>
          </w:tcPr>
          <w:p w14:paraId="69BFD44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131" w:type="dxa"/>
            <w:tcBorders>
              <w:top w:val="nil"/>
              <w:left w:val="single" w:sz="4" w:space="0" w:color="auto"/>
              <w:bottom w:val="nil"/>
              <w:right w:val="single" w:sz="4" w:space="0" w:color="auto"/>
            </w:tcBorders>
            <w:shd w:val="clear" w:color="auto" w:fill="auto"/>
            <w:vAlign w:val="center"/>
            <w:hideMark/>
          </w:tcPr>
          <w:p w14:paraId="7F3F6FC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55" w:type="dxa"/>
            <w:tcBorders>
              <w:top w:val="nil"/>
              <w:left w:val="nil"/>
              <w:bottom w:val="nil"/>
              <w:right w:val="nil"/>
            </w:tcBorders>
            <w:shd w:val="clear" w:color="auto" w:fill="auto"/>
            <w:vAlign w:val="center"/>
            <w:hideMark/>
          </w:tcPr>
          <w:p w14:paraId="3FB0D44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04" w:type="dxa"/>
            <w:tcBorders>
              <w:top w:val="nil"/>
              <w:left w:val="single" w:sz="4" w:space="0" w:color="auto"/>
              <w:bottom w:val="nil"/>
              <w:right w:val="single" w:sz="4" w:space="0" w:color="auto"/>
            </w:tcBorders>
            <w:shd w:val="clear" w:color="auto" w:fill="auto"/>
            <w:vAlign w:val="center"/>
            <w:hideMark/>
          </w:tcPr>
          <w:p w14:paraId="7DCD7D1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778" w:type="dxa"/>
            <w:tcBorders>
              <w:top w:val="nil"/>
              <w:left w:val="nil"/>
              <w:bottom w:val="nil"/>
              <w:right w:val="single" w:sz="4" w:space="0" w:color="auto"/>
            </w:tcBorders>
            <w:shd w:val="clear" w:color="auto" w:fill="auto"/>
            <w:vAlign w:val="center"/>
            <w:hideMark/>
          </w:tcPr>
          <w:p w14:paraId="4F44C381" w14:textId="77777777" w:rsidR="009C313D" w:rsidRPr="000521D8" w:rsidRDefault="009C313D" w:rsidP="00560A50">
            <w:pPr>
              <w:jc w:val="right"/>
              <w:rPr>
                <w:rFonts w:ascii="Garamond" w:eastAsia="Times New Roman" w:hAnsi="Garamond" w:cs="Calibri"/>
                <w:color w:val="000000"/>
                <w:sz w:val="18"/>
                <w:szCs w:val="18"/>
                <w:lang w:eastAsia="en-GB"/>
              </w:rPr>
            </w:pPr>
          </w:p>
        </w:tc>
      </w:tr>
      <w:tr w:rsidR="009C313D" w:rsidRPr="000521D8" w14:paraId="72871377" w14:textId="77777777" w:rsidTr="00560A50">
        <w:trPr>
          <w:trHeight w:val="53"/>
          <w:jc w:val="center"/>
        </w:trPr>
        <w:tc>
          <w:tcPr>
            <w:tcW w:w="296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3D697BFD"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 xml:space="preserve">Total </w:t>
            </w:r>
            <w:r>
              <w:rPr>
                <w:rFonts w:ascii="Garamond" w:eastAsia="Times New Roman" w:hAnsi="Garamond" w:cs="Calibri"/>
                <w:b/>
                <w:bCs/>
                <w:color w:val="000000"/>
                <w:sz w:val="18"/>
                <w:szCs w:val="18"/>
                <w:lang w:eastAsia="en-GB"/>
              </w:rPr>
              <w:t>R</w:t>
            </w:r>
            <w:r w:rsidRPr="000521D8">
              <w:rPr>
                <w:rFonts w:ascii="Garamond" w:eastAsia="Times New Roman" w:hAnsi="Garamond" w:cs="Calibri"/>
                <w:b/>
                <w:bCs/>
                <w:color w:val="000000"/>
                <w:sz w:val="18"/>
                <w:szCs w:val="18"/>
                <w:lang w:eastAsia="en-GB"/>
              </w:rPr>
              <w:t>egion</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12C68017" w14:textId="77777777" w:rsidR="009C313D" w:rsidRPr="000521D8" w:rsidRDefault="009C313D" w:rsidP="00560A50">
            <w:pPr>
              <w:jc w:val="right"/>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179,913,932</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642CAA66" w14:textId="77777777" w:rsidR="009C313D" w:rsidRPr="000521D8" w:rsidRDefault="009C313D" w:rsidP="00560A50">
            <w:pPr>
              <w:jc w:val="right"/>
              <w:rPr>
                <w:rFonts w:ascii="Garamond" w:eastAsia="Times New Roman" w:hAnsi="Garamond" w:cs="Calibri"/>
                <w:b/>
                <w:bCs/>
                <w:color w:val="000000"/>
                <w:sz w:val="18"/>
                <w:szCs w:val="18"/>
                <w:lang w:eastAsia="en-GB"/>
              </w:rPr>
            </w:pPr>
          </w:p>
        </w:tc>
        <w:tc>
          <w:tcPr>
            <w:tcW w:w="1017" w:type="dxa"/>
            <w:tcBorders>
              <w:top w:val="single" w:sz="4" w:space="0" w:color="auto"/>
              <w:left w:val="nil"/>
              <w:bottom w:val="single" w:sz="4" w:space="0" w:color="auto"/>
              <w:right w:val="nil"/>
            </w:tcBorders>
            <w:shd w:val="clear" w:color="auto" w:fill="auto"/>
            <w:vAlign w:val="center"/>
            <w:hideMark/>
          </w:tcPr>
          <w:p w14:paraId="2092062A" w14:textId="77777777" w:rsidR="009C313D" w:rsidRPr="000521D8" w:rsidRDefault="009C313D" w:rsidP="00560A50">
            <w:pPr>
              <w:jc w:val="right"/>
              <w:rPr>
                <w:rFonts w:ascii="Garamond" w:eastAsia="Times New Roman" w:hAnsi="Garamond" w:cs="Calibri"/>
                <w:b/>
                <w:bCs/>
                <w:color w:val="000000"/>
                <w:sz w:val="18"/>
                <w:szCs w:val="18"/>
                <w:lang w:eastAsia="en-GB"/>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33D72" w14:textId="77777777" w:rsidR="009C313D" w:rsidRPr="000521D8" w:rsidRDefault="009C313D" w:rsidP="00560A50">
            <w:pPr>
              <w:jc w:val="right"/>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5,860</w:t>
            </w:r>
          </w:p>
        </w:tc>
        <w:tc>
          <w:tcPr>
            <w:tcW w:w="855" w:type="dxa"/>
            <w:tcBorders>
              <w:top w:val="single" w:sz="4" w:space="0" w:color="auto"/>
              <w:left w:val="nil"/>
              <w:bottom w:val="single" w:sz="4" w:space="0" w:color="auto"/>
              <w:right w:val="nil"/>
            </w:tcBorders>
            <w:shd w:val="clear" w:color="auto" w:fill="auto"/>
            <w:vAlign w:val="center"/>
            <w:hideMark/>
          </w:tcPr>
          <w:p w14:paraId="2058FD22" w14:textId="77777777" w:rsidR="009C313D" w:rsidRPr="000521D8" w:rsidRDefault="009C313D" w:rsidP="00560A50">
            <w:pPr>
              <w:jc w:val="right"/>
              <w:rPr>
                <w:rFonts w:ascii="Garamond" w:eastAsia="Times New Roman" w:hAnsi="Garamond" w:cs="Calibri"/>
                <w:b/>
                <w:bCs/>
                <w:color w:val="000000"/>
                <w:sz w:val="18"/>
                <w:szCs w:val="18"/>
                <w:lang w:eastAsia="en-GB"/>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B61B" w14:textId="77777777" w:rsidR="009C313D" w:rsidRPr="000521D8" w:rsidRDefault="009C313D" w:rsidP="00560A50">
            <w:pPr>
              <w:jc w:val="right"/>
              <w:rPr>
                <w:rFonts w:ascii="Garamond" w:eastAsia="Times New Roman" w:hAnsi="Garamond" w:cs="Calibri"/>
                <w:b/>
                <w:bCs/>
                <w:color w:val="000000"/>
                <w:sz w:val="18"/>
                <w:szCs w:val="18"/>
                <w:lang w:eastAsia="en-GB"/>
              </w:rPr>
            </w:pP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709DD87C" w14:textId="77777777" w:rsidR="009C313D" w:rsidRPr="000521D8" w:rsidRDefault="009C313D" w:rsidP="00560A50">
            <w:pPr>
              <w:jc w:val="right"/>
              <w:rPr>
                <w:rFonts w:ascii="Garamond" w:eastAsia="Times New Roman" w:hAnsi="Garamond" w:cs="Calibri"/>
                <w:b/>
                <w:bCs/>
                <w:color w:val="000000"/>
                <w:sz w:val="18"/>
                <w:szCs w:val="18"/>
                <w:lang w:eastAsia="en-GB"/>
              </w:rPr>
            </w:pPr>
          </w:p>
        </w:tc>
      </w:tr>
      <w:tr w:rsidR="009C313D" w:rsidRPr="000521D8" w14:paraId="5A4048DD" w14:textId="77777777" w:rsidTr="00560A50">
        <w:trPr>
          <w:trHeight w:val="53"/>
          <w:jc w:val="center"/>
        </w:trPr>
        <w:tc>
          <w:tcPr>
            <w:tcW w:w="9460" w:type="dxa"/>
            <w:gridSpan w:val="8"/>
            <w:tcBorders>
              <w:top w:val="nil"/>
              <w:left w:val="single" w:sz="4" w:space="0" w:color="auto"/>
              <w:bottom w:val="single" w:sz="4" w:space="0" w:color="auto"/>
              <w:right w:val="single" w:sz="4" w:space="0" w:color="000000"/>
            </w:tcBorders>
            <w:shd w:val="clear" w:color="000000" w:fill="D9E1F2"/>
            <w:vAlign w:val="center"/>
            <w:hideMark/>
          </w:tcPr>
          <w:p w14:paraId="4302B756"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Asia - Pacific</w:t>
            </w:r>
          </w:p>
        </w:tc>
      </w:tr>
      <w:tr w:rsidR="009C313D" w:rsidRPr="000521D8" w14:paraId="652129C7" w14:textId="77777777" w:rsidTr="00560A50">
        <w:trPr>
          <w:trHeight w:val="53"/>
          <w:jc w:val="center"/>
        </w:trPr>
        <w:tc>
          <w:tcPr>
            <w:tcW w:w="2965" w:type="dxa"/>
            <w:tcBorders>
              <w:top w:val="nil"/>
              <w:left w:val="single" w:sz="4" w:space="0" w:color="auto"/>
              <w:bottom w:val="nil"/>
              <w:right w:val="single" w:sz="4" w:space="0" w:color="auto"/>
            </w:tcBorders>
            <w:shd w:val="clear" w:color="000000" w:fill="B4C6E7"/>
            <w:vAlign w:val="center"/>
            <w:hideMark/>
          </w:tcPr>
          <w:p w14:paraId="6F383254"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Australian Securities Exchange</w:t>
            </w:r>
          </w:p>
        </w:tc>
        <w:tc>
          <w:tcPr>
            <w:tcW w:w="1023" w:type="dxa"/>
            <w:tcBorders>
              <w:top w:val="nil"/>
              <w:left w:val="nil"/>
              <w:bottom w:val="nil"/>
              <w:right w:val="nil"/>
            </w:tcBorders>
            <w:shd w:val="clear" w:color="auto" w:fill="auto"/>
            <w:vAlign w:val="center"/>
            <w:hideMark/>
          </w:tcPr>
          <w:p w14:paraId="59EFBDDF"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7,215,468</w:t>
            </w:r>
          </w:p>
        </w:tc>
        <w:tc>
          <w:tcPr>
            <w:tcW w:w="887" w:type="dxa"/>
            <w:tcBorders>
              <w:top w:val="nil"/>
              <w:left w:val="single" w:sz="4" w:space="0" w:color="auto"/>
              <w:bottom w:val="nil"/>
              <w:right w:val="single" w:sz="4" w:space="0" w:color="auto"/>
            </w:tcBorders>
            <w:shd w:val="clear" w:color="auto" w:fill="auto"/>
            <w:vAlign w:val="center"/>
            <w:hideMark/>
          </w:tcPr>
          <w:p w14:paraId="5D53E98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14,236</w:t>
            </w:r>
          </w:p>
        </w:tc>
        <w:tc>
          <w:tcPr>
            <w:tcW w:w="1017" w:type="dxa"/>
            <w:tcBorders>
              <w:top w:val="nil"/>
              <w:left w:val="nil"/>
              <w:bottom w:val="nil"/>
              <w:right w:val="single" w:sz="4" w:space="0" w:color="auto"/>
            </w:tcBorders>
            <w:shd w:val="clear" w:color="auto" w:fill="auto"/>
            <w:vAlign w:val="center"/>
            <w:hideMark/>
          </w:tcPr>
          <w:p w14:paraId="7731DD5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7,631,670</w:t>
            </w:r>
          </w:p>
        </w:tc>
        <w:tc>
          <w:tcPr>
            <w:tcW w:w="1131" w:type="dxa"/>
            <w:tcBorders>
              <w:top w:val="nil"/>
              <w:left w:val="nil"/>
              <w:bottom w:val="nil"/>
              <w:right w:val="single" w:sz="4" w:space="0" w:color="auto"/>
            </w:tcBorders>
            <w:shd w:val="clear" w:color="auto" w:fill="auto"/>
            <w:vAlign w:val="center"/>
            <w:hideMark/>
          </w:tcPr>
          <w:p w14:paraId="4F06416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151,396</w:t>
            </w:r>
          </w:p>
        </w:tc>
        <w:tc>
          <w:tcPr>
            <w:tcW w:w="855" w:type="dxa"/>
            <w:tcBorders>
              <w:top w:val="nil"/>
              <w:left w:val="nil"/>
              <w:bottom w:val="nil"/>
              <w:right w:val="single" w:sz="4" w:space="0" w:color="auto"/>
            </w:tcBorders>
            <w:shd w:val="clear" w:color="auto" w:fill="auto"/>
            <w:vAlign w:val="center"/>
            <w:hideMark/>
          </w:tcPr>
          <w:p w14:paraId="3E07052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199</w:t>
            </w:r>
          </w:p>
        </w:tc>
        <w:tc>
          <w:tcPr>
            <w:tcW w:w="804" w:type="dxa"/>
            <w:tcBorders>
              <w:top w:val="nil"/>
              <w:left w:val="nil"/>
              <w:bottom w:val="nil"/>
              <w:right w:val="single" w:sz="4" w:space="0" w:color="auto"/>
            </w:tcBorders>
            <w:shd w:val="clear" w:color="auto" w:fill="auto"/>
            <w:vAlign w:val="center"/>
            <w:hideMark/>
          </w:tcPr>
          <w:p w14:paraId="2E5E482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496,037</w:t>
            </w:r>
          </w:p>
        </w:tc>
        <w:tc>
          <w:tcPr>
            <w:tcW w:w="778" w:type="dxa"/>
            <w:tcBorders>
              <w:top w:val="nil"/>
              <w:left w:val="nil"/>
              <w:bottom w:val="nil"/>
              <w:right w:val="single" w:sz="4" w:space="0" w:color="auto"/>
            </w:tcBorders>
            <w:shd w:val="clear" w:color="auto" w:fill="auto"/>
            <w:vAlign w:val="center"/>
            <w:hideMark/>
          </w:tcPr>
          <w:p w14:paraId="7202812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r>
      <w:tr w:rsidR="009C313D" w:rsidRPr="000521D8" w14:paraId="180C4260"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444CA01E"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BSE India Limited</w:t>
            </w:r>
          </w:p>
        </w:tc>
        <w:tc>
          <w:tcPr>
            <w:tcW w:w="1023" w:type="dxa"/>
            <w:tcBorders>
              <w:top w:val="nil"/>
              <w:left w:val="nil"/>
              <w:bottom w:val="nil"/>
              <w:right w:val="nil"/>
            </w:tcBorders>
            <w:shd w:val="clear" w:color="auto" w:fill="auto"/>
            <w:vAlign w:val="center"/>
            <w:hideMark/>
          </w:tcPr>
          <w:p w14:paraId="4AA77D2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87" w:type="dxa"/>
            <w:tcBorders>
              <w:top w:val="nil"/>
              <w:left w:val="single" w:sz="4" w:space="0" w:color="auto"/>
              <w:bottom w:val="nil"/>
              <w:right w:val="single" w:sz="4" w:space="0" w:color="auto"/>
            </w:tcBorders>
            <w:shd w:val="clear" w:color="auto" w:fill="auto"/>
            <w:vAlign w:val="center"/>
            <w:hideMark/>
          </w:tcPr>
          <w:p w14:paraId="167954B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single" w:sz="4" w:space="0" w:color="auto"/>
            </w:tcBorders>
            <w:shd w:val="clear" w:color="auto" w:fill="auto"/>
            <w:vAlign w:val="center"/>
            <w:hideMark/>
          </w:tcPr>
          <w:p w14:paraId="47B349D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131" w:type="dxa"/>
            <w:tcBorders>
              <w:top w:val="nil"/>
              <w:left w:val="nil"/>
              <w:bottom w:val="nil"/>
              <w:right w:val="single" w:sz="4" w:space="0" w:color="auto"/>
            </w:tcBorders>
            <w:shd w:val="clear" w:color="auto" w:fill="auto"/>
            <w:vAlign w:val="center"/>
            <w:hideMark/>
          </w:tcPr>
          <w:p w14:paraId="4423BB4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16</w:t>
            </w:r>
          </w:p>
        </w:tc>
        <w:tc>
          <w:tcPr>
            <w:tcW w:w="855" w:type="dxa"/>
            <w:tcBorders>
              <w:top w:val="nil"/>
              <w:left w:val="nil"/>
              <w:bottom w:val="nil"/>
              <w:right w:val="single" w:sz="4" w:space="0" w:color="auto"/>
            </w:tcBorders>
            <w:shd w:val="clear" w:color="auto" w:fill="auto"/>
            <w:vAlign w:val="center"/>
            <w:hideMark/>
          </w:tcPr>
          <w:p w14:paraId="29D38EC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0</w:t>
            </w:r>
          </w:p>
        </w:tc>
        <w:tc>
          <w:tcPr>
            <w:tcW w:w="804" w:type="dxa"/>
            <w:tcBorders>
              <w:top w:val="nil"/>
              <w:left w:val="nil"/>
              <w:bottom w:val="nil"/>
              <w:right w:val="single" w:sz="4" w:space="0" w:color="auto"/>
            </w:tcBorders>
            <w:shd w:val="clear" w:color="auto" w:fill="auto"/>
            <w:vAlign w:val="center"/>
            <w:hideMark/>
          </w:tcPr>
          <w:p w14:paraId="3418F37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w:t>
            </w:r>
          </w:p>
        </w:tc>
        <w:tc>
          <w:tcPr>
            <w:tcW w:w="778" w:type="dxa"/>
            <w:tcBorders>
              <w:top w:val="nil"/>
              <w:left w:val="nil"/>
              <w:bottom w:val="nil"/>
              <w:right w:val="single" w:sz="4" w:space="0" w:color="auto"/>
            </w:tcBorders>
            <w:shd w:val="clear" w:color="auto" w:fill="auto"/>
            <w:vAlign w:val="center"/>
            <w:hideMark/>
          </w:tcPr>
          <w:p w14:paraId="3C40ABD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21</w:t>
            </w:r>
          </w:p>
        </w:tc>
      </w:tr>
      <w:tr w:rsidR="009C313D" w:rsidRPr="000521D8" w14:paraId="75C5C121"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295B215C"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Hong Kong Exchanges and Clearing</w:t>
            </w:r>
          </w:p>
        </w:tc>
        <w:tc>
          <w:tcPr>
            <w:tcW w:w="1023" w:type="dxa"/>
            <w:tcBorders>
              <w:top w:val="nil"/>
              <w:left w:val="nil"/>
              <w:bottom w:val="nil"/>
              <w:right w:val="nil"/>
            </w:tcBorders>
            <w:shd w:val="clear" w:color="auto" w:fill="auto"/>
            <w:vAlign w:val="center"/>
            <w:hideMark/>
          </w:tcPr>
          <w:p w14:paraId="281BA103"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10,358,547</w:t>
            </w:r>
          </w:p>
        </w:tc>
        <w:tc>
          <w:tcPr>
            <w:tcW w:w="887" w:type="dxa"/>
            <w:tcBorders>
              <w:top w:val="nil"/>
              <w:left w:val="single" w:sz="4" w:space="0" w:color="auto"/>
              <w:bottom w:val="nil"/>
              <w:right w:val="single" w:sz="4" w:space="0" w:color="auto"/>
            </w:tcBorders>
            <w:shd w:val="clear" w:color="auto" w:fill="auto"/>
            <w:vAlign w:val="center"/>
            <w:hideMark/>
          </w:tcPr>
          <w:p w14:paraId="46FCBAB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35,401</w:t>
            </w:r>
          </w:p>
        </w:tc>
        <w:tc>
          <w:tcPr>
            <w:tcW w:w="1017" w:type="dxa"/>
            <w:tcBorders>
              <w:top w:val="nil"/>
              <w:left w:val="nil"/>
              <w:bottom w:val="nil"/>
              <w:right w:val="single" w:sz="4" w:space="0" w:color="auto"/>
            </w:tcBorders>
            <w:shd w:val="clear" w:color="auto" w:fill="auto"/>
            <w:vAlign w:val="center"/>
            <w:hideMark/>
          </w:tcPr>
          <w:p w14:paraId="6893FB6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10,186,900</w:t>
            </w:r>
          </w:p>
        </w:tc>
        <w:tc>
          <w:tcPr>
            <w:tcW w:w="1131" w:type="dxa"/>
            <w:tcBorders>
              <w:top w:val="nil"/>
              <w:left w:val="nil"/>
              <w:bottom w:val="nil"/>
              <w:right w:val="single" w:sz="4" w:space="0" w:color="auto"/>
            </w:tcBorders>
            <w:shd w:val="clear" w:color="auto" w:fill="auto"/>
            <w:vAlign w:val="center"/>
            <w:hideMark/>
          </w:tcPr>
          <w:p w14:paraId="101FD6F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100,829</w:t>
            </w:r>
          </w:p>
        </w:tc>
        <w:tc>
          <w:tcPr>
            <w:tcW w:w="855" w:type="dxa"/>
            <w:tcBorders>
              <w:top w:val="nil"/>
              <w:left w:val="nil"/>
              <w:bottom w:val="nil"/>
              <w:right w:val="single" w:sz="4" w:space="0" w:color="auto"/>
            </w:tcBorders>
            <w:shd w:val="clear" w:color="auto" w:fill="auto"/>
            <w:vAlign w:val="center"/>
            <w:hideMark/>
          </w:tcPr>
          <w:p w14:paraId="3085841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438</w:t>
            </w:r>
          </w:p>
        </w:tc>
        <w:tc>
          <w:tcPr>
            <w:tcW w:w="804" w:type="dxa"/>
            <w:tcBorders>
              <w:top w:val="nil"/>
              <w:left w:val="nil"/>
              <w:bottom w:val="nil"/>
              <w:right w:val="single" w:sz="4" w:space="0" w:color="auto"/>
            </w:tcBorders>
            <w:shd w:val="clear" w:color="auto" w:fill="auto"/>
            <w:vAlign w:val="center"/>
            <w:hideMark/>
          </w:tcPr>
          <w:p w14:paraId="0D29241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24,111</w:t>
            </w:r>
          </w:p>
        </w:tc>
        <w:tc>
          <w:tcPr>
            <w:tcW w:w="778" w:type="dxa"/>
            <w:tcBorders>
              <w:top w:val="nil"/>
              <w:left w:val="nil"/>
              <w:bottom w:val="nil"/>
              <w:right w:val="single" w:sz="4" w:space="0" w:color="auto"/>
            </w:tcBorders>
            <w:shd w:val="clear" w:color="auto" w:fill="auto"/>
            <w:vAlign w:val="center"/>
            <w:hideMark/>
          </w:tcPr>
          <w:p w14:paraId="7E5AA05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r>
      <w:tr w:rsidR="009C313D" w:rsidRPr="000521D8" w14:paraId="6AD0227D"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3E8F10B1"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Japan Exchange Group</w:t>
            </w:r>
          </w:p>
        </w:tc>
        <w:tc>
          <w:tcPr>
            <w:tcW w:w="1023" w:type="dxa"/>
            <w:tcBorders>
              <w:top w:val="nil"/>
              <w:left w:val="nil"/>
              <w:bottom w:val="nil"/>
              <w:right w:val="nil"/>
            </w:tcBorders>
            <w:shd w:val="clear" w:color="auto" w:fill="auto"/>
            <w:vAlign w:val="center"/>
            <w:hideMark/>
          </w:tcPr>
          <w:p w14:paraId="118019F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46,400</w:t>
            </w:r>
          </w:p>
        </w:tc>
        <w:tc>
          <w:tcPr>
            <w:tcW w:w="887" w:type="dxa"/>
            <w:tcBorders>
              <w:top w:val="nil"/>
              <w:left w:val="single" w:sz="4" w:space="0" w:color="auto"/>
              <w:bottom w:val="nil"/>
              <w:right w:val="single" w:sz="4" w:space="0" w:color="auto"/>
            </w:tcBorders>
            <w:shd w:val="clear" w:color="auto" w:fill="auto"/>
            <w:vAlign w:val="center"/>
            <w:hideMark/>
          </w:tcPr>
          <w:p w14:paraId="7A70CD0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single" w:sz="4" w:space="0" w:color="auto"/>
            </w:tcBorders>
            <w:shd w:val="clear" w:color="auto" w:fill="auto"/>
            <w:vAlign w:val="center"/>
            <w:hideMark/>
          </w:tcPr>
          <w:p w14:paraId="54767D8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158,266</w:t>
            </w:r>
          </w:p>
        </w:tc>
        <w:tc>
          <w:tcPr>
            <w:tcW w:w="1131" w:type="dxa"/>
            <w:tcBorders>
              <w:top w:val="nil"/>
              <w:left w:val="nil"/>
              <w:bottom w:val="nil"/>
              <w:right w:val="single" w:sz="4" w:space="0" w:color="auto"/>
            </w:tcBorders>
            <w:shd w:val="clear" w:color="auto" w:fill="auto"/>
            <w:vAlign w:val="center"/>
            <w:hideMark/>
          </w:tcPr>
          <w:p w14:paraId="60B9905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55" w:type="dxa"/>
            <w:tcBorders>
              <w:top w:val="nil"/>
              <w:left w:val="nil"/>
              <w:bottom w:val="nil"/>
              <w:right w:val="single" w:sz="4" w:space="0" w:color="auto"/>
            </w:tcBorders>
            <w:shd w:val="clear" w:color="auto" w:fill="auto"/>
            <w:vAlign w:val="center"/>
            <w:hideMark/>
          </w:tcPr>
          <w:p w14:paraId="49E3F2B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04" w:type="dxa"/>
            <w:tcBorders>
              <w:top w:val="nil"/>
              <w:left w:val="nil"/>
              <w:bottom w:val="nil"/>
              <w:right w:val="single" w:sz="4" w:space="0" w:color="auto"/>
            </w:tcBorders>
            <w:shd w:val="clear" w:color="auto" w:fill="auto"/>
            <w:vAlign w:val="center"/>
            <w:hideMark/>
          </w:tcPr>
          <w:p w14:paraId="48E403E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778" w:type="dxa"/>
            <w:tcBorders>
              <w:top w:val="nil"/>
              <w:left w:val="nil"/>
              <w:bottom w:val="nil"/>
              <w:right w:val="single" w:sz="4" w:space="0" w:color="auto"/>
            </w:tcBorders>
            <w:shd w:val="clear" w:color="auto" w:fill="auto"/>
            <w:vAlign w:val="center"/>
            <w:hideMark/>
          </w:tcPr>
          <w:p w14:paraId="6E771E3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r>
      <w:tr w:rsidR="009C313D" w:rsidRPr="000521D8" w14:paraId="0B8F33C5"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4DC7F9E3"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Korea Exchange</w:t>
            </w:r>
          </w:p>
        </w:tc>
        <w:tc>
          <w:tcPr>
            <w:tcW w:w="1023" w:type="dxa"/>
            <w:tcBorders>
              <w:top w:val="nil"/>
              <w:left w:val="nil"/>
              <w:bottom w:val="nil"/>
              <w:right w:val="nil"/>
            </w:tcBorders>
            <w:shd w:val="clear" w:color="auto" w:fill="auto"/>
            <w:vAlign w:val="center"/>
            <w:hideMark/>
          </w:tcPr>
          <w:p w14:paraId="0BCA69A3"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1,586,949</w:t>
            </w:r>
          </w:p>
        </w:tc>
        <w:tc>
          <w:tcPr>
            <w:tcW w:w="887" w:type="dxa"/>
            <w:tcBorders>
              <w:top w:val="nil"/>
              <w:left w:val="single" w:sz="4" w:space="0" w:color="auto"/>
              <w:bottom w:val="nil"/>
              <w:right w:val="single" w:sz="4" w:space="0" w:color="auto"/>
            </w:tcBorders>
            <w:shd w:val="clear" w:color="auto" w:fill="auto"/>
            <w:vAlign w:val="center"/>
            <w:hideMark/>
          </w:tcPr>
          <w:p w14:paraId="6F43427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single" w:sz="4" w:space="0" w:color="auto"/>
            </w:tcBorders>
            <w:shd w:val="clear" w:color="auto" w:fill="auto"/>
            <w:vAlign w:val="center"/>
            <w:hideMark/>
          </w:tcPr>
          <w:p w14:paraId="0259CE8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437,045</w:t>
            </w:r>
          </w:p>
        </w:tc>
        <w:tc>
          <w:tcPr>
            <w:tcW w:w="1131" w:type="dxa"/>
            <w:tcBorders>
              <w:top w:val="nil"/>
              <w:left w:val="nil"/>
              <w:bottom w:val="nil"/>
              <w:right w:val="single" w:sz="4" w:space="0" w:color="auto"/>
            </w:tcBorders>
            <w:shd w:val="clear" w:color="auto" w:fill="auto"/>
            <w:vAlign w:val="center"/>
            <w:hideMark/>
          </w:tcPr>
          <w:p w14:paraId="4A55289F"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43,323,961</w:t>
            </w:r>
          </w:p>
        </w:tc>
        <w:tc>
          <w:tcPr>
            <w:tcW w:w="855" w:type="dxa"/>
            <w:tcBorders>
              <w:top w:val="nil"/>
              <w:left w:val="nil"/>
              <w:bottom w:val="nil"/>
              <w:right w:val="single" w:sz="4" w:space="0" w:color="auto"/>
            </w:tcBorders>
            <w:shd w:val="clear" w:color="auto" w:fill="auto"/>
            <w:vAlign w:val="center"/>
            <w:hideMark/>
          </w:tcPr>
          <w:p w14:paraId="4004473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25,640</w:t>
            </w:r>
          </w:p>
        </w:tc>
        <w:tc>
          <w:tcPr>
            <w:tcW w:w="804" w:type="dxa"/>
            <w:tcBorders>
              <w:top w:val="nil"/>
              <w:left w:val="nil"/>
              <w:bottom w:val="nil"/>
              <w:right w:val="single" w:sz="4" w:space="0" w:color="auto"/>
            </w:tcBorders>
            <w:shd w:val="clear" w:color="auto" w:fill="auto"/>
            <w:vAlign w:val="center"/>
            <w:hideMark/>
          </w:tcPr>
          <w:p w14:paraId="7F2CBF3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3,145,090</w:t>
            </w:r>
          </w:p>
        </w:tc>
        <w:tc>
          <w:tcPr>
            <w:tcW w:w="778" w:type="dxa"/>
            <w:tcBorders>
              <w:top w:val="nil"/>
              <w:left w:val="nil"/>
              <w:bottom w:val="nil"/>
              <w:right w:val="single" w:sz="4" w:space="0" w:color="auto"/>
            </w:tcBorders>
            <w:shd w:val="clear" w:color="auto" w:fill="auto"/>
            <w:vAlign w:val="center"/>
            <w:hideMark/>
          </w:tcPr>
          <w:p w14:paraId="72B10163"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36C02246"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0FC1C956"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National Stock Exchange of India</w:t>
            </w:r>
          </w:p>
        </w:tc>
        <w:tc>
          <w:tcPr>
            <w:tcW w:w="1023" w:type="dxa"/>
            <w:tcBorders>
              <w:top w:val="nil"/>
              <w:left w:val="nil"/>
              <w:bottom w:val="nil"/>
              <w:right w:val="nil"/>
            </w:tcBorders>
            <w:shd w:val="clear" w:color="auto" w:fill="auto"/>
            <w:vAlign w:val="center"/>
            <w:hideMark/>
          </w:tcPr>
          <w:p w14:paraId="1855A7A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17,309,073</w:t>
            </w:r>
          </w:p>
        </w:tc>
        <w:tc>
          <w:tcPr>
            <w:tcW w:w="887" w:type="dxa"/>
            <w:tcBorders>
              <w:top w:val="nil"/>
              <w:left w:val="single" w:sz="4" w:space="0" w:color="auto"/>
              <w:bottom w:val="nil"/>
              <w:right w:val="single" w:sz="4" w:space="0" w:color="auto"/>
            </w:tcBorders>
            <w:shd w:val="clear" w:color="auto" w:fill="auto"/>
            <w:vAlign w:val="center"/>
            <w:hideMark/>
          </w:tcPr>
          <w:p w14:paraId="290CBEF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190,386</w:t>
            </w:r>
          </w:p>
        </w:tc>
        <w:tc>
          <w:tcPr>
            <w:tcW w:w="1017" w:type="dxa"/>
            <w:tcBorders>
              <w:top w:val="nil"/>
              <w:left w:val="nil"/>
              <w:bottom w:val="nil"/>
              <w:right w:val="single" w:sz="4" w:space="0" w:color="auto"/>
            </w:tcBorders>
            <w:shd w:val="clear" w:color="auto" w:fill="auto"/>
            <w:vAlign w:val="center"/>
            <w:hideMark/>
          </w:tcPr>
          <w:p w14:paraId="69066CF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335,732</w:t>
            </w:r>
          </w:p>
        </w:tc>
        <w:tc>
          <w:tcPr>
            <w:tcW w:w="1131" w:type="dxa"/>
            <w:tcBorders>
              <w:top w:val="nil"/>
              <w:left w:val="nil"/>
              <w:bottom w:val="nil"/>
              <w:right w:val="single" w:sz="4" w:space="0" w:color="auto"/>
            </w:tcBorders>
            <w:shd w:val="clear" w:color="auto" w:fill="auto"/>
            <w:vAlign w:val="center"/>
            <w:hideMark/>
          </w:tcPr>
          <w:p w14:paraId="368ED66F"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22,324,608</w:t>
            </w:r>
          </w:p>
        </w:tc>
        <w:tc>
          <w:tcPr>
            <w:tcW w:w="855" w:type="dxa"/>
            <w:tcBorders>
              <w:top w:val="nil"/>
              <w:left w:val="nil"/>
              <w:bottom w:val="nil"/>
              <w:right w:val="single" w:sz="4" w:space="0" w:color="auto"/>
            </w:tcBorders>
            <w:shd w:val="clear" w:color="auto" w:fill="auto"/>
            <w:vAlign w:val="center"/>
            <w:hideMark/>
          </w:tcPr>
          <w:p w14:paraId="20C53B9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225,479</w:t>
            </w:r>
          </w:p>
        </w:tc>
        <w:tc>
          <w:tcPr>
            <w:tcW w:w="804" w:type="dxa"/>
            <w:tcBorders>
              <w:top w:val="nil"/>
              <w:left w:val="nil"/>
              <w:bottom w:val="nil"/>
              <w:right w:val="single" w:sz="4" w:space="0" w:color="auto"/>
            </w:tcBorders>
            <w:shd w:val="clear" w:color="auto" w:fill="auto"/>
            <w:vAlign w:val="center"/>
            <w:hideMark/>
          </w:tcPr>
          <w:p w14:paraId="498BCC7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1,800,630</w:t>
            </w:r>
          </w:p>
        </w:tc>
        <w:tc>
          <w:tcPr>
            <w:tcW w:w="778" w:type="dxa"/>
            <w:tcBorders>
              <w:top w:val="nil"/>
              <w:left w:val="nil"/>
              <w:bottom w:val="nil"/>
              <w:right w:val="single" w:sz="4" w:space="0" w:color="auto"/>
            </w:tcBorders>
            <w:shd w:val="clear" w:color="auto" w:fill="auto"/>
            <w:vAlign w:val="center"/>
            <w:hideMark/>
          </w:tcPr>
          <w:p w14:paraId="133015C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21</w:t>
            </w:r>
          </w:p>
        </w:tc>
      </w:tr>
      <w:tr w:rsidR="009C313D" w:rsidRPr="000521D8" w14:paraId="3B4D0595"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03EFAD00"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TAIFEX</w:t>
            </w:r>
          </w:p>
        </w:tc>
        <w:tc>
          <w:tcPr>
            <w:tcW w:w="1023" w:type="dxa"/>
            <w:tcBorders>
              <w:top w:val="nil"/>
              <w:left w:val="nil"/>
              <w:bottom w:val="nil"/>
              <w:right w:val="nil"/>
            </w:tcBorders>
            <w:shd w:val="clear" w:color="auto" w:fill="auto"/>
            <w:vAlign w:val="center"/>
            <w:hideMark/>
          </w:tcPr>
          <w:p w14:paraId="1CCC9D1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15,305</w:t>
            </w:r>
          </w:p>
        </w:tc>
        <w:tc>
          <w:tcPr>
            <w:tcW w:w="887" w:type="dxa"/>
            <w:tcBorders>
              <w:top w:val="nil"/>
              <w:left w:val="single" w:sz="4" w:space="0" w:color="auto"/>
              <w:bottom w:val="nil"/>
              <w:right w:val="single" w:sz="4" w:space="0" w:color="auto"/>
            </w:tcBorders>
            <w:shd w:val="clear" w:color="auto" w:fill="auto"/>
            <w:vAlign w:val="center"/>
            <w:hideMark/>
          </w:tcPr>
          <w:p w14:paraId="70B4194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80</w:t>
            </w:r>
          </w:p>
        </w:tc>
        <w:tc>
          <w:tcPr>
            <w:tcW w:w="1017" w:type="dxa"/>
            <w:tcBorders>
              <w:top w:val="nil"/>
              <w:left w:val="nil"/>
              <w:bottom w:val="nil"/>
              <w:right w:val="single" w:sz="4" w:space="0" w:color="auto"/>
            </w:tcBorders>
            <w:shd w:val="clear" w:color="auto" w:fill="auto"/>
            <w:vAlign w:val="center"/>
            <w:hideMark/>
          </w:tcPr>
          <w:p w14:paraId="483ABE6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4,284</w:t>
            </w:r>
          </w:p>
        </w:tc>
        <w:tc>
          <w:tcPr>
            <w:tcW w:w="1131" w:type="dxa"/>
            <w:tcBorders>
              <w:top w:val="nil"/>
              <w:left w:val="nil"/>
              <w:bottom w:val="nil"/>
              <w:right w:val="single" w:sz="4" w:space="0" w:color="auto"/>
            </w:tcBorders>
            <w:shd w:val="clear" w:color="auto" w:fill="auto"/>
            <w:vAlign w:val="center"/>
            <w:hideMark/>
          </w:tcPr>
          <w:p w14:paraId="10A6D713"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2,037,021</w:t>
            </w:r>
          </w:p>
        </w:tc>
        <w:tc>
          <w:tcPr>
            <w:tcW w:w="855" w:type="dxa"/>
            <w:tcBorders>
              <w:top w:val="nil"/>
              <w:left w:val="nil"/>
              <w:bottom w:val="nil"/>
              <w:right w:val="single" w:sz="4" w:space="0" w:color="auto"/>
            </w:tcBorders>
            <w:shd w:val="clear" w:color="auto" w:fill="auto"/>
            <w:vAlign w:val="center"/>
            <w:hideMark/>
          </w:tcPr>
          <w:p w14:paraId="6B95B81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19,673</w:t>
            </w:r>
          </w:p>
        </w:tc>
        <w:tc>
          <w:tcPr>
            <w:tcW w:w="804" w:type="dxa"/>
            <w:tcBorders>
              <w:top w:val="nil"/>
              <w:left w:val="nil"/>
              <w:bottom w:val="nil"/>
              <w:right w:val="single" w:sz="4" w:space="0" w:color="auto"/>
            </w:tcBorders>
            <w:shd w:val="clear" w:color="auto" w:fill="auto"/>
            <w:vAlign w:val="center"/>
            <w:hideMark/>
          </w:tcPr>
          <w:p w14:paraId="69C4091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165,364</w:t>
            </w:r>
          </w:p>
        </w:tc>
        <w:tc>
          <w:tcPr>
            <w:tcW w:w="778" w:type="dxa"/>
            <w:tcBorders>
              <w:top w:val="nil"/>
              <w:left w:val="nil"/>
              <w:bottom w:val="nil"/>
              <w:right w:val="single" w:sz="4" w:space="0" w:color="auto"/>
            </w:tcBorders>
            <w:shd w:val="clear" w:color="auto" w:fill="auto"/>
            <w:vAlign w:val="center"/>
            <w:hideMark/>
          </w:tcPr>
          <w:p w14:paraId="209CD2B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r>
      <w:tr w:rsidR="009C313D" w:rsidRPr="000521D8" w14:paraId="041347C7"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14DC0112"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Thailand Futures Exchange</w:t>
            </w:r>
          </w:p>
        </w:tc>
        <w:tc>
          <w:tcPr>
            <w:tcW w:w="1023" w:type="dxa"/>
            <w:tcBorders>
              <w:top w:val="nil"/>
              <w:left w:val="nil"/>
              <w:bottom w:val="nil"/>
              <w:right w:val="nil"/>
            </w:tcBorders>
            <w:shd w:val="clear" w:color="auto" w:fill="auto"/>
            <w:vAlign w:val="center"/>
            <w:hideMark/>
          </w:tcPr>
          <w:p w14:paraId="5721BE2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87" w:type="dxa"/>
            <w:tcBorders>
              <w:top w:val="nil"/>
              <w:left w:val="single" w:sz="4" w:space="0" w:color="auto"/>
              <w:bottom w:val="nil"/>
              <w:right w:val="single" w:sz="4" w:space="0" w:color="auto"/>
            </w:tcBorders>
            <w:shd w:val="clear" w:color="auto" w:fill="auto"/>
            <w:vAlign w:val="center"/>
            <w:hideMark/>
          </w:tcPr>
          <w:p w14:paraId="44886A8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single" w:sz="4" w:space="0" w:color="auto"/>
            </w:tcBorders>
            <w:shd w:val="clear" w:color="auto" w:fill="auto"/>
            <w:vAlign w:val="center"/>
            <w:hideMark/>
          </w:tcPr>
          <w:p w14:paraId="406BBC1F"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131" w:type="dxa"/>
            <w:tcBorders>
              <w:top w:val="nil"/>
              <w:left w:val="nil"/>
              <w:bottom w:val="nil"/>
              <w:right w:val="single" w:sz="4" w:space="0" w:color="auto"/>
            </w:tcBorders>
            <w:shd w:val="clear" w:color="auto" w:fill="auto"/>
            <w:vAlign w:val="center"/>
            <w:hideMark/>
          </w:tcPr>
          <w:p w14:paraId="001CCD8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3349462</w:t>
            </w:r>
          </w:p>
        </w:tc>
        <w:tc>
          <w:tcPr>
            <w:tcW w:w="855" w:type="dxa"/>
            <w:tcBorders>
              <w:top w:val="nil"/>
              <w:left w:val="nil"/>
              <w:bottom w:val="nil"/>
              <w:right w:val="single" w:sz="4" w:space="0" w:color="auto"/>
            </w:tcBorders>
            <w:shd w:val="clear" w:color="auto" w:fill="auto"/>
            <w:vAlign w:val="center"/>
            <w:hideMark/>
          </w:tcPr>
          <w:p w14:paraId="6C0471F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04" w:type="dxa"/>
            <w:tcBorders>
              <w:top w:val="nil"/>
              <w:left w:val="nil"/>
              <w:bottom w:val="nil"/>
              <w:right w:val="single" w:sz="4" w:space="0" w:color="auto"/>
            </w:tcBorders>
            <w:shd w:val="clear" w:color="auto" w:fill="auto"/>
            <w:vAlign w:val="center"/>
            <w:hideMark/>
          </w:tcPr>
          <w:p w14:paraId="019572C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2115980</w:t>
            </w:r>
          </w:p>
        </w:tc>
        <w:tc>
          <w:tcPr>
            <w:tcW w:w="778" w:type="dxa"/>
            <w:tcBorders>
              <w:top w:val="nil"/>
              <w:left w:val="nil"/>
              <w:bottom w:val="nil"/>
              <w:right w:val="single" w:sz="4" w:space="0" w:color="auto"/>
            </w:tcBorders>
            <w:shd w:val="clear" w:color="auto" w:fill="auto"/>
            <w:vAlign w:val="center"/>
            <w:hideMark/>
          </w:tcPr>
          <w:p w14:paraId="5D61980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540E9CCD" w14:textId="77777777" w:rsidTr="00560A50">
        <w:trPr>
          <w:trHeight w:val="53"/>
          <w:jc w:val="center"/>
        </w:trPr>
        <w:tc>
          <w:tcPr>
            <w:tcW w:w="296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72B55171"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 xml:space="preserve">Total </w:t>
            </w:r>
            <w:r>
              <w:rPr>
                <w:rFonts w:ascii="Garamond" w:eastAsia="Times New Roman" w:hAnsi="Garamond" w:cs="Calibri"/>
                <w:b/>
                <w:bCs/>
                <w:color w:val="000000"/>
                <w:sz w:val="18"/>
                <w:szCs w:val="18"/>
                <w:lang w:eastAsia="en-GB"/>
              </w:rPr>
              <w:t>R</w:t>
            </w:r>
            <w:r w:rsidRPr="000521D8">
              <w:rPr>
                <w:rFonts w:ascii="Garamond" w:eastAsia="Times New Roman" w:hAnsi="Garamond" w:cs="Calibri"/>
                <w:b/>
                <w:bCs/>
                <w:color w:val="000000"/>
                <w:sz w:val="18"/>
                <w:szCs w:val="18"/>
                <w:lang w:eastAsia="en-GB"/>
              </w:rPr>
              <w:t>egion</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31024613" w14:textId="77777777" w:rsidR="009C313D" w:rsidRPr="000521D8" w:rsidRDefault="009C313D" w:rsidP="00560A50">
            <w:pPr>
              <w:jc w:val="right"/>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36,531,742</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3F4721A4" w14:textId="77777777" w:rsidR="009C313D" w:rsidRPr="000521D8" w:rsidRDefault="009C313D" w:rsidP="00560A50">
            <w:pPr>
              <w:rPr>
                <w:rFonts w:ascii="Garamond" w:eastAsia="Times New Roman" w:hAnsi="Garamond" w:cs="Calibri"/>
                <w:b/>
                <w:bCs/>
                <w:color w:val="000000"/>
                <w:sz w:val="18"/>
                <w:szCs w:val="18"/>
                <w:lang w:eastAsia="en-GB"/>
              </w:rPr>
            </w:pP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6E26925" w14:textId="77777777" w:rsidR="009C313D" w:rsidRPr="000521D8" w:rsidRDefault="009C313D" w:rsidP="00560A50">
            <w:pPr>
              <w:rPr>
                <w:rFonts w:ascii="Garamond" w:eastAsia="Times New Roman" w:hAnsi="Garamond" w:cs="Calibri"/>
                <w:b/>
                <w:bCs/>
                <w:color w:val="000000"/>
                <w:sz w:val="18"/>
                <w:szCs w:val="18"/>
                <w:lang w:eastAsia="en-GB"/>
              </w:rPr>
            </w:pP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56E87EBE" w14:textId="77777777" w:rsidR="009C313D" w:rsidRPr="000521D8" w:rsidRDefault="009C313D" w:rsidP="00560A50">
            <w:pPr>
              <w:jc w:val="right"/>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71287293</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305311BF" w14:textId="77777777" w:rsidR="009C313D" w:rsidRPr="000521D8" w:rsidRDefault="009C313D" w:rsidP="00560A50">
            <w:pPr>
              <w:rPr>
                <w:rFonts w:ascii="Garamond" w:eastAsia="Times New Roman" w:hAnsi="Garamond" w:cs="Calibri"/>
                <w:b/>
                <w:bCs/>
                <w:color w:val="000000"/>
                <w:sz w:val="18"/>
                <w:szCs w:val="18"/>
                <w:lang w:eastAsia="en-GB"/>
              </w:rPr>
            </w:pP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7DDC943D" w14:textId="77777777" w:rsidR="009C313D" w:rsidRPr="000521D8" w:rsidRDefault="009C313D" w:rsidP="00560A50">
            <w:pPr>
              <w:rPr>
                <w:rFonts w:ascii="Garamond" w:eastAsia="Times New Roman" w:hAnsi="Garamond" w:cs="Calibri"/>
                <w:b/>
                <w:bCs/>
                <w:color w:val="000000"/>
                <w:sz w:val="18"/>
                <w:szCs w:val="18"/>
                <w:lang w:eastAsia="en-GB"/>
              </w:rPr>
            </w:pP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122FEFC9" w14:textId="77777777" w:rsidR="009C313D" w:rsidRPr="000521D8" w:rsidRDefault="009C313D" w:rsidP="00560A50">
            <w:pPr>
              <w:rPr>
                <w:rFonts w:ascii="Garamond" w:eastAsia="Times New Roman" w:hAnsi="Garamond" w:cs="Calibri"/>
                <w:b/>
                <w:bCs/>
                <w:color w:val="000000"/>
                <w:sz w:val="18"/>
                <w:szCs w:val="18"/>
                <w:lang w:eastAsia="en-GB"/>
              </w:rPr>
            </w:pPr>
          </w:p>
        </w:tc>
      </w:tr>
      <w:tr w:rsidR="009C313D" w:rsidRPr="000521D8" w14:paraId="225C4546" w14:textId="77777777" w:rsidTr="00560A50">
        <w:trPr>
          <w:trHeight w:val="53"/>
          <w:jc w:val="center"/>
        </w:trPr>
        <w:tc>
          <w:tcPr>
            <w:tcW w:w="9460" w:type="dxa"/>
            <w:gridSpan w:val="8"/>
            <w:tcBorders>
              <w:top w:val="single" w:sz="4" w:space="0" w:color="auto"/>
              <w:left w:val="single" w:sz="4" w:space="0" w:color="auto"/>
              <w:bottom w:val="single" w:sz="4" w:space="0" w:color="auto"/>
              <w:right w:val="single" w:sz="4" w:space="0" w:color="000000"/>
            </w:tcBorders>
            <w:shd w:val="clear" w:color="000000" w:fill="D9E1F2"/>
            <w:vAlign w:val="center"/>
            <w:hideMark/>
          </w:tcPr>
          <w:p w14:paraId="4FA259CF"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Europe - Africa - Middle East</w:t>
            </w:r>
          </w:p>
        </w:tc>
      </w:tr>
      <w:tr w:rsidR="009C313D" w:rsidRPr="000521D8" w14:paraId="7A3DE8B6" w14:textId="77777777" w:rsidTr="00560A50">
        <w:trPr>
          <w:trHeight w:val="251"/>
          <w:jc w:val="center"/>
        </w:trPr>
        <w:tc>
          <w:tcPr>
            <w:tcW w:w="2965" w:type="dxa"/>
            <w:tcBorders>
              <w:top w:val="nil"/>
              <w:left w:val="single" w:sz="4" w:space="0" w:color="auto"/>
              <w:bottom w:val="nil"/>
              <w:right w:val="nil"/>
            </w:tcBorders>
            <w:shd w:val="clear" w:color="000000" w:fill="B4C6E7"/>
            <w:vAlign w:val="center"/>
            <w:hideMark/>
          </w:tcPr>
          <w:p w14:paraId="48DA578F"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Athens Derivatives Exchange</w:t>
            </w:r>
          </w:p>
        </w:tc>
        <w:tc>
          <w:tcPr>
            <w:tcW w:w="1023" w:type="dxa"/>
            <w:tcBorders>
              <w:top w:val="nil"/>
              <w:left w:val="single" w:sz="4" w:space="0" w:color="auto"/>
              <w:bottom w:val="nil"/>
              <w:right w:val="single" w:sz="4" w:space="0" w:color="auto"/>
            </w:tcBorders>
            <w:shd w:val="clear" w:color="auto" w:fill="auto"/>
            <w:vAlign w:val="center"/>
            <w:hideMark/>
          </w:tcPr>
          <w:p w14:paraId="7B5DED93"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360</w:t>
            </w:r>
          </w:p>
        </w:tc>
        <w:tc>
          <w:tcPr>
            <w:tcW w:w="887" w:type="dxa"/>
            <w:tcBorders>
              <w:top w:val="nil"/>
              <w:left w:val="nil"/>
              <w:bottom w:val="nil"/>
              <w:right w:val="single" w:sz="4" w:space="0" w:color="auto"/>
            </w:tcBorders>
            <w:shd w:val="clear" w:color="auto" w:fill="auto"/>
            <w:vAlign w:val="center"/>
            <w:hideMark/>
          </w:tcPr>
          <w:p w14:paraId="5D701E6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0</w:t>
            </w:r>
          </w:p>
        </w:tc>
        <w:tc>
          <w:tcPr>
            <w:tcW w:w="1017" w:type="dxa"/>
            <w:tcBorders>
              <w:top w:val="nil"/>
              <w:left w:val="nil"/>
              <w:bottom w:val="nil"/>
              <w:right w:val="single" w:sz="4" w:space="0" w:color="auto"/>
            </w:tcBorders>
            <w:shd w:val="clear" w:color="auto" w:fill="auto"/>
            <w:vAlign w:val="center"/>
            <w:hideMark/>
          </w:tcPr>
          <w:p w14:paraId="314C4FE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795</w:t>
            </w:r>
          </w:p>
        </w:tc>
        <w:tc>
          <w:tcPr>
            <w:tcW w:w="1131" w:type="dxa"/>
            <w:tcBorders>
              <w:top w:val="nil"/>
              <w:left w:val="nil"/>
              <w:bottom w:val="nil"/>
              <w:right w:val="single" w:sz="4" w:space="0" w:color="auto"/>
            </w:tcBorders>
            <w:shd w:val="clear" w:color="auto" w:fill="auto"/>
            <w:vAlign w:val="center"/>
            <w:hideMark/>
          </w:tcPr>
          <w:p w14:paraId="57A1567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558,666</w:t>
            </w:r>
          </w:p>
        </w:tc>
        <w:tc>
          <w:tcPr>
            <w:tcW w:w="855" w:type="dxa"/>
            <w:tcBorders>
              <w:top w:val="nil"/>
              <w:left w:val="nil"/>
              <w:bottom w:val="nil"/>
              <w:right w:val="single" w:sz="4" w:space="0" w:color="auto"/>
            </w:tcBorders>
            <w:shd w:val="clear" w:color="auto" w:fill="auto"/>
            <w:vAlign w:val="center"/>
            <w:hideMark/>
          </w:tcPr>
          <w:p w14:paraId="637FB48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86</w:t>
            </w:r>
          </w:p>
        </w:tc>
        <w:tc>
          <w:tcPr>
            <w:tcW w:w="804" w:type="dxa"/>
            <w:tcBorders>
              <w:top w:val="nil"/>
              <w:left w:val="nil"/>
              <w:bottom w:val="nil"/>
              <w:right w:val="single" w:sz="4" w:space="0" w:color="auto"/>
            </w:tcBorders>
            <w:shd w:val="clear" w:color="auto" w:fill="auto"/>
            <w:vAlign w:val="center"/>
            <w:hideMark/>
          </w:tcPr>
          <w:p w14:paraId="353D84F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413,250</w:t>
            </w:r>
          </w:p>
        </w:tc>
        <w:tc>
          <w:tcPr>
            <w:tcW w:w="778" w:type="dxa"/>
            <w:tcBorders>
              <w:top w:val="nil"/>
              <w:left w:val="nil"/>
              <w:bottom w:val="nil"/>
              <w:right w:val="single" w:sz="4" w:space="0" w:color="auto"/>
            </w:tcBorders>
            <w:shd w:val="clear" w:color="auto" w:fill="auto"/>
            <w:vAlign w:val="center"/>
            <w:hideMark/>
          </w:tcPr>
          <w:p w14:paraId="142212F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35540305" w14:textId="77777777" w:rsidTr="00560A50">
        <w:trPr>
          <w:trHeight w:val="63"/>
          <w:jc w:val="center"/>
        </w:trPr>
        <w:tc>
          <w:tcPr>
            <w:tcW w:w="2965" w:type="dxa"/>
            <w:tcBorders>
              <w:top w:val="nil"/>
              <w:left w:val="single" w:sz="4" w:space="0" w:color="auto"/>
              <w:bottom w:val="nil"/>
              <w:right w:val="nil"/>
            </w:tcBorders>
            <w:shd w:val="clear" w:color="000000" w:fill="B4C6E7"/>
            <w:vAlign w:val="center"/>
            <w:hideMark/>
          </w:tcPr>
          <w:p w14:paraId="341598A9"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BME Spanish Exchanges</w:t>
            </w:r>
          </w:p>
        </w:tc>
        <w:tc>
          <w:tcPr>
            <w:tcW w:w="1023" w:type="dxa"/>
            <w:tcBorders>
              <w:top w:val="nil"/>
              <w:left w:val="single" w:sz="4" w:space="0" w:color="auto"/>
              <w:bottom w:val="nil"/>
              <w:right w:val="single" w:sz="4" w:space="0" w:color="auto"/>
            </w:tcBorders>
            <w:shd w:val="clear" w:color="auto" w:fill="auto"/>
            <w:vAlign w:val="center"/>
            <w:hideMark/>
          </w:tcPr>
          <w:p w14:paraId="3B8E5FB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818,250</w:t>
            </w:r>
          </w:p>
        </w:tc>
        <w:tc>
          <w:tcPr>
            <w:tcW w:w="887" w:type="dxa"/>
            <w:tcBorders>
              <w:top w:val="nil"/>
              <w:left w:val="nil"/>
              <w:bottom w:val="nil"/>
              <w:right w:val="single" w:sz="4" w:space="0" w:color="auto"/>
            </w:tcBorders>
            <w:shd w:val="clear" w:color="auto" w:fill="auto"/>
            <w:vAlign w:val="center"/>
            <w:hideMark/>
          </w:tcPr>
          <w:p w14:paraId="5FF9CA0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839</w:t>
            </w:r>
          </w:p>
        </w:tc>
        <w:tc>
          <w:tcPr>
            <w:tcW w:w="1017" w:type="dxa"/>
            <w:tcBorders>
              <w:top w:val="nil"/>
              <w:left w:val="nil"/>
              <w:bottom w:val="nil"/>
              <w:right w:val="single" w:sz="4" w:space="0" w:color="auto"/>
            </w:tcBorders>
            <w:shd w:val="clear" w:color="auto" w:fill="auto"/>
            <w:vAlign w:val="center"/>
            <w:hideMark/>
          </w:tcPr>
          <w:p w14:paraId="0CC8B91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8,603,850</w:t>
            </w:r>
          </w:p>
        </w:tc>
        <w:tc>
          <w:tcPr>
            <w:tcW w:w="1131" w:type="dxa"/>
            <w:tcBorders>
              <w:top w:val="nil"/>
              <w:left w:val="nil"/>
              <w:bottom w:val="nil"/>
              <w:right w:val="single" w:sz="4" w:space="0" w:color="auto"/>
            </w:tcBorders>
            <w:shd w:val="clear" w:color="auto" w:fill="auto"/>
            <w:vAlign w:val="center"/>
            <w:hideMark/>
          </w:tcPr>
          <w:p w14:paraId="0B70E6C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111,331</w:t>
            </w:r>
          </w:p>
        </w:tc>
        <w:tc>
          <w:tcPr>
            <w:tcW w:w="855" w:type="dxa"/>
            <w:tcBorders>
              <w:top w:val="nil"/>
              <w:left w:val="nil"/>
              <w:bottom w:val="nil"/>
              <w:right w:val="single" w:sz="4" w:space="0" w:color="auto"/>
            </w:tcBorders>
            <w:shd w:val="clear" w:color="auto" w:fill="auto"/>
            <w:vAlign w:val="center"/>
            <w:hideMark/>
          </w:tcPr>
          <w:p w14:paraId="0551D76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80</w:t>
            </w:r>
          </w:p>
        </w:tc>
        <w:tc>
          <w:tcPr>
            <w:tcW w:w="804" w:type="dxa"/>
            <w:tcBorders>
              <w:top w:val="nil"/>
              <w:left w:val="nil"/>
              <w:bottom w:val="nil"/>
              <w:right w:val="single" w:sz="4" w:space="0" w:color="auto"/>
            </w:tcBorders>
            <w:shd w:val="clear" w:color="auto" w:fill="auto"/>
            <w:vAlign w:val="center"/>
            <w:hideMark/>
          </w:tcPr>
          <w:p w14:paraId="2FC0667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1,165,430</w:t>
            </w:r>
          </w:p>
        </w:tc>
        <w:tc>
          <w:tcPr>
            <w:tcW w:w="778" w:type="dxa"/>
            <w:tcBorders>
              <w:top w:val="nil"/>
              <w:left w:val="nil"/>
              <w:bottom w:val="nil"/>
              <w:right w:val="single" w:sz="4" w:space="0" w:color="auto"/>
            </w:tcBorders>
            <w:shd w:val="clear" w:color="auto" w:fill="auto"/>
            <w:vAlign w:val="center"/>
            <w:hideMark/>
          </w:tcPr>
          <w:p w14:paraId="03281FA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758152F0" w14:textId="77777777" w:rsidTr="00560A50">
        <w:trPr>
          <w:trHeight w:val="63"/>
          <w:jc w:val="center"/>
        </w:trPr>
        <w:tc>
          <w:tcPr>
            <w:tcW w:w="2965" w:type="dxa"/>
            <w:tcBorders>
              <w:top w:val="nil"/>
              <w:left w:val="single" w:sz="4" w:space="0" w:color="auto"/>
              <w:bottom w:val="nil"/>
              <w:right w:val="nil"/>
            </w:tcBorders>
            <w:shd w:val="clear" w:color="000000" w:fill="B4C6E7"/>
            <w:vAlign w:val="center"/>
            <w:hideMark/>
          </w:tcPr>
          <w:p w14:paraId="7304A21E"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Borsa Istanbul</w:t>
            </w:r>
          </w:p>
        </w:tc>
        <w:tc>
          <w:tcPr>
            <w:tcW w:w="1023" w:type="dxa"/>
            <w:tcBorders>
              <w:top w:val="nil"/>
              <w:left w:val="single" w:sz="4" w:space="0" w:color="auto"/>
              <w:bottom w:val="nil"/>
              <w:right w:val="single" w:sz="4" w:space="0" w:color="auto"/>
            </w:tcBorders>
            <w:shd w:val="clear" w:color="auto" w:fill="auto"/>
            <w:vAlign w:val="center"/>
            <w:hideMark/>
          </w:tcPr>
          <w:p w14:paraId="13CC5EC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133,570</w:t>
            </w:r>
          </w:p>
        </w:tc>
        <w:tc>
          <w:tcPr>
            <w:tcW w:w="887" w:type="dxa"/>
            <w:tcBorders>
              <w:top w:val="nil"/>
              <w:left w:val="nil"/>
              <w:bottom w:val="nil"/>
              <w:right w:val="single" w:sz="4" w:space="0" w:color="auto"/>
            </w:tcBorders>
            <w:shd w:val="clear" w:color="auto" w:fill="auto"/>
            <w:vAlign w:val="center"/>
            <w:hideMark/>
          </w:tcPr>
          <w:p w14:paraId="225D825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18</w:t>
            </w:r>
          </w:p>
        </w:tc>
        <w:tc>
          <w:tcPr>
            <w:tcW w:w="1017" w:type="dxa"/>
            <w:tcBorders>
              <w:top w:val="nil"/>
              <w:left w:val="nil"/>
              <w:bottom w:val="nil"/>
              <w:right w:val="single" w:sz="4" w:space="0" w:color="auto"/>
            </w:tcBorders>
            <w:shd w:val="clear" w:color="auto" w:fill="auto"/>
            <w:vAlign w:val="center"/>
            <w:hideMark/>
          </w:tcPr>
          <w:p w14:paraId="785F03D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221,521</w:t>
            </w:r>
          </w:p>
        </w:tc>
        <w:tc>
          <w:tcPr>
            <w:tcW w:w="1131" w:type="dxa"/>
            <w:tcBorders>
              <w:top w:val="nil"/>
              <w:left w:val="nil"/>
              <w:bottom w:val="nil"/>
              <w:right w:val="single" w:sz="4" w:space="0" w:color="auto"/>
            </w:tcBorders>
            <w:shd w:val="clear" w:color="auto" w:fill="auto"/>
            <w:vAlign w:val="center"/>
            <w:hideMark/>
          </w:tcPr>
          <w:p w14:paraId="7023826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4,141,774</w:t>
            </w:r>
          </w:p>
        </w:tc>
        <w:tc>
          <w:tcPr>
            <w:tcW w:w="855" w:type="dxa"/>
            <w:tcBorders>
              <w:top w:val="nil"/>
              <w:left w:val="nil"/>
              <w:bottom w:val="nil"/>
              <w:right w:val="single" w:sz="4" w:space="0" w:color="auto"/>
            </w:tcBorders>
            <w:shd w:val="clear" w:color="auto" w:fill="auto"/>
            <w:vAlign w:val="center"/>
            <w:hideMark/>
          </w:tcPr>
          <w:p w14:paraId="1D4EC34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567</w:t>
            </w:r>
          </w:p>
        </w:tc>
        <w:tc>
          <w:tcPr>
            <w:tcW w:w="804" w:type="dxa"/>
            <w:tcBorders>
              <w:top w:val="nil"/>
              <w:left w:val="nil"/>
              <w:bottom w:val="nil"/>
              <w:right w:val="single" w:sz="4" w:space="0" w:color="auto"/>
            </w:tcBorders>
            <w:shd w:val="clear" w:color="auto" w:fill="auto"/>
            <w:vAlign w:val="center"/>
            <w:hideMark/>
          </w:tcPr>
          <w:p w14:paraId="71A51E4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383,706</w:t>
            </w:r>
          </w:p>
        </w:tc>
        <w:tc>
          <w:tcPr>
            <w:tcW w:w="778" w:type="dxa"/>
            <w:tcBorders>
              <w:top w:val="nil"/>
              <w:left w:val="nil"/>
              <w:bottom w:val="nil"/>
              <w:right w:val="single" w:sz="4" w:space="0" w:color="auto"/>
            </w:tcBorders>
            <w:shd w:val="clear" w:color="auto" w:fill="auto"/>
            <w:vAlign w:val="center"/>
            <w:hideMark/>
          </w:tcPr>
          <w:p w14:paraId="6687743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18</w:t>
            </w:r>
          </w:p>
        </w:tc>
      </w:tr>
      <w:tr w:rsidR="009C313D" w:rsidRPr="000521D8" w14:paraId="5D03DD94" w14:textId="77777777" w:rsidTr="00560A50">
        <w:trPr>
          <w:trHeight w:val="63"/>
          <w:jc w:val="center"/>
        </w:trPr>
        <w:tc>
          <w:tcPr>
            <w:tcW w:w="2965" w:type="dxa"/>
            <w:tcBorders>
              <w:top w:val="nil"/>
              <w:left w:val="single" w:sz="4" w:space="0" w:color="auto"/>
              <w:bottom w:val="nil"/>
              <w:right w:val="nil"/>
            </w:tcBorders>
            <w:shd w:val="clear" w:color="000000" w:fill="B4C6E7"/>
            <w:vAlign w:val="center"/>
            <w:hideMark/>
          </w:tcPr>
          <w:p w14:paraId="7D57CAE7"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Budapest Stock Exchange</w:t>
            </w:r>
          </w:p>
        </w:tc>
        <w:tc>
          <w:tcPr>
            <w:tcW w:w="1023" w:type="dxa"/>
            <w:tcBorders>
              <w:top w:val="nil"/>
              <w:left w:val="single" w:sz="4" w:space="0" w:color="auto"/>
              <w:bottom w:val="nil"/>
              <w:right w:val="single" w:sz="4" w:space="0" w:color="auto"/>
            </w:tcBorders>
            <w:shd w:val="clear" w:color="auto" w:fill="auto"/>
            <w:vAlign w:val="center"/>
            <w:hideMark/>
          </w:tcPr>
          <w:p w14:paraId="2C0FFAB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887" w:type="dxa"/>
            <w:tcBorders>
              <w:top w:val="nil"/>
              <w:left w:val="nil"/>
              <w:bottom w:val="nil"/>
              <w:right w:val="single" w:sz="4" w:space="0" w:color="auto"/>
            </w:tcBorders>
            <w:shd w:val="clear" w:color="auto" w:fill="auto"/>
            <w:vAlign w:val="center"/>
            <w:hideMark/>
          </w:tcPr>
          <w:p w14:paraId="7C12805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1017" w:type="dxa"/>
            <w:tcBorders>
              <w:top w:val="nil"/>
              <w:left w:val="nil"/>
              <w:bottom w:val="nil"/>
              <w:right w:val="single" w:sz="4" w:space="0" w:color="auto"/>
            </w:tcBorders>
            <w:shd w:val="clear" w:color="auto" w:fill="auto"/>
            <w:vAlign w:val="center"/>
            <w:hideMark/>
          </w:tcPr>
          <w:p w14:paraId="6CD19FF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1131" w:type="dxa"/>
            <w:tcBorders>
              <w:top w:val="nil"/>
              <w:left w:val="nil"/>
              <w:bottom w:val="nil"/>
              <w:right w:val="single" w:sz="4" w:space="0" w:color="auto"/>
            </w:tcBorders>
            <w:shd w:val="clear" w:color="auto" w:fill="auto"/>
            <w:vAlign w:val="center"/>
            <w:hideMark/>
          </w:tcPr>
          <w:p w14:paraId="40F24FA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10,978</w:t>
            </w:r>
          </w:p>
        </w:tc>
        <w:tc>
          <w:tcPr>
            <w:tcW w:w="855" w:type="dxa"/>
            <w:tcBorders>
              <w:top w:val="nil"/>
              <w:left w:val="nil"/>
              <w:bottom w:val="nil"/>
              <w:right w:val="single" w:sz="4" w:space="0" w:color="auto"/>
            </w:tcBorders>
            <w:shd w:val="clear" w:color="auto" w:fill="auto"/>
            <w:vAlign w:val="center"/>
            <w:hideMark/>
          </w:tcPr>
          <w:p w14:paraId="2AE65E7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69</w:t>
            </w:r>
          </w:p>
        </w:tc>
        <w:tc>
          <w:tcPr>
            <w:tcW w:w="804" w:type="dxa"/>
            <w:tcBorders>
              <w:top w:val="nil"/>
              <w:left w:val="nil"/>
              <w:bottom w:val="nil"/>
              <w:right w:val="single" w:sz="4" w:space="0" w:color="auto"/>
            </w:tcBorders>
            <w:shd w:val="clear" w:color="auto" w:fill="auto"/>
            <w:vAlign w:val="center"/>
            <w:hideMark/>
          </w:tcPr>
          <w:p w14:paraId="62C28F7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6,685</w:t>
            </w:r>
          </w:p>
        </w:tc>
        <w:tc>
          <w:tcPr>
            <w:tcW w:w="778" w:type="dxa"/>
            <w:tcBorders>
              <w:top w:val="nil"/>
              <w:left w:val="nil"/>
              <w:bottom w:val="nil"/>
              <w:right w:val="single" w:sz="4" w:space="0" w:color="auto"/>
            </w:tcBorders>
            <w:shd w:val="clear" w:color="auto" w:fill="auto"/>
            <w:vAlign w:val="center"/>
            <w:hideMark/>
          </w:tcPr>
          <w:p w14:paraId="5D067D5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5D9B3D02" w14:textId="77777777" w:rsidTr="00560A50">
        <w:trPr>
          <w:trHeight w:val="251"/>
          <w:jc w:val="center"/>
        </w:trPr>
        <w:tc>
          <w:tcPr>
            <w:tcW w:w="2965" w:type="dxa"/>
            <w:tcBorders>
              <w:top w:val="nil"/>
              <w:left w:val="single" w:sz="4" w:space="0" w:color="auto"/>
              <w:bottom w:val="nil"/>
              <w:right w:val="nil"/>
            </w:tcBorders>
            <w:shd w:val="clear" w:color="000000" w:fill="B4C6E7"/>
            <w:vAlign w:val="center"/>
            <w:hideMark/>
          </w:tcPr>
          <w:p w14:paraId="78586894"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Dubai Gold &amp; Commodities Exchange</w:t>
            </w:r>
          </w:p>
        </w:tc>
        <w:tc>
          <w:tcPr>
            <w:tcW w:w="1023" w:type="dxa"/>
            <w:tcBorders>
              <w:top w:val="nil"/>
              <w:left w:val="single" w:sz="4" w:space="0" w:color="auto"/>
              <w:bottom w:val="nil"/>
              <w:right w:val="single" w:sz="4" w:space="0" w:color="auto"/>
            </w:tcBorders>
            <w:shd w:val="clear" w:color="auto" w:fill="auto"/>
            <w:vAlign w:val="center"/>
            <w:hideMark/>
          </w:tcPr>
          <w:p w14:paraId="72B0F29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87" w:type="dxa"/>
            <w:tcBorders>
              <w:top w:val="nil"/>
              <w:left w:val="nil"/>
              <w:bottom w:val="nil"/>
              <w:right w:val="single" w:sz="4" w:space="0" w:color="auto"/>
            </w:tcBorders>
            <w:shd w:val="clear" w:color="auto" w:fill="auto"/>
            <w:vAlign w:val="center"/>
            <w:hideMark/>
          </w:tcPr>
          <w:p w14:paraId="0957A2B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017" w:type="dxa"/>
            <w:tcBorders>
              <w:top w:val="nil"/>
              <w:left w:val="nil"/>
              <w:bottom w:val="nil"/>
              <w:right w:val="single" w:sz="4" w:space="0" w:color="auto"/>
            </w:tcBorders>
            <w:shd w:val="clear" w:color="auto" w:fill="auto"/>
            <w:vAlign w:val="center"/>
            <w:hideMark/>
          </w:tcPr>
          <w:p w14:paraId="020AE75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131" w:type="dxa"/>
            <w:tcBorders>
              <w:top w:val="nil"/>
              <w:left w:val="nil"/>
              <w:bottom w:val="nil"/>
              <w:right w:val="single" w:sz="4" w:space="0" w:color="auto"/>
            </w:tcBorders>
            <w:shd w:val="clear" w:color="auto" w:fill="auto"/>
            <w:vAlign w:val="center"/>
            <w:hideMark/>
          </w:tcPr>
          <w:p w14:paraId="775963F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233,772</w:t>
            </w:r>
          </w:p>
        </w:tc>
        <w:tc>
          <w:tcPr>
            <w:tcW w:w="855" w:type="dxa"/>
            <w:tcBorders>
              <w:top w:val="nil"/>
              <w:left w:val="nil"/>
              <w:bottom w:val="nil"/>
              <w:right w:val="single" w:sz="4" w:space="0" w:color="auto"/>
            </w:tcBorders>
            <w:shd w:val="clear" w:color="auto" w:fill="auto"/>
            <w:vAlign w:val="center"/>
            <w:hideMark/>
          </w:tcPr>
          <w:p w14:paraId="3B5D14D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375</w:t>
            </w:r>
          </w:p>
        </w:tc>
        <w:tc>
          <w:tcPr>
            <w:tcW w:w="804" w:type="dxa"/>
            <w:tcBorders>
              <w:top w:val="nil"/>
              <w:left w:val="nil"/>
              <w:bottom w:val="nil"/>
              <w:right w:val="single" w:sz="4" w:space="0" w:color="auto"/>
            </w:tcBorders>
            <w:shd w:val="clear" w:color="auto" w:fill="auto"/>
            <w:vAlign w:val="center"/>
            <w:hideMark/>
          </w:tcPr>
          <w:p w14:paraId="7CF61EC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588</w:t>
            </w:r>
          </w:p>
        </w:tc>
        <w:tc>
          <w:tcPr>
            <w:tcW w:w="778" w:type="dxa"/>
            <w:tcBorders>
              <w:top w:val="nil"/>
              <w:left w:val="nil"/>
              <w:bottom w:val="nil"/>
              <w:right w:val="single" w:sz="4" w:space="0" w:color="auto"/>
            </w:tcBorders>
            <w:shd w:val="clear" w:color="auto" w:fill="auto"/>
            <w:vAlign w:val="center"/>
            <w:hideMark/>
          </w:tcPr>
          <w:p w14:paraId="09069BFF"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354885D8" w14:textId="77777777" w:rsidTr="00560A50">
        <w:trPr>
          <w:trHeight w:val="63"/>
          <w:jc w:val="center"/>
        </w:trPr>
        <w:tc>
          <w:tcPr>
            <w:tcW w:w="2965" w:type="dxa"/>
            <w:tcBorders>
              <w:top w:val="nil"/>
              <w:left w:val="single" w:sz="4" w:space="0" w:color="auto"/>
              <w:bottom w:val="nil"/>
              <w:right w:val="nil"/>
            </w:tcBorders>
            <w:shd w:val="clear" w:color="000000" w:fill="B4C6E7"/>
            <w:vAlign w:val="center"/>
            <w:hideMark/>
          </w:tcPr>
          <w:p w14:paraId="2780587C"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EUREX</w:t>
            </w:r>
          </w:p>
        </w:tc>
        <w:tc>
          <w:tcPr>
            <w:tcW w:w="1023" w:type="dxa"/>
            <w:tcBorders>
              <w:top w:val="nil"/>
              <w:left w:val="single" w:sz="4" w:space="0" w:color="auto"/>
              <w:bottom w:val="nil"/>
              <w:right w:val="single" w:sz="4" w:space="0" w:color="auto"/>
            </w:tcBorders>
            <w:shd w:val="clear" w:color="auto" w:fill="auto"/>
            <w:vAlign w:val="center"/>
            <w:hideMark/>
          </w:tcPr>
          <w:p w14:paraId="01CF4FF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c>
          <w:tcPr>
            <w:tcW w:w="887" w:type="dxa"/>
            <w:tcBorders>
              <w:top w:val="nil"/>
              <w:left w:val="nil"/>
              <w:bottom w:val="nil"/>
              <w:right w:val="single" w:sz="4" w:space="0" w:color="auto"/>
            </w:tcBorders>
            <w:shd w:val="clear" w:color="auto" w:fill="auto"/>
            <w:vAlign w:val="center"/>
            <w:hideMark/>
          </w:tcPr>
          <w:p w14:paraId="093B4BB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15,749,300</w:t>
            </w:r>
          </w:p>
        </w:tc>
        <w:tc>
          <w:tcPr>
            <w:tcW w:w="1017" w:type="dxa"/>
            <w:tcBorders>
              <w:top w:val="nil"/>
              <w:left w:val="nil"/>
              <w:bottom w:val="nil"/>
              <w:right w:val="single" w:sz="4" w:space="0" w:color="auto"/>
            </w:tcBorders>
            <w:shd w:val="clear" w:color="auto" w:fill="auto"/>
            <w:vAlign w:val="center"/>
            <w:hideMark/>
          </w:tcPr>
          <w:p w14:paraId="42D4599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61,956</w:t>
            </w:r>
          </w:p>
        </w:tc>
        <w:tc>
          <w:tcPr>
            <w:tcW w:w="1131" w:type="dxa"/>
            <w:tcBorders>
              <w:top w:val="nil"/>
              <w:left w:val="nil"/>
              <w:bottom w:val="nil"/>
              <w:right w:val="single" w:sz="4" w:space="0" w:color="auto"/>
            </w:tcBorders>
            <w:shd w:val="clear" w:color="auto" w:fill="auto"/>
            <w:vAlign w:val="center"/>
            <w:hideMark/>
          </w:tcPr>
          <w:p w14:paraId="677CCEF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60,599,723</w:t>
            </w:r>
          </w:p>
        </w:tc>
        <w:tc>
          <w:tcPr>
            <w:tcW w:w="855" w:type="dxa"/>
            <w:tcBorders>
              <w:top w:val="nil"/>
              <w:left w:val="nil"/>
              <w:bottom w:val="nil"/>
              <w:right w:val="single" w:sz="4" w:space="0" w:color="auto"/>
            </w:tcBorders>
            <w:shd w:val="clear" w:color="auto" w:fill="auto"/>
            <w:vAlign w:val="center"/>
            <w:hideMark/>
          </w:tcPr>
          <w:p w14:paraId="3A1D506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9,283,920</w:t>
            </w:r>
          </w:p>
        </w:tc>
        <w:tc>
          <w:tcPr>
            <w:tcW w:w="804" w:type="dxa"/>
            <w:tcBorders>
              <w:top w:val="nil"/>
              <w:left w:val="nil"/>
              <w:bottom w:val="nil"/>
              <w:right w:val="single" w:sz="4" w:space="0" w:color="auto"/>
            </w:tcBorders>
            <w:shd w:val="clear" w:color="auto" w:fill="auto"/>
            <w:vAlign w:val="center"/>
            <w:hideMark/>
          </w:tcPr>
          <w:p w14:paraId="11A20B0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13,259</w:t>
            </w:r>
          </w:p>
        </w:tc>
        <w:tc>
          <w:tcPr>
            <w:tcW w:w="778" w:type="dxa"/>
            <w:tcBorders>
              <w:top w:val="nil"/>
              <w:left w:val="nil"/>
              <w:bottom w:val="nil"/>
              <w:right w:val="single" w:sz="4" w:space="0" w:color="auto"/>
            </w:tcBorders>
            <w:shd w:val="clear" w:color="auto" w:fill="auto"/>
            <w:vAlign w:val="center"/>
            <w:hideMark/>
          </w:tcPr>
          <w:p w14:paraId="108E11A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r>
      <w:tr w:rsidR="009C313D" w:rsidRPr="000521D8" w14:paraId="05934AB5" w14:textId="77777777" w:rsidTr="00560A50">
        <w:trPr>
          <w:trHeight w:val="63"/>
          <w:jc w:val="center"/>
        </w:trPr>
        <w:tc>
          <w:tcPr>
            <w:tcW w:w="2965" w:type="dxa"/>
            <w:tcBorders>
              <w:top w:val="nil"/>
              <w:left w:val="single" w:sz="4" w:space="0" w:color="auto"/>
              <w:bottom w:val="nil"/>
              <w:right w:val="single" w:sz="4" w:space="0" w:color="auto"/>
            </w:tcBorders>
            <w:shd w:val="clear" w:color="000000" w:fill="B4C6E7"/>
            <w:vAlign w:val="center"/>
            <w:hideMark/>
          </w:tcPr>
          <w:p w14:paraId="3A437634"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Euronext</w:t>
            </w:r>
          </w:p>
        </w:tc>
        <w:tc>
          <w:tcPr>
            <w:tcW w:w="1023" w:type="dxa"/>
            <w:tcBorders>
              <w:top w:val="nil"/>
              <w:left w:val="nil"/>
              <w:bottom w:val="nil"/>
              <w:right w:val="single" w:sz="4" w:space="0" w:color="auto"/>
            </w:tcBorders>
            <w:shd w:val="clear" w:color="auto" w:fill="auto"/>
            <w:vAlign w:val="center"/>
            <w:hideMark/>
          </w:tcPr>
          <w:p w14:paraId="491A6E5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5,552,760</w:t>
            </w:r>
          </w:p>
        </w:tc>
        <w:tc>
          <w:tcPr>
            <w:tcW w:w="887" w:type="dxa"/>
            <w:tcBorders>
              <w:top w:val="nil"/>
              <w:left w:val="nil"/>
              <w:bottom w:val="nil"/>
              <w:right w:val="single" w:sz="4" w:space="0" w:color="auto"/>
            </w:tcBorders>
            <w:shd w:val="clear" w:color="auto" w:fill="auto"/>
            <w:vAlign w:val="center"/>
            <w:hideMark/>
          </w:tcPr>
          <w:p w14:paraId="160834C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21,644</w:t>
            </w:r>
          </w:p>
        </w:tc>
        <w:tc>
          <w:tcPr>
            <w:tcW w:w="1017" w:type="dxa"/>
            <w:tcBorders>
              <w:top w:val="nil"/>
              <w:left w:val="nil"/>
              <w:bottom w:val="nil"/>
              <w:right w:val="single" w:sz="4" w:space="0" w:color="auto"/>
            </w:tcBorders>
            <w:shd w:val="clear" w:color="auto" w:fill="auto"/>
            <w:vAlign w:val="center"/>
            <w:hideMark/>
          </w:tcPr>
          <w:p w14:paraId="53DDBE7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17,514,400</w:t>
            </w:r>
          </w:p>
        </w:tc>
        <w:tc>
          <w:tcPr>
            <w:tcW w:w="1131" w:type="dxa"/>
            <w:tcBorders>
              <w:top w:val="nil"/>
              <w:left w:val="nil"/>
              <w:bottom w:val="nil"/>
              <w:right w:val="single" w:sz="4" w:space="0" w:color="auto"/>
            </w:tcBorders>
            <w:shd w:val="clear" w:color="auto" w:fill="auto"/>
            <w:vAlign w:val="center"/>
            <w:hideMark/>
          </w:tcPr>
          <w:p w14:paraId="7CDFAA1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124,345</w:t>
            </w:r>
          </w:p>
        </w:tc>
        <w:tc>
          <w:tcPr>
            <w:tcW w:w="855" w:type="dxa"/>
            <w:tcBorders>
              <w:top w:val="nil"/>
              <w:left w:val="nil"/>
              <w:bottom w:val="nil"/>
              <w:right w:val="single" w:sz="4" w:space="0" w:color="auto"/>
            </w:tcBorders>
            <w:shd w:val="clear" w:color="auto" w:fill="auto"/>
            <w:vAlign w:val="center"/>
            <w:hideMark/>
          </w:tcPr>
          <w:p w14:paraId="2B8D720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430</w:t>
            </w:r>
          </w:p>
        </w:tc>
        <w:tc>
          <w:tcPr>
            <w:tcW w:w="804" w:type="dxa"/>
            <w:tcBorders>
              <w:top w:val="nil"/>
              <w:left w:val="nil"/>
              <w:bottom w:val="nil"/>
              <w:right w:val="single" w:sz="4" w:space="0" w:color="auto"/>
            </w:tcBorders>
            <w:shd w:val="clear" w:color="auto" w:fill="auto"/>
            <w:vAlign w:val="center"/>
            <w:hideMark/>
          </w:tcPr>
          <w:p w14:paraId="6C5B39A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176,279</w:t>
            </w:r>
          </w:p>
        </w:tc>
        <w:tc>
          <w:tcPr>
            <w:tcW w:w="778" w:type="dxa"/>
            <w:tcBorders>
              <w:top w:val="nil"/>
              <w:left w:val="nil"/>
              <w:bottom w:val="nil"/>
              <w:right w:val="single" w:sz="4" w:space="0" w:color="auto"/>
            </w:tcBorders>
            <w:shd w:val="clear" w:color="auto" w:fill="auto"/>
            <w:vAlign w:val="center"/>
            <w:hideMark/>
          </w:tcPr>
          <w:p w14:paraId="02BF725F"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r>
      <w:tr w:rsidR="009C313D" w:rsidRPr="000521D8" w14:paraId="1463AE42" w14:textId="77777777" w:rsidTr="00560A50">
        <w:trPr>
          <w:trHeight w:val="63"/>
          <w:jc w:val="center"/>
        </w:trPr>
        <w:tc>
          <w:tcPr>
            <w:tcW w:w="2965" w:type="dxa"/>
            <w:tcBorders>
              <w:top w:val="nil"/>
              <w:left w:val="single" w:sz="4" w:space="0" w:color="auto"/>
              <w:bottom w:val="nil"/>
              <w:right w:val="nil"/>
            </w:tcBorders>
            <w:shd w:val="clear" w:color="000000" w:fill="B4C6E7"/>
            <w:vAlign w:val="center"/>
            <w:hideMark/>
          </w:tcPr>
          <w:p w14:paraId="7EA5AAF7"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Johannesburg Stock Exchange</w:t>
            </w:r>
          </w:p>
        </w:tc>
        <w:tc>
          <w:tcPr>
            <w:tcW w:w="1023" w:type="dxa"/>
            <w:tcBorders>
              <w:top w:val="nil"/>
              <w:left w:val="single" w:sz="4" w:space="0" w:color="auto"/>
              <w:bottom w:val="nil"/>
              <w:right w:val="single" w:sz="4" w:space="0" w:color="auto"/>
            </w:tcBorders>
            <w:shd w:val="clear" w:color="auto" w:fill="auto"/>
            <w:vAlign w:val="center"/>
            <w:hideMark/>
          </w:tcPr>
          <w:p w14:paraId="349CB2D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262,621</w:t>
            </w:r>
          </w:p>
        </w:tc>
        <w:tc>
          <w:tcPr>
            <w:tcW w:w="887" w:type="dxa"/>
            <w:tcBorders>
              <w:top w:val="nil"/>
              <w:left w:val="nil"/>
              <w:bottom w:val="nil"/>
              <w:right w:val="single" w:sz="4" w:space="0" w:color="auto"/>
            </w:tcBorders>
            <w:shd w:val="clear" w:color="auto" w:fill="auto"/>
            <w:vAlign w:val="center"/>
            <w:hideMark/>
          </w:tcPr>
          <w:p w14:paraId="7A84D89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15</w:t>
            </w:r>
          </w:p>
        </w:tc>
        <w:tc>
          <w:tcPr>
            <w:tcW w:w="1017" w:type="dxa"/>
            <w:tcBorders>
              <w:top w:val="nil"/>
              <w:left w:val="nil"/>
              <w:bottom w:val="nil"/>
              <w:right w:val="single" w:sz="4" w:space="0" w:color="auto"/>
            </w:tcBorders>
            <w:shd w:val="clear" w:color="auto" w:fill="auto"/>
            <w:vAlign w:val="center"/>
            <w:hideMark/>
          </w:tcPr>
          <w:p w14:paraId="5576CCF6"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1,380,520</w:t>
            </w:r>
          </w:p>
        </w:tc>
        <w:tc>
          <w:tcPr>
            <w:tcW w:w="1131" w:type="dxa"/>
            <w:tcBorders>
              <w:top w:val="nil"/>
              <w:left w:val="nil"/>
              <w:bottom w:val="nil"/>
              <w:right w:val="single" w:sz="4" w:space="0" w:color="auto"/>
            </w:tcBorders>
            <w:shd w:val="clear" w:color="auto" w:fill="auto"/>
            <w:vAlign w:val="center"/>
            <w:hideMark/>
          </w:tcPr>
          <w:p w14:paraId="49A1CF9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297,738</w:t>
            </w:r>
          </w:p>
        </w:tc>
        <w:tc>
          <w:tcPr>
            <w:tcW w:w="855" w:type="dxa"/>
            <w:tcBorders>
              <w:top w:val="nil"/>
              <w:left w:val="nil"/>
              <w:bottom w:val="nil"/>
              <w:right w:val="single" w:sz="4" w:space="0" w:color="auto"/>
            </w:tcBorders>
            <w:shd w:val="clear" w:color="auto" w:fill="auto"/>
            <w:vAlign w:val="center"/>
            <w:hideMark/>
          </w:tcPr>
          <w:p w14:paraId="5FA6702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319</w:t>
            </w:r>
          </w:p>
        </w:tc>
        <w:tc>
          <w:tcPr>
            <w:tcW w:w="804" w:type="dxa"/>
            <w:tcBorders>
              <w:top w:val="nil"/>
              <w:left w:val="nil"/>
              <w:bottom w:val="nil"/>
              <w:right w:val="single" w:sz="4" w:space="0" w:color="auto"/>
            </w:tcBorders>
            <w:shd w:val="clear" w:color="auto" w:fill="auto"/>
            <w:vAlign w:val="center"/>
            <w:hideMark/>
          </w:tcPr>
          <w:p w14:paraId="0F28A7B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756,616</w:t>
            </w:r>
          </w:p>
        </w:tc>
        <w:tc>
          <w:tcPr>
            <w:tcW w:w="778" w:type="dxa"/>
            <w:tcBorders>
              <w:top w:val="nil"/>
              <w:left w:val="nil"/>
              <w:bottom w:val="nil"/>
              <w:right w:val="single" w:sz="4" w:space="0" w:color="auto"/>
            </w:tcBorders>
            <w:shd w:val="clear" w:color="auto" w:fill="auto"/>
            <w:vAlign w:val="center"/>
            <w:hideMark/>
          </w:tcPr>
          <w:p w14:paraId="25B7B9E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4E5ED8E9" w14:textId="77777777" w:rsidTr="00560A50">
        <w:trPr>
          <w:trHeight w:val="63"/>
          <w:jc w:val="center"/>
        </w:trPr>
        <w:tc>
          <w:tcPr>
            <w:tcW w:w="2965" w:type="dxa"/>
            <w:tcBorders>
              <w:top w:val="nil"/>
              <w:left w:val="single" w:sz="4" w:space="0" w:color="auto"/>
              <w:bottom w:val="nil"/>
              <w:right w:val="nil"/>
            </w:tcBorders>
            <w:shd w:val="clear" w:color="000000" w:fill="B4C6E7"/>
            <w:vAlign w:val="center"/>
            <w:hideMark/>
          </w:tcPr>
          <w:p w14:paraId="4F20DD90"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Nasdaq Nordic Exchanges</w:t>
            </w:r>
          </w:p>
        </w:tc>
        <w:tc>
          <w:tcPr>
            <w:tcW w:w="1023" w:type="dxa"/>
            <w:tcBorders>
              <w:top w:val="nil"/>
              <w:left w:val="single" w:sz="4" w:space="0" w:color="auto"/>
              <w:bottom w:val="nil"/>
              <w:right w:val="single" w:sz="4" w:space="0" w:color="auto"/>
            </w:tcBorders>
            <w:shd w:val="clear" w:color="auto" w:fill="auto"/>
            <w:vAlign w:val="center"/>
            <w:hideMark/>
          </w:tcPr>
          <w:p w14:paraId="3AE0B10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1,492,256</w:t>
            </w:r>
          </w:p>
        </w:tc>
        <w:tc>
          <w:tcPr>
            <w:tcW w:w="887" w:type="dxa"/>
            <w:tcBorders>
              <w:top w:val="nil"/>
              <w:left w:val="nil"/>
              <w:bottom w:val="nil"/>
              <w:right w:val="single" w:sz="4" w:space="0" w:color="auto"/>
            </w:tcBorders>
            <w:shd w:val="clear" w:color="auto" w:fill="auto"/>
            <w:vAlign w:val="center"/>
            <w:hideMark/>
          </w:tcPr>
          <w:p w14:paraId="58F36F71"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2,274</w:t>
            </w:r>
          </w:p>
        </w:tc>
        <w:tc>
          <w:tcPr>
            <w:tcW w:w="1017" w:type="dxa"/>
            <w:tcBorders>
              <w:top w:val="nil"/>
              <w:left w:val="nil"/>
              <w:bottom w:val="nil"/>
              <w:right w:val="single" w:sz="4" w:space="0" w:color="auto"/>
            </w:tcBorders>
            <w:shd w:val="clear" w:color="auto" w:fill="auto"/>
            <w:vAlign w:val="center"/>
            <w:hideMark/>
          </w:tcPr>
          <w:p w14:paraId="0E073A7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4,196,560</w:t>
            </w:r>
          </w:p>
        </w:tc>
        <w:tc>
          <w:tcPr>
            <w:tcW w:w="1131" w:type="dxa"/>
            <w:tcBorders>
              <w:top w:val="nil"/>
              <w:left w:val="nil"/>
              <w:bottom w:val="nil"/>
              <w:right w:val="single" w:sz="4" w:space="0" w:color="auto"/>
            </w:tcBorders>
            <w:shd w:val="clear" w:color="auto" w:fill="auto"/>
            <w:vAlign w:val="center"/>
            <w:hideMark/>
          </w:tcPr>
          <w:p w14:paraId="465A96B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74,494</w:t>
            </w:r>
          </w:p>
        </w:tc>
        <w:tc>
          <w:tcPr>
            <w:tcW w:w="855" w:type="dxa"/>
            <w:tcBorders>
              <w:top w:val="nil"/>
              <w:left w:val="nil"/>
              <w:bottom w:val="nil"/>
              <w:right w:val="single" w:sz="4" w:space="0" w:color="auto"/>
            </w:tcBorders>
            <w:shd w:val="clear" w:color="auto" w:fill="auto"/>
            <w:vAlign w:val="center"/>
            <w:hideMark/>
          </w:tcPr>
          <w:p w14:paraId="1C558A4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74</w:t>
            </w:r>
          </w:p>
        </w:tc>
        <w:tc>
          <w:tcPr>
            <w:tcW w:w="804" w:type="dxa"/>
            <w:tcBorders>
              <w:top w:val="nil"/>
              <w:left w:val="nil"/>
              <w:bottom w:val="nil"/>
              <w:right w:val="single" w:sz="4" w:space="0" w:color="auto"/>
            </w:tcBorders>
            <w:shd w:val="clear" w:color="auto" w:fill="auto"/>
            <w:vAlign w:val="center"/>
            <w:hideMark/>
          </w:tcPr>
          <w:p w14:paraId="18A6B9C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562,535</w:t>
            </w:r>
          </w:p>
        </w:tc>
        <w:tc>
          <w:tcPr>
            <w:tcW w:w="778" w:type="dxa"/>
            <w:tcBorders>
              <w:top w:val="nil"/>
              <w:left w:val="nil"/>
              <w:bottom w:val="nil"/>
              <w:right w:val="single" w:sz="4" w:space="0" w:color="auto"/>
            </w:tcBorders>
            <w:shd w:val="clear" w:color="auto" w:fill="auto"/>
            <w:vAlign w:val="center"/>
            <w:hideMark/>
          </w:tcPr>
          <w:p w14:paraId="4F320E63"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r>
      <w:tr w:rsidR="009C313D" w:rsidRPr="000521D8" w14:paraId="2821E77E" w14:textId="77777777" w:rsidTr="00560A50">
        <w:trPr>
          <w:trHeight w:val="63"/>
          <w:jc w:val="center"/>
        </w:trPr>
        <w:tc>
          <w:tcPr>
            <w:tcW w:w="2965" w:type="dxa"/>
            <w:tcBorders>
              <w:top w:val="nil"/>
              <w:left w:val="single" w:sz="4" w:space="0" w:color="auto"/>
              <w:bottom w:val="nil"/>
              <w:right w:val="nil"/>
            </w:tcBorders>
            <w:shd w:val="clear" w:color="000000" w:fill="B4C6E7"/>
            <w:vAlign w:val="center"/>
            <w:hideMark/>
          </w:tcPr>
          <w:p w14:paraId="27B44088"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Oslo Bors</w:t>
            </w:r>
          </w:p>
        </w:tc>
        <w:tc>
          <w:tcPr>
            <w:tcW w:w="1023" w:type="dxa"/>
            <w:tcBorders>
              <w:top w:val="nil"/>
              <w:left w:val="single" w:sz="4" w:space="0" w:color="auto"/>
              <w:bottom w:val="nil"/>
              <w:right w:val="single" w:sz="4" w:space="0" w:color="auto"/>
            </w:tcBorders>
            <w:shd w:val="clear" w:color="auto" w:fill="auto"/>
            <w:vAlign w:val="center"/>
            <w:hideMark/>
          </w:tcPr>
          <w:p w14:paraId="491C6BBC"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173,926</w:t>
            </w:r>
          </w:p>
        </w:tc>
        <w:tc>
          <w:tcPr>
            <w:tcW w:w="887" w:type="dxa"/>
            <w:tcBorders>
              <w:top w:val="nil"/>
              <w:left w:val="nil"/>
              <w:bottom w:val="nil"/>
              <w:right w:val="single" w:sz="4" w:space="0" w:color="auto"/>
            </w:tcBorders>
            <w:shd w:val="clear" w:color="auto" w:fill="auto"/>
            <w:vAlign w:val="center"/>
            <w:hideMark/>
          </w:tcPr>
          <w:p w14:paraId="625DEC54"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271</w:t>
            </w:r>
          </w:p>
        </w:tc>
        <w:tc>
          <w:tcPr>
            <w:tcW w:w="1017" w:type="dxa"/>
            <w:tcBorders>
              <w:top w:val="nil"/>
              <w:left w:val="nil"/>
              <w:bottom w:val="nil"/>
              <w:right w:val="single" w:sz="4" w:space="0" w:color="auto"/>
            </w:tcBorders>
            <w:shd w:val="clear" w:color="auto" w:fill="auto"/>
            <w:vAlign w:val="center"/>
            <w:hideMark/>
          </w:tcPr>
          <w:p w14:paraId="484034F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334,682</w:t>
            </w:r>
          </w:p>
        </w:tc>
        <w:tc>
          <w:tcPr>
            <w:tcW w:w="1131" w:type="dxa"/>
            <w:tcBorders>
              <w:top w:val="nil"/>
              <w:left w:val="nil"/>
              <w:bottom w:val="nil"/>
              <w:right w:val="single" w:sz="4" w:space="0" w:color="auto"/>
            </w:tcBorders>
            <w:shd w:val="clear" w:color="auto" w:fill="auto"/>
            <w:vAlign w:val="center"/>
            <w:hideMark/>
          </w:tcPr>
          <w:p w14:paraId="623D01D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31,475</w:t>
            </w:r>
          </w:p>
        </w:tc>
        <w:tc>
          <w:tcPr>
            <w:tcW w:w="855" w:type="dxa"/>
            <w:tcBorders>
              <w:top w:val="nil"/>
              <w:left w:val="nil"/>
              <w:bottom w:val="nil"/>
              <w:right w:val="single" w:sz="4" w:space="0" w:color="auto"/>
            </w:tcBorders>
            <w:shd w:val="clear" w:color="auto" w:fill="auto"/>
            <w:vAlign w:val="center"/>
            <w:hideMark/>
          </w:tcPr>
          <w:p w14:paraId="597D20C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34</w:t>
            </w:r>
          </w:p>
        </w:tc>
        <w:tc>
          <w:tcPr>
            <w:tcW w:w="804" w:type="dxa"/>
            <w:tcBorders>
              <w:top w:val="nil"/>
              <w:left w:val="nil"/>
              <w:bottom w:val="nil"/>
              <w:right w:val="single" w:sz="4" w:space="0" w:color="auto"/>
            </w:tcBorders>
            <w:shd w:val="clear" w:color="auto" w:fill="auto"/>
            <w:vAlign w:val="center"/>
            <w:hideMark/>
          </w:tcPr>
          <w:p w14:paraId="305E38B2"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63,233</w:t>
            </w:r>
          </w:p>
        </w:tc>
        <w:tc>
          <w:tcPr>
            <w:tcW w:w="778" w:type="dxa"/>
            <w:tcBorders>
              <w:top w:val="nil"/>
              <w:left w:val="nil"/>
              <w:bottom w:val="nil"/>
              <w:right w:val="single" w:sz="4" w:space="0" w:color="auto"/>
            </w:tcBorders>
            <w:shd w:val="clear" w:color="auto" w:fill="auto"/>
            <w:vAlign w:val="center"/>
            <w:hideMark/>
          </w:tcPr>
          <w:p w14:paraId="29B1E16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23</w:t>
            </w:r>
          </w:p>
        </w:tc>
      </w:tr>
      <w:tr w:rsidR="009C313D" w:rsidRPr="000521D8" w14:paraId="1936A6FE" w14:textId="77777777" w:rsidTr="00560A50">
        <w:trPr>
          <w:trHeight w:val="63"/>
          <w:jc w:val="center"/>
        </w:trPr>
        <w:tc>
          <w:tcPr>
            <w:tcW w:w="2965" w:type="dxa"/>
            <w:tcBorders>
              <w:top w:val="nil"/>
              <w:left w:val="single" w:sz="4" w:space="0" w:color="auto"/>
              <w:bottom w:val="nil"/>
              <w:right w:val="nil"/>
            </w:tcBorders>
            <w:shd w:val="clear" w:color="000000" w:fill="B4C6E7"/>
            <w:vAlign w:val="center"/>
            <w:hideMark/>
          </w:tcPr>
          <w:p w14:paraId="37BA9EE5"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Tehran Stock Exchange</w:t>
            </w:r>
          </w:p>
        </w:tc>
        <w:tc>
          <w:tcPr>
            <w:tcW w:w="1023" w:type="dxa"/>
            <w:tcBorders>
              <w:top w:val="nil"/>
              <w:left w:val="single" w:sz="4" w:space="0" w:color="auto"/>
              <w:bottom w:val="nil"/>
              <w:right w:val="single" w:sz="4" w:space="0" w:color="auto"/>
            </w:tcBorders>
            <w:shd w:val="clear" w:color="auto" w:fill="auto"/>
            <w:vAlign w:val="center"/>
            <w:hideMark/>
          </w:tcPr>
          <w:p w14:paraId="0D6E9408"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42</w:t>
            </w:r>
          </w:p>
        </w:tc>
        <w:tc>
          <w:tcPr>
            <w:tcW w:w="887" w:type="dxa"/>
            <w:tcBorders>
              <w:top w:val="nil"/>
              <w:left w:val="nil"/>
              <w:bottom w:val="nil"/>
              <w:right w:val="single" w:sz="4" w:space="0" w:color="auto"/>
            </w:tcBorders>
            <w:shd w:val="clear" w:color="auto" w:fill="auto"/>
            <w:vAlign w:val="center"/>
            <w:hideMark/>
          </w:tcPr>
          <w:p w14:paraId="6631AC6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0</w:t>
            </w:r>
          </w:p>
        </w:tc>
        <w:tc>
          <w:tcPr>
            <w:tcW w:w="1017" w:type="dxa"/>
            <w:tcBorders>
              <w:top w:val="nil"/>
              <w:left w:val="nil"/>
              <w:bottom w:val="nil"/>
              <w:right w:val="single" w:sz="4" w:space="0" w:color="auto"/>
            </w:tcBorders>
            <w:shd w:val="clear" w:color="auto" w:fill="auto"/>
            <w:vAlign w:val="center"/>
            <w:hideMark/>
          </w:tcPr>
          <w:p w14:paraId="1AAFDFC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1131" w:type="dxa"/>
            <w:tcBorders>
              <w:top w:val="nil"/>
              <w:left w:val="nil"/>
              <w:bottom w:val="nil"/>
              <w:right w:val="single" w:sz="4" w:space="0" w:color="auto"/>
            </w:tcBorders>
            <w:shd w:val="clear" w:color="auto" w:fill="auto"/>
            <w:vAlign w:val="center"/>
            <w:hideMark/>
          </w:tcPr>
          <w:p w14:paraId="6828D8D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855" w:type="dxa"/>
            <w:tcBorders>
              <w:top w:val="nil"/>
              <w:left w:val="nil"/>
              <w:bottom w:val="nil"/>
              <w:right w:val="single" w:sz="4" w:space="0" w:color="auto"/>
            </w:tcBorders>
            <w:shd w:val="clear" w:color="auto" w:fill="auto"/>
            <w:vAlign w:val="center"/>
            <w:hideMark/>
          </w:tcPr>
          <w:p w14:paraId="021494FE"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804" w:type="dxa"/>
            <w:tcBorders>
              <w:top w:val="nil"/>
              <w:left w:val="nil"/>
              <w:bottom w:val="nil"/>
              <w:right w:val="single" w:sz="4" w:space="0" w:color="auto"/>
            </w:tcBorders>
            <w:shd w:val="clear" w:color="auto" w:fill="auto"/>
            <w:vAlign w:val="center"/>
            <w:hideMark/>
          </w:tcPr>
          <w:p w14:paraId="6AA48DA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778" w:type="dxa"/>
            <w:tcBorders>
              <w:top w:val="nil"/>
              <w:left w:val="nil"/>
              <w:bottom w:val="nil"/>
              <w:right w:val="single" w:sz="4" w:space="0" w:color="auto"/>
            </w:tcBorders>
            <w:shd w:val="clear" w:color="auto" w:fill="auto"/>
            <w:vAlign w:val="center"/>
            <w:hideMark/>
          </w:tcPr>
          <w:p w14:paraId="45DBB835"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17</w:t>
            </w:r>
          </w:p>
        </w:tc>
      </w:tr>
      <w:tr w:rsidR="009C313D" w:rsidRPr="000521D8" w14:paraId="51962A01" w14:textId="77777777" w:rsidTr="00560A50">
        <w:trPr>
          <w:trHeight w:val="63"/>
          <w:jc w:val="center"/>
        </w:trPr>
        <w:tc>
          <w:tcPr>
            <w:tcW w:w="2965" w:type="dxa"/>
            <w:tcBorders>
              <w:top w:val="nil"/>
              <w:left w:val="single" w:sz="4" w:space="0" w:color="auto"/>
              <w:bottom w:val="nil"/>
              <w:right w:val="nil"/>
            </w:tcBorders>
            <w:shd w:val="clear" w:color="000000" w:fill="B4C6E7"/>
            <w:vAlign w:val="center"/>
            <w:hideMark/>
          </w:tcPr>
          <w:p w14:paraId="60B11AAA"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Tel-Aviv Stock Exchange</w:t>
            </w:r>
          </w:p>
        </w:tc>
        <w:tc>
          <w:tcPr>
            <w:tcW w:w="1023" w:type="dxa"/>
            <w:tcBorders>
              <w:top w:val="nil"/>
              <w:left w:val="single" w:sz="4" w:space="0" w:color="auto"/>
              <w:bottom w:val="nil"/>
              <w:right w:val="single" w:sz="4" w:space="0" w:color="auto"/>
            </w:tcBorders>
            <w:shd w:val="clear" w:color="auto" w:fill="auto"/>
            <w:vAlign w:val="center"/>
            <w:hideMark/>
          </w:tcPr>
          <w:p w14:paraId="0558D509"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31,262</w:t>
            </w:r>
          </w:p>
        </w:tc>
        <w:tc>
          <w:tcPr>
            <w:tcW w:w="887" w:type="dxa"/>
            <w:tcBorders>
              <w:top w:val="nil"/>
              <w:left w:val="nil"/>
              <w:bottom w:val="nil"/>
              <w:right w:val="single" w:sz="4" w:space="0" w:color="auto"/>
            </w:tcBorders>
            <w:shd w:val="clear" w:color="auto" w:fill="auto"/>
            <w:vAlign w:val="center"/>
            <w:hideMark/>
          </w:tcPr>
          <w:p w14:paraId="3BF1759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220</w:t>
            </w:r>
          </w:p>
        </w:tc>
        <w:tc>
          <w:tcPr>
            <w:tcW w:w="1017" w:type="dxa"/>
            <w:tcBorders>
              <w:top w:val="nil"/>
              <w:left w:val="nil"/>
              <w:bottom w:val="nil"/>
              <w:right w:val="single" w:sz="4" w:space="0" w:color="auto"/>
            </w:tcBorders>
            <w:shd w:val="clear" w:color="auto" w:fill="auto"/>
            <w:vAlign w:val="center"/>
            <w:hideMark/>
          </w:tcPr>
          <w:p w14:paraId="3939DC7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38,169</w:t>
            </w:r>
          </w:p>
        </w:tc>
        <w:tc>
          <w:tcPr>
            <w:tcW w:w="1131" w:type="dxa"/>
            <w:tcBorders>
              <w:top w:val="nil"/>
              <w:left w:val="nil"/>
              <w:bottom w:val="nil"/>
              <w:right w:val="single" w:sz="4" w:space="0" w:color="auto"/>
            </w:tcBorders>
            <w:shd w:val="clear" w:color="auto" w:fill="auto"/>
            <w:vAlign w:val="center"/>
            <w:hideMark/>
          </w:tcPr>
          <w:p w14:paraId="7BCC295B"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55" w:type="dxa"/>
            <w:tcBorders>
              <w:top w:val="nil"/>
              <w:left w:val="nil"/>
              <w:bottom w:val="nil"/>
              <w:right w:val="single" w:sz="4" w:space="0" w:color="auto"/>
            </w:tcBorders>
            <w:shd w:val="clear" w:color="auto" w:fill="auto"/>
            <w:vAlign w:val="center"/>
            <w:hideMark/>
          </w:tcPr>
          <w:p w14:paraId="625B7D9F"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804" w:type="dxa"/>
            <w:tcBorders>
              <w:top w:val="nil"/>
              <w:left w:val="nil"/>
              <w:bottom w:val="nil"/>
              <w:right w:val="single" w:sz="4" w:space="0" w:color="auto"/>
            </w:tcBorders>
            <w:shd w:val="clear" w:color="auto" w:fill="auto"/>
            <w:vAlign w:val="center"/>
            <w:hideMark/>
          </w:tcPr>
          <w:p w14:paraId="6AEF1673"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NA</w:t>
            </w:r>
          </w:p>
        </w:tc>
        <w:tc>
          <w:tcPr>
            <w:tcW w:w="778" w:type="dxa"/>
            <w:tcBorders>
              <w:top w:val="nil"/>
              <w:left w:val="nil"/>
              <w:bottom w:val="nil"/>
              <w:right w:val="single" w:sz="4" w:space="0" w:color="auto"/>
            </w:tcBorders>
            <w:shd w:val="clear" w:color="auto" w:fill="auto"/>
            <w:vAlign w:val="center"/>
            <w:hideMark/>
          </w:tcPr>
          <w:p w14:paraId="713D23E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3302BFC7" w14:textId="77777777" w:rsidTr="00560A50">
        <w:trPr>
          <w:trHeight w:val="251"/>
          <w:jc w:val="center"/>
        </w:trPr>
        <w:tc>
          <w:tcPr>
            <w:tcW w:w="2965" w:type="dxa"/>
            <w:tcBorders>
              <w:top w:val="nil"/>
              <w:left w:val="single" w:sz="4" w:space="0" w:color="auto"/>
              <w:bottom w:val="nil"/>
              <w:right w:val="nil"/>
            </w:tcBorders>
            <w:shd w:val="clear" w:color="000000" w:fill="B4C6E7"/>
            <w:vAlign w:val="center"/>
            <w:hideMark/>
          </w:tcPr>
          <w:p w14:paraId="08D65C48"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Warsaw Stock Exchange</w:t>
            </w:r>
          </w:p>
        </w:tc>
        <w:tc>
          <w:tcPr>
            <w:tcW w:w="1023" w:type="dxa"/>
            <w:tcBorders>
              <w:top w:val="nil"/>
              <w:left w:val="single" w:sz="4" w:space="0" w:color="auto"/>
              <w:bottom w:val="nil"/>
              <w:right w:val="single" w:sz="4" w:space="0" w:color="auto"/>
            </w:tcBorders>
            <w:shd w:val="clear" w:color="auto" w:fill="auto"/>
            <w:vAlign w:val="center"/>
            <w:hideMark/>
          </w:tcPr>
          <w:p w14:paraId="229EE98F"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887" w:type="dxa"/>
            <w:tcBorders>
              <w:top w:val="nil"/>
              <w:left w:val="nil"/>
              <w:bottom w:val="nil"/>
              <w:right w:val="single" w:sz="4" w:space="0" w:color="auto"/>
            </w:tcBorders>
            <w:shd w:val="clear" w:color="auto" w:fill="auto"/>
            <w:vAlign w:val="center"/>
            <w:hideMark/>
          </w:tcPr>
          <w:p w14:paraId="4572DDA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1017" w:type="dxa"/>
            <w:tcBorders>
              <w:top w:val="nil"/>
              <w:left w:val="nil"/>
              <w:bottom w:val="nil"/>
              <w:right w:val="single" w:sz="4" w:space="0" w:color="auto"/>
            </w:tcBorders>
            <w:shd w:val="clear" w:color="auto" w:fill="auto"/>
            <w:vAlign w:val="center"/>
            <w:hideMark/>
          </w:tcPr>
          <w:p w14:paraId="62AE2D2D"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w:t>
            </w:r>
          </w:p>
        </w:tc>
        <w:tc>
          <w:tcPr>
            <w:tcW w:w="1131" w:type="dxa"/>
            <w:tcBorders>
              <w:top w:val="nil"/>
              <w:left w:val="nil"/>
              <w:bottom w:val="nil"/>
              <w:right w:val="single" w:sz="4" w:space="0" w:color="auto"/>
            </w:tcBorders>
            <w:shd w:val="clear" w:color="auto" w:fill="auto"/>
            <w:vAlign w:val="center"/>
            <w:hideMark/>
          </w:tcPr>
          <w:p w14:paraId="4F080B90"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95,213</w:t>
            </w:r>
          </w:p>
        </w:tc>
        <w:tc>
          <w:tcPr>
            <w:tcW w:w="855" w:type="dxa"/>
            <w:tcBorders>
              <w:top w:val="nil"/>
              <w:left w:val="nil"/>
              <w:bottom w:val="nil"/>
              <w:right w:val="single" w:sz="4" w:space="0" w:color="auto"/>
            </w:tcBorders>
            <w:shd w:val="clear" w:color="auto" w:fill="auto"/>
            <w:vAlign w:val="center"/>
            <w:hideMark/>
          </w:tcPr>
          <w:p w14:paraId="02B06297"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201</w:t>
            </w:r>
          </w:p>
        </w:tc>
        <w:tc>
          <w:tcPr>
            <w:tcW w:w="804" w:type="dxa"/>
            <w:tcBorders>
              <w:top w:val="nil"/>
              <w:left w:val="nil"/>
              <w:bottom w:val="nil"/>
              <w:right w:val="single" w:sz="4" w:space="0" w:color="auto"/>
            </w:tcBorders>
            <w:shd w:val="clear" w:color="auto" w:fill="auto"/>
            <w:vAlign w:val="center"/>
            <w:hideMark/>
          </w:tcPr>
          <w:p w14:paraId="43C2F513"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24,589</w:t>
            </w:r>
          </w:p>
        </w:tc>
        <w:tc>
          <w:tcPr>
            <w:tcW w:w="778" w:type="dxa"/>
            <w:tcBorders>
              <w:top w:val="nil"/>
              <w:left w:val="nil"/>
              <w:bottom w:val="nil"/>
              <w:right w:val="single" w:sz="4" w:space="0" w:color="auto"/>
            </w:tcBorders>
            <w:shd w:val="clear" w:color="auto" w:fill="auto"/>
            <w:vAlign w:val="center"/>
            <w:hideMark/>
          </w:tcPr>
          <w:p w14:paraId="2940B8EA" w14:textId="77777777" w:rsidR="009C313D" w:rsidRPr="000521D8" w:rsidRDefault="009C313D" w:rsidP="00560A50">
            <w:pPr>
              <w:jc w:val="right"/>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22</w:t>
            </w:r>
          </w:p>
        </w:tc>
      </w:tr>
      <w:tr w:rsidR="009C313D" w:rsidRPr="000521D8" w14:paraId="5253E158" w14:textId="77777777" w:rsidTr="00560A50">
        <w:trPr>
          <w:trHeight w:val="53"/>
          <w:jc w:val="center"/>
        </w:trPr>
        <w:tc>
          <w:tcPr>
            <w:tcW w:w="296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0B83F5CF" w14:textId="77777777" w:rsidR="009C313D" w:rsidRPr="000521D8" w:rsidRDefault="009C313D" w:rsidP="00560A50">
            <w:pPr>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 xml:space="preserve">Total </w:t>
            </w:r>
            <w:r>
              <w:rPr>
                <w:rFonts w:ascii="Garamond" w:eastAsia="Times New Roman" w:hAnsi="Garamond" w:cs="Calibri"/>
                <w:b/>
                <w:bCs/>
                <w:color w:val="000000"/>
                <w:sz w:val="18"/>
                <w:szCs w:val="18"/>
                <w:lang w:eastAsia="en-GB"/>
              </w:rPr>
              <w:t>R</w:t>
            </w:r>
            <w:r w:rsidRPr="000521D8">
              <w:rPr>
                <w:rFonts w:ascii="Garamond" w:eastAsia="Times New Roman" w:hAnsi="Garamond" w:cs="Calibri"/>
                <w:b/>
                <w:bCs/>
                <w:color w:val="000000"/>
                <w:sz w:val="18"/>
                <w:szCs w:val="18"/>
                <w:lang w:eastAsia="en-GB"/>
              </w:rPr>
              <w:t>egion</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14:paraId="6079C8BC" w14:textId="77777777" w:rsidR="009C313D" w:rsidRPr="000521D8" w:rsidRDefault="009C313D" w:rsidP="00560A50">
            <w:pPr>
              <w:jc w:val="right"/>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8,465,070</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3B16B987" w14:textId="77777777" w:rsidR="009C313D" w:rsidRPr="000521D8" w:rsidRDefault="009C313D" w:rsidP="00560A50">
            <w:pPr>
              <w:jc w:val="right"/>
              <w:rPr>
                <w:rFonts w:ascii="Garamond" w:eastAsia="Times New Roman" w:hAnsi="Garamond" w:cs="Calibri"/>
                <w:b/>
                <w:bCs/>
                <w:color w:val="000000"/>
                <w:sz w:val="18"/>
                <w:szCs w:val="18"/>
                <w:lang w:eastAsia="en-GB"/>
              </w:rPr>
            </w:pPr>
          </w:p>
        </w:tc>
        <w:tc>
          <w:tcPr>
            <w:tcW w:w="1017" w:type="dxa"/>
            <w:tcBorders>
              <w:top w:val="single" w:sz="4" w:space="0" w:color="auto"/>
              <w:left w:val="nil"/>
              <w:bottom w:val="single" w:sz="4" w:space="0" w:color="auto"/>
              <w:right w:val="nil"/>
            </w:tcBorders>
            <w:shd w:val="clear" w:color="auto" w:fill="auto"/>
            <w:vAlign w:val="center"/>
            <w:hideMark/>
          </w:tcPr>
          <w:p w14:paraId="71D832BA" w14:textId="77777777" w:rsidR="009C313D" w:rsidRPr="000521D8" w:rsidRDefault="009C313D" w:rsidP="00560A50">
            <w:pPr>
              <w:jc w:val="right"/>
              <w:rPr>
                <w:rFonts w:ascii="Garamond" w:eastAsia="Times New Roman" w:hAnsi="Garamond" w:cs="Calibri"/>
                <w:b/>
                <w:bCs/>
                <w:color w:val="000000"/>
                <w:sz w:val="18"/>
                <w:szCs w:val="18"/>
                <w:lang w:eastAsia="en-GB"/>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EFCBD" w14:textId="77777777" w:rsidR="009C313D" w:rsidRPr="000521D8" w:rsidRDefault="009C313D" w:rsidP="00560A50">
            <w:pPr>
              <w:jc w:val="right"/>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66,279,509</w:t>
            </w:r>
          </w:p>
        </w:tc>
        <w:tc>
          <w:tcPr>
            <w:tcW w:w="855" w:type="dxa"/>
            <w:tcBorders>
              <w:top w:val="single" w:sz="4" w:space="0" w:color="auto"/>
              <w:left w:val="nil"/>
              <w:bottom w:val="single" w:sz="4" w:space="0" w:color="auto"/>
              <w:right w:val="nil"/>
            </w:tcBorders>
            <w:shd w:val="clear" w:color="auto" w:fill="auto"/>
            <w:vAlign w:val="center"/>
            <w:hideMark/>
          </w:tcPr>
          <w:p w14:paraId="55D2992E" w14:textId="77777777" w:rsidR="009C313D" w:rsidRPr="000521D8" w:rsidRDefault="009C313D" w:rsidP="00560A50">
            <w:pPr>
              <w:jc w:val="right"/>
              <w:rPr>
                <w:rFonts w:ascii="Garamond" w:eastAsia="Times New Roman" w:hAnsi="Garamond" w:cs="Calibri"/>
                <w:b/>
                <w:bCs/>
                <w:color w:val="000000"/>
                <w:sz w:val="18"/>
                <w:szCs w:val="18"/>
                <w:lang w:eastAsia="en-GB"/>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B4E3C" w14:textId="77777777" w:rsidR="009C313D" w:rsidRPr="000521D8" w:rsidRDefault="009C313D" w:rsidP="00560A50">
            <w:pPr>
              <w:jc w:val="right"/>
              <w:rPr>
                <w:rFonts w:ascii="Garamond" w:eastAsia="Times New Roman" w:hAnsi="Garamond" w:cs="Calibri"/>
                <w:b/>
                <w:bCs/>
                <w:color w:val="000000"/>
                <w:sz w:val="18"/>
                <w:szCs w:val="18"/>
                <w:lang w:eastAsia="en-GB"/>
              </w:rPr>
            </w:pP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63050313" w14:textId="77777777" w:rsidR="009C313D" w:rsidRPr="000521D8" w:rsidRDefault="009C313D" w:rsidP="00560A50">
            <w:pPr>
              <w:jc w:val="right"/>
              <w:rPr>
                <w:rFonts w:ascii="Garamond" w:eastAsia="Times New Roman" w:hAnsi="Garamond" w:cs="Calibri"/>
                <w:b/>
                <w:bCs/>
                <w:color w:val="000000"/>
                <w:sz w:val="18"/>
                <w:szCs w:val="18"/>
                <w:lang w:eastAsia="en-GB"/>
              </w:rPr>
            </w:pPr>
          </w:p>
        </w:tc>
      </w:tr>
      <w:tr w:rsidR="009C313D" w:rsidRPr="000521D8" w14:paraId="07F22014" w14:textId="77777777" w:rsidTr="00560A50">
        <w:trPr>
          <w:trHeight w:val="53"/>
          <w:jc w:val="center"/>
        </w:trPr>
        <w:tc>
          <w:tcPr>
            <w:tcW w:w="2965" w:type="dxa"/>
            <w:tcBorders>
              <w:top w:val="nil"/>
              <w:left w:val="single" w:sz="4" w:space="0" w:color="auto"/>
              <w:bottom w:val="single" w:sz="4" w:space="0" w:color="auto"/>
              <w:right w:val="nil"/>
            </w:tcBorders>
            <w:shd w:val="clear" w:color="000000" w:fill="B4C6E7"/>
            <w:vAlign w:val="center"/>
            <w:hideMark/>
          </w:tcPr>
          <w:p w14:paraId="76F8C6F4" w14:textId="77777777" w:rsidR="009C313D" w:rsidRPr="000521D8" w:rsidRDefault="009C313D" w:rsidP="00560A50">
            <w:pPr>
              <w:rPr>
                <w:rFonts w:ascii="Garamond" w:eastAsia="Times New Roman" w:hAnsi="Garamond" w:cs="Calibri"/>
                <w:color w:val="000000"/>
                <w:sz w:val="18"/>
                <w:szCs w:val="18"/>
                <w:lang w:eastAsia="en-GB"/>
              </w:rPr>
            </w:pPr>
            <w:r w:rsidRPr="000521D8">
              <w:rPr>
                <w:rFonts w:ascii="Garamond" w:eastAsia="Times New Roman" w:hAnsi="Garamond" w:cs="Calibri"/>
                <w:color w:val="000000"/>
                <w:sz w:val="18"/>
                <w:szCs w:val="18"/>
                <w:lang w:eastAsia="en-GB"/>
              </w:rPr>
              <w:t>Total</w:t>
            </w:r>
          </w:p>
        </w:tc>
        <w:tc>
          <w:tcPr>
            <w:tcW w:w="1023" w:type="dxa"/>
            <w:tcBorders>
              <w:top w:val="nil"/>
              <w:left w:val="single" w:sz="4" w:space="0" w:color="auto"/>
              <w:bottom w:val="single" w:sz="4" w:space="0" w:color="auto"/>
              <w:right w:val="single" w:sz="4" w:space="0" w:color="auto"/>
            </w:tcBorders>
            <w:shd w:val="clear" w:color="000000" w:fill="B4C6E7"/>
            <w:vAlign w:val="center"/>
            <w:hideMark/>
          </w:tcPr>
          <w:p w14:paraId="40F5849D" w14:textId="77777777" w:rsidR="009C313D" w:rsidRPr="000521D8" w:rsidRDefault="009C313D" w:rsidP="00560A50">
            <w:pPr>
              <w:jc w:val="right"/>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224,910,744</w:t>
            </w:r>
          </w:p>
        </w:tc>
        <w:tc>
          <w:tcPr>
            <w:tcW w:w="887" w:type="dxa"/>
            <w:tcBorders>
              <w:top w:val="nil"/>
              <w:left w:val="nil"/>
              <w:bottom w:val="single" w:sz="4" w:space="0" w:color="auto"/>
              <w:right w:val="single" w:sz="4" w:space="0" w:color="auto"/>
            </w:tcBorders>
            <w:shd w:val="clear" w:color="000000" w:fill="B4C6E7"/>
            <w:vAlign w:val="center"/>
            <w:hideMark/>
          </w:tcPr>
          <w:p w14:paraId="25ED4C2F" w14:textId="77777777" w:rsidR="009C313D" w:rsidRPr="000521D8" w:rsidRDefault="009C313D" w:rsidP="00560A50">
            <w:pPr>
              <w:rPr>
                <w:rFonts w:ascii="Garamond" w:eastAsia="Times New Roman" w:hAnsi="Garamond" w:cs="Calibri"/>
                <w:color w:val="000000"/>
                <w:sz w:val="18"/>
                <w:szCs w:val="18"/>
                <w:lang w:eastAsia="en-GB"/>
              </w:rPr>
            </w:pPr>
          </w:p>
        </w:tc>
        <w:tc>
          <w:tcPr>
            <w:tcW w:w="1017" w:type="dxa"/>
            <w:tcBorders>
              <w:top w:val="nil"/>
              <w:left w:val="nil"/>
              <w:bottom w:val="single" w:sz="4" w:space="0" w:color="auto"/>
              <w:right w:val="nil"/>
            </w:tcBorders>
            <w:shd w:val="clear" w:color="000000" w:fill="B4C6E7"/>
            <w:vAlign w:val="center"/>
            <w:hideMark/>
          </w:tcPr>
          <w:p w14:paraId="1B90760D" w14:textId="77777777" w:rsidR="009C313D" w:rsidRPr="000521D8" w:rsidRDefault="009C313D" w:rsidP="00560A50">
            <w:pPr>
              <w:rPr>
                <w:rFonts w:ascii="Garamond" w:eastAsia="Times New Roman" w:hAnsi="Garamond" w:cs="Calibri"/>
                <w:color w:val="000000"/>
                <w:sz w:val="18"/>
                <w:szCs w:val="18"/>
                <w:lang w:eastAsia="en-GB"/>
              </w:rPr>
            </w:pPr>
          </w:p>
        </w:tc>
        <w:tc>
          <w:tcPr>
            <w:tcW w:w="1131" w:type="dxa"/>
            <w:tcBorders>
              <w:top w:val="nil"/>
              <w:left w:val="single" w:sz="4" w:space="0" w:color="auto"/>
              <w:bottom w:val="single" w:sz="4" w:space="0" w:color="auto"/>
              <w:right w:val="single" w:sz="4" w:space="0" w:color="auto"/>
            </w:tcBorders>
            <w:shd w:val="clear" w:color="000000" w:fill="B4C6E7"/>
            <w:vAlign w:val="center"/>
            <w:hideMark/>
          </w:tcPr>
          <w:p w14:paraId="100D956F" w14:textId="77777777" w:rsidR="009C313D" w:rsidRPr="000521D8" w:rsidRDefault="009C313D" w:rsidP="00560A50">
            <w:pPr>
              <w:jc w:val="right"/>
              <w:rPr>
                <w:rFonts w:ascii="Garamond" w:eastAsia="Times New Roman" w:hAnsi="Garamond" w:cs="Calibri"/>
                <w:b/>
                <w:bCs/>
                <w:color w:val="000000"/>
                <w:sz w:val="18"/>
                <w:szCs w:val="18"/>
                <w:lang w:eastAsia="en-GB"/>
              </w:rPr>
            </w:pPr>
            <w:r w:rsidRPr="000521D8">
              <w:rPr>
                <w:rFonts w:ascii="Garamond" w:eastAsia="Times New Roman" w:hAnsi="Garamond" w:cs="Calibri"/>
                <w:b/>
                <w:bCs/>
                <w:color w:val="000000"/>
                <w:sz w:val="18"/>
                <w:szCs w:val="18"/>
                <w:lang w:eastAsia="en-GB"/>
              </w:rPr>
              <w:t>137,572,662</w:t>
            </w:r>
          </w:p>
        </w:tc>
        <w:tc>
          <w:tcPr>
            <w:tcW w:w="855" w:type="dxa"/>
            <w:tcBorders>
              <w:top w:val="nil"/>
              <w:left w:val="nil"/>
              <w:bottom w:val="single" w:sz="4" w:space="0" w:color="auto"/>
              <w:right w:val="nil"/>
            </w:tcBorders>
            <w:shd w:val="clear" w:color="000000" w:fill="B4C6E7"/>
            <w:vAlign w:val="center"/>
            <w:hideMark/>
          </w:tcPr>
          <w:p w14:paraId="742A8C74" w14:textId="77777777" w:rsidR="009C313D" w:rsidRPr="000521D8" w:rsidRDefault="009C313D" w:rsidP="00560A50">
            <w:pPr>
              <w:rPr>
                <w:rFonts w:ascii="Garamond" w:eastAsia="Times New Roman" w:hAnsi="Garamond" w:cs="Calibri"/>
                <w:color w:val="000000"/>
                <w:sz w:val="18"/>
                <w:szCs w:val="18"/>
                <w:lang w:eastAsia="en-GB"/>
              </w:rPr>
            </w:pPr>
          </w:p>
        </w:tc>
        <w:tc>
          <w:tcPr>
            <w:tcW w:w="804" w:type="dxa"/>
            <w:tcBorders>
              <w:top w:val="nil"/>
              <w:left w:val="single" w:sz="4" w:space="0" w:color="auto"/>
              <w:bottom w:val="single" w:sz="4" w:space="0" w:color="auto"/>
              <w:right w:val="single" w:sz="4" w:space="0" w:color="auto"/>
            </w:tcBorders>
            <w:shd w:val="clear" w:color="000000" w:fill="B4C6E7"/>
            <w:vAlign w:val="center"/>
            <w:hideMark/>
          </w:tcPr>
          <w:p w14:paraId="1F5B22C6" w14:textId="77777777" w:rsidR="009C313D" w:rsidRPr="000521D8" w:rsidRDefault="009C313D" w:rsidP="00560A50">
            <w:pPr>
              <w:rPr>
                <w:rFonts w:ascii="Garamond" w:eastAsia="Times New Roman" w:hAnsi="Garamond" w:cs="Calibri"/>
                <w:color w:val="000000"/>
                <w:sz w:val="18"/>
                <w:szCs w:val="18"/>
                <w:lang w:eastAsia="en-GB"/>
              </w:rPr>
            </w:pPr>
          </w:p>
        </w:tc>
        <w:tc>
          <w:tcPr>
            <w:tcW w:w="778" w:type="dxa"/>
            <w:tcBorders>
              <w:top w:val="nil"/>
              <w:left w:val="nil"/>
              <w:bottom w:val="single" w:sz="4" w:space="0" w:color="auto"/>
              <w:right w:val="single" w:sz="4" w:space="0" w:color="auto"/>
            </w:tcBorders>
            <w:shd w:val="clear" w:color="000000" w:fill="B4C6E7"/>
            <w:vAlign w:val="center"/>
            <w:hideMark/>
          </w:tcPr>
          <w:p w14:paraId="0651B750" w14:textId="77777777" w:rsidR="009C313D" w:rsidRPr="000521D8" w:rsidRDefault="009C313D" w:rsidP="00560A50">
            <w:pPr>
              <w:rPr>
                <w:rFonts w:ascii="Garamond" w:eastAsia="Times New Roman" w:hAnsi="Garamond" w:cs="Calibri"/>
                <w:color w:val="000000"/>
                <w:sz w:val="18"/>
                <w:szCs w:val="18"/>
                <w:lang w:eastAsia="en-GB"/>
              </w:rPr>
            </w:pPr>
          </w:p>
        </w:tc>
      </w:tr>
    </w:tbl>
    <w:p w14:paraId="6EC55297" w14:textId="77777777" w:rsidR="009C313D" w:rsidRPr="001500B3" w:rsidRDefault="009C313D" w:rsidP="009C313D">
      <w:pPr>
        <w:jc w:val="both"/>
        <w:rPr>
          <w:rFonts w:ascii="Garamond" w:hAnsi="Garamond"/>
          <w:b/>
          <w:color w:val="0000FF"/>
          <w:sz w:val="20"/>
        </w:rPr>
      </w:pPr>
    </w:p>
    <w:p w14:paraId="22FE54F5" w14:textId="77777777" w:rsidR="009C313D" w:rsidRPr="00FB7FE0" w:rsidRDefault="009C313D" w:rsidP="009C313D">
      <w:pPr>
        <w:jc w:val="both"/>
        <w:rPr>
          <w:rFonts w:ascii="Garamond" w:hAnsi="Garamond"/>
          <w:b/>
          <w:sz w:val="20"/>
        </w:rPr>
      </w:pPr>
      <w:r w:rsidRPr="00FB7FE0">
        <w:rPr>
          <w:rFonts w:ascii="Garamond" w:hAnsi="Garamond"/>
          <w:b/>
          <w:sz w:val="20"/>
        </w:rPr>
        <w:t xml:space="preserve">NA: </w:t>
      </w:r>
      <w:r w:rsidRPr="00FB7FE0">
        <w:rPr>
          <w:rFonts w:ascii="Garamond" w:hAnsi="Garamond"/>
          <w:sz w:val="20"/>
        </w:rPr>
        <w:t>Not Available</w:t>
      </w:r>
    </w:p>
    <w:p w14:paraId="120DF646" w14:textId="77777777" w:rsidR="009C313D" w:rsidRPr="00FB7FE0" w:rsidRDefault="009C313D" w:rsidP="009C313D">
      <w:pPr>
        <w:jc w:val="both"/>
        <w:rPr>
          <w:rFonts w:ascii="Garamond" w:hAnsi="Garamond"/>
          <w:sz w:val="20"/>
        </w:rPr>
      </w:pPr>
      <w:r w:rsidRPr="00FB7FE0">
        <w:rPr>
          <w:rFonts w:ascii="Garamond" w:hAnsi="Garamond"/>
          <w:b/>
          <w:sz w:val="20"/>
        </w:rPr>
        <w:t xml:space="preserve">Source: </w:t>
      </w:r>
      <w:r w:rsidRPr="00FB7FE0">
        <w:rPr>
          <w:rFonts w:ascii="Garamond" w:hAnsi="Garamond"/>
          <w:sz w:val="20"/>
        </w:rPr>
        <w:t>World Federation of Exchanges</w:t>
      </w:r>
    </w:p>
    <w:p w14:paraId="3CADA8E8" w14:textId="77777777" w:rsidR="009C313D" w:rsidRPr="00FB7FE0" w:rsidRDefault="009C313D" w:rsidP="009C313D">
      <w:pPr>
        <w:rPr>
          <w:rFonts w:ascii="Garamond" w:hAnsi="Garamond"/>
          <w:b/>
        </w:rPr>
      </w:pPr>
      <w:r w:rsidRPr="00FB7FE0">
        <w:rPr>
          <w:rFonts w:ascii="Garamond" w:hAnsi="Garamond"/>
          <w:b/>
        </w:rPr>
        <w:br w:type="page"/>
      </w:r>
    </w:p>
    <w:p w14:paraId="6D359F13" w14:textId="77777777" w:rsidR="009C313D" w:rsidRPr="004C07F8" w:rsidRDefault="009C313D" w:rsidP="009C313D">
      <w:pPr>
        <w:jc w:val="both"/>
        <w:rPr>
          <w:rFonts w:ascii="Garamond" w:hAnsi="Garamond"/>
          <w:b/>
        </w:rPr>
      </w:pPr>
      <w:r w:rsidRPr="004C07F8">
        <w:rPr>
          <w:rFonts w:ascii="Garamond" w:hAnsi="Garamond"/>
          <w:b/>
        </w:rPr>
        <w:t>Table A5: Index Options and Index Futures Traded in Major Exchanges</w:t>
      </w:r>
    </w:p>
    <w:p w14:paraId="3D249117" w14:textId="77777777" w:rsidR="009C313D" w:rsidRPr="001500B3" w:rsidRDefault="009C313D" w:rsidP="009C313D">
      <w:pPr>
        <w:jc w:val="both"/>
        <w:rPr>
          <w:rFonts w:ascii="Garamond" w:hAnsi="Garamond"/>
          <w:b/>
          <w:color w:val="0000FF"/>
        </w:rPr>
      </w:pPr>
    </w:p>
    <w:tbl>
      <w:tblPr>
        <w:tblW w:w="9105" w:type="dxa"/>
        <w:tblCellMar>
          <w:left w:w="58" w:type="dxa"/>
          <w:right w:w="58" w:type="dxa"/>
        </w:tblCellMar>
        <w:tblLook w:val="04A0" w:firstRow="1" w:lastRow="0" w:firstColumn="1" w:lastColumn="0" w:noHBand="0" w:noVBand="1"/>
      </w:tblPr>
      <w:tblGrid>
        <w:gridCol w:w="2695"/>
        <w:gridCol w:w="1100"/>
        <w:gridCol w:w="880"/>
        <w:gridCol w:w="870"/>
        <w:gridCol w:w="990"/>
        <w:gridCol w:w="900"/>
        <w:gridCol w:w="810"/>
        <w:gridCol w:w="860"/>
      </w:tblGrid>
      <w:tr w:rsidR="009C313D" w:rsidRPr="004C07F8" w14:paraId="108AF280" w14:textId="77777777" w:rsidTr="00560A50">
        <w:trPr>
          <w:trHeight w:val="53"/>
        </w:trPr>
        <w:tc>
          <w:tcPr>
            <w:tcW w:w="269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EDEFC7E" w14:textId="77777777" w:rsidR="009C313D" w:rsidRPr="004C07F8" w:rsidRDefault="009C313D" w:rsidP="00560A50">
            <w:pPr>
              <w:ind w:left="-23"/>
              <w:jc w:val="cente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Exchange</w:t>
            </w:r>
          </w:p>
        </w:tc>
        <w:tc>
          <w:tcPr>
            <w:tcW w:w="5550" w:type="dxa"/>
            <w:gridSpan w:val="6"/>
            <w:tcBorders>
              <w:top w:val="single" w:sz="4" w:space="0" w:color="auto"/>
              <w:left w:val="nil"/>
              <w:bottom w:val="single" w:sz="4" w:space="0" w:color="auto"/>
              <w:right w:val="single" w:sz="4" w:space="0" w:color="auto"/>
            </w:tcBorders>
            <w:shd w:val="clear" w:color="000000" w:fill="B4C6E7"/>
            <w:vAlign w:val="center"/>
            <w:hideMark/>
          </w:tcPr>
          <w:p w14:paraId="0B893F26" w14:textId="77777777" w:rsidR="009C313D" w:rsidRPr="004C07F8" w:rsidRDefault="009C313D" w:rsidP="00560A50">
            <w:pPr>
              <w:jc w:val="cente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August 2018</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2B485253" w14:textId="77777777" w:rsidR="009C313D" w:rsidRPr="004C07F8" w:rsidRDefault="009C313D" w:rsidP="00560A50">
            <w:pPr>
              <w:jc w:val="cente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 xml:space="preserve">Trading </w:t>
            </w:r>
            <w:r>
              <w:rPr>
                <w:rFonts w:ascii="Garamond" w:eastAsia="Times New Roman" w:hAnsi="Garamond" w:cs="Calibri"/>
                <w:b/>
                <w:bCs/>
                <w:color w:val="000000"/>
                <w:sz w:val="18"/>
                <w:szCs w:val="18"/>
                <w:lang w:eastAsia="en-GB"/>
              </w:rPr>
              <w:t>D</w:t>
            </w:r>
            <w:r w:rsidRPr="004C07F8">
              <w:rPr>
                <w:rFonts w:ascii="Garamond" w:eastAsia="Times New Roman" w:hAnsi="Garamond" w:cs="Calibri"/>
                <w:b/>
                <w:bCs/>
                <w:color w:val="000000"/>
                <w:sz w:val="18"/>
                <w:szCs w:val="18"/>
                <w:lang w:eastAsia="en-GB"/>
              </w:rPr>
              <w:t xml:space="preserve">ays </w:t>
            </w:r>
            <w:r w:rsidRPr="004C07F8">
              <w:rPr>
                <w:rFonts w:ascii="Garamond" w:eastAsia="Times New Roman" w:hAnsi="Garamond" w:cs="Calibri"/>
                <w:b/>
                <w:bCs/>
                <w:color w:val="000000"/>
                <w:sz w:val="18"/>
                <w:szCs w:val="18"/>
                <w:lang w:eastAsia="en-GB"/>
              </w:rPr>
              <w:br/>
              <w:t>Aug 2018</w:t>
            </w:r>
          </w:p>
        </w:tc>
      </w:tr>
      <w:tr w:rsidR="009C313D" w:rsidRPr="004C07F8" w14:paraId="7AE12BF9" w14:textId="77777777" w:rsidTr="00560A50">
        <w:trPr>
          <w:trHeight w:val="53"/>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3D85E2C1" w14:textId="77777777" w:rsidR="009C313D" w:rsidRPr="004C07F8" w:rsidRDefault="009C313D" w:rsidP="00560A50">
            <w:pPr>
              <w:ind w:left="-23"/>
              <w:rPr>
                <w:rFonts w:ascii="Garamond" w:eastAsia="Times New Roman" w:hAnsi="Garamond" w:cs="Calibri"/>
                <w:b/>
                <w:bCs/>
                <w:color w:val="000000"/>
                <w:sz w:val="18"/>
                <w:szCs w:val="18"/>
                <w:lang w:eastAsia="en-GB"/>
              </w:rPr>
            </w:pPr>
          </w:p>
        </w:tc>
        <w:tc>
          <w:tcPr>
            <w:tcW w:w="2850" w:type="dxa"/>
            <w:gridSpan w:val="3"/>
            <w:tcBorders>
              <w:top w:val="single" w:sz="4" w:space="0" w:color="auto"/>
              <w:left w:val="nil"/>
              <w:bottom w:val="single" w:sz="4" w:space="0" w:color="auto"/>
              <w:right w:val="single" w:sz="4" w:space="0" w:color="auto"/>
            </w:tcBorders>
            <w:shd w:val="clear" w:color="000000" w:fill="B4C6E7"/>
            <w:vAlign w:val="center"/>
            <w:hideMark/>
          </w:tcPr>
          <w:p w14:paraId="5458E02D" w14:textId="77777777" w:rsidR="009C313D" w:rsidRPr="004C07F8" w:rsidRDefault="009C313D" w:rsidP="00560A50">
            <w:pPr>
              <w:jc w:val="cente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 xml:space="preserve">Stock </w:t>
            </w:r>
            <w:r>
              <w:rPr>
                <w:rFonts w:ascii="Garamond" w:eastAsia="Times New Roman" w:hAnsi="Garamond" w:cs="Calibri"/>
                <w:b/>
                <w:bCs/>
                <w:color w:val="000000"/>
                <w:sz w:val="18"/>
                <w:szCs w:val="18"/>
                <w:lang w:eastAsia="en-GB"/>
              </w:rPr>
              <w:t>I</w:t>
            </w:r>
            <w:r w:rsidRPr="004C07F8">
              <w:rPr>
                <w:rFonts w:ascii="Garamond" w:eastAsia="Times New Roman" w:hAnsi="Garamond" w:cs="Calibri"/>
                <w:b/>
                <w:bCs/>
                <w:color w:val="000000"/>
                <w:sz w:val="18"/>
                <w:szCs w:val="18"/>
                <w:lang w:eastAsia="en-GB"/>
              </w:rPr>
              <w:t xml:space="preserve">ndex </w:t>
            </w:r>
            <w:r>
              <w:rPr>
                <w:rFonts w:ascii="Garamond" w:eastAsia="Times New Roman" w:hAnsi="Garamond" w:cs="Calibri"/>
                <w:b/>
                <w:bCs/>
                <w:color w:val="000000"/>
                <w:sz w:val="18"/>
                <w:szCs w:val="18"/>
                <w:lang w:eastAsia="en-GB"/>
              </w:rPr>
              <w:t>O</w:t>
            </w:r>
            <w:r w:rsidRPr="004C07F8">
              <w:rPr>
                <w:rFonts w:ascii="Garamond" w:eastAsia="Times New Roman" w:hAnsi="Garamond" w:cs="Calibri"/>
                <w:b/>
                <w:bCs/>
                <w:color w:val="000000"/>
                <w:sz w:val="18"/>
                <w:szCs w:val="18"/>
                <w:lang w:eastAsia="en-GB"/>
              </w:rPr>
              <w:t>ptions</w:t>
            </w:r>
          </w:p>
        </w:tc>
        <w:tc>
          <w:tcPr>
            <w:tcW w:w="2700" w:type="dxa"/>
            <w:gridSpan w:val="3"/>
            <w:tcBorders>
              <w:top w:val="single" w:sz="4" w:space="0" w:color="auto"/>
              <w:left w:val="nil"/>
              <w:bottom w:val="single" w:sz="4" w:space="0" w:color="auto"/>
              <w:right w:val="single" w:sz="4" w:space="0" w:color="auto"/>
            </w:tcBorders>
            <w:shd w:val="clear" w:color="000000" w:fill="B4C6E7"/>
            <w:vAlign w:val="center"/>
            <w:hideMark/>
          </w:tcPr>
          <w:p w14:paraId="709D04EC" w14:textId="77777777" w:rsidR="009C313D" w:rsidRPr="004C07F8" w:rsidRDefault="009C313D" w:rsidP="00560A50">
            <w:pPr>
              <w:jc w:val="cente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 xml:space="preserve">Stock </w:t>
            </w:r>
            <w:r>
              <w:rPr>
                <w:rFonts w:ascii="Garamond" w:eastAsia="Times New Roman" w:hAnsi="Garamond" w:cs="Calibri"/>
                <w:b/>
                <w:bCs/>
                <w:color w:val="000000"/>
                <w:sz w:val="18"/>
                <w:szCs w:val="18"/>
                <w:lang w:eastAsia="en-GB"/>
              </w:rPr>
              <w:t>I</w:t>
            </w:r>
            <w:r w:rsidRPr="004C07F8">
              <w:rPr>
                <w:rFonts w:ascii="Garamond" w:eastAsia="Times New Roman" w:hAnsi="Garamond" w:cs="Calibri"/>
                <w:b/>
                <w:bCs/>
                <w:color w:val="000000"/>
                <w:sz w:val="18"/>
                <w:szCs w:val="18"/>
                <w:lang w:eastAsia="en-GB"/>
              </w:rPr>
              <w:t xml:space="preserve">ndex </w:t>
            </w:r>
            <w:r>
              <w:rPr>
                <w:rFonts w:ascii="Garamond" w:eastAsia="Times New Roman" w:hAnsi="Garamond" w:cs="Calibri"/>
                <w:b/>
                <w:bCs/>
                <w:color w:val="000000"/>
                <w:sz w:val="18"/>
                <w:szCs w:val="18"/>
                <w:lang w:eastAsia="en-GB"/>
              </w:rPr>
              <w:t>F</w:t>
            </w:r>
            <w:r w:rsidRPr="004C07F8">
              <w:rPr>
                <w:rFonts w:ascii="Garamond" w:eastAsia="Times New Roman" w:hAnsi="Garamond" w:cs="Calibri"/>
                <w:b/>
                <w:bCs/>
                <w:color w:val="000000"/>
                <w:sz w:val="18"/>
                <w:szCs w:val="18"/>
                <w:lang w:eastAsia="en-GB"/>
              </w:rPr>
              <w:t>utures</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52D2C520" w14:textId="77777777" w:rsidR="009C313D" w:rsidRPr="004C07F8" w:rsidRDefault="009C313D" w:rsidP="00560A50">
            <w:pPr>
              <w:rPr>
                <w:rFonts w:ascii="Garamond" w:eastAsia="Times New Roman" w:hAnsi="Garamond" w:cs="Calibri"/>
                <w:b/>
                <w:bCs/>
                <w:color w:val="000000"/>
                <w:sz w:val="18"/>
                <w:szCs w:val="18"/>
                <w:lang w:eastAsia="en-GB"/>
              </w:rPr>
            </w:pPr>
          </w:p>
        </w:tc>
      </w:tr>
      <w:tr w:rsidR="009C313D" w:rsidRPr="004C07F8" w14:paraId="0FB51C13" w14:textId="77777777" w:rsidTr="00560A50">
        <w:trPr>
          <w:trHeight w:val="53"/>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2B60D702" w14:textId="77777777" w:rsidR="009C313D" w:rsidRPr="004C07F8" w:rsidRDefault="009C313D" w:rsidP="00560A50">
            <w:pPr>
              <w:ind w:left="-23"/>
              <w:rPr>
                <w:rFonts w:ascii="Garamond" w:eastAsia="Times New Roman" w:hAnsi="Garamond" w:cs="Calibri"/>
                <w:b/>
                <w:bCs/>
                <w:color w:val="000000"/>
                <w:sz w:val="18"/>
                <w:szCs w:val="18"/>
                <w:lang w:eastAsia="en-GB"/>
              </w:rPr>
            </w:pPr>
          </w:p>
        </w:tc>
        <w:tc>
          <w:tcPr>
            <w:tcW w:w="1100" w:type="dxa"/>
            <w:tcBorders>
              <w:top w:val="nil"/>
              <w:left w:val="nil"/>
              <w:bottom w:val="single" w:sz="4" w:space="0" w:color="auto"/>
              <w:right w:val="single" w:sz="4" w:space="0" w:color="auto"/>
            </w:tcBorders>
            <w:shd w:val="clear" w:color="000000" w:fill="B4C6E7"/>
            <w:vAlign w:val="center"/>
            <w:hideMark/>
          </w:tcPr>
          <w:p w14:paraId="3D2542C4" w14:textId="77777777" w:rsidR="009C313D" w:rsidRPr="004C07F8" w:rsidRDefault="009C313D" w:rsidP="00560A50">
            <w:pP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Number of</w:t>
            </w:r>
            <w:r w:rsidRPr="004C07F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C</w:t>
            </w:r>
            <w:r w:rsidRPr="004C07F8">
              <w:rPr>
                <w:rFonts w:ascii="Garamond" w:eastAsia="Times New Roman" w:hAnsi="Garamond" w:cs="Calibri"/>
                <w:b/>
                <w:bCs/>
                <w:color w:val="000000"/>
                <w:sz w:val="18"/>
                <w:szCs w:val="18"/>
                <w:lang w:eastAsia="en-GB"/>
              </w:rPr>
              <w:t xml:space="preserve">ontracts </w:t>
            </w:r>
            <w:r>
              <w:rPr>
                <w:rFonts w:ascii="Garamond" w:eastAsia="Times New Roman" w:hAnsi="Garamond" w:cs="Calibri"/>
                <w:b/>
                <w:bCs/>
                <w:color w:val="000000"/>
                <w:sz w:val="18"/>
                <w:szCs w:val="18"/>
                <w:lang w:eastAsia="en-GB"/>
              </w:rPr>
              <w:t>T</w:t>
            </w:r>
            <w:r w:rsidRPr="004C07F8">
              <w:rPr>
                <w:rFonts w:ascii="Garamond" w:eastAsia="Times New Roman" w:hAnsi="Garamond" w:cs="Calibri"/>
                <w:b/>
                <w:bCs/>
                <w:color w:val="000000"/>
                <w:sz w:val="18"/>
                <w:szCs w:val="18"/>
                <w:lang w:eastAsia="en-GB"/>
              </w:rPr>
              <w:t>raded</w:t>
            </w:r>
          </w:p>
        </w:tc>
        <w:tc>
          <w:tcPr>
            <w:tcW w:w="880" w:type="dxa"/>
            <w:tcBorders>
              <w:top w:val="nil"/>
              <w:left w:val="nil"/>
              <w:bottom w:val="single" w:sz="4" w:space="0" w:color="auto"/>
              <w:right w:val="single" w:sz="4" w:space="0" w:color="auto"/>
            </w:tcBorders>
            <w:shd w:val="clear" w:color="000000" w:fill="B4C6E7"/>
            <w:vAlign w:val="center"/>
            <w:hideMark/>
          </w:tcPr>
          <w:p w14:paraId="597F2747" w14:textId="77777777" w:rsidR="009C313D" w:rsidRPr="004C07F8" w:rsidRDefault="009C313D" w:rsidP="00560A50">
            <w:pP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Notional</w:t>
            </w:r>
            <w:r w:rsidRPr="004C07F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T</w:t>
            </w:r>
            <w:r w:rsidRPr="004C07F8">
              <w:rPr>
                <w:rFonts w:ascii="Garamond" w:eastAsia="Times New Roman" w:hAnsi="Garamond" w:cs="Calibri"/>
                <w:b/>
                <w:bCs/>
                <w:color w:val="000000"/>
                <w:sz w:val="18"/>
                <w:szCs w:val="18"/>
                <w:lang w:eastAsia="en-GB"/>
              </w:rPr>
              <w:t>urnover</w:t>
            </w:r>
          </w:p>
        </w:tc>
        <w:tc>
          <w:tcPr>
            <w:tcW w:w="870" w:type="dxa"/>
            <w:tcBorders>
              <w:top w:val="nil"/>
              <w:left w:val="nil"/>
              <w:bottom w:val="single" w:sz="4" w:space="0" w:color="auto"/>
              <w:right w:val="single" w:sz="4" w:space="0" w:color="auto"/>
            </w:tcBorders>
            <w:shd w:val="clear" w:color="000000" w:fill="B4C6E7"/>
            <w:vAlign w:val="center"/>
            <w:hideMark/>
          </w:tcPr>
          <w:p w14:paraId="7E12B2F8" w14:textId="77777777" w:rsidR="009C313D" w:rsidRPr="004C07F8" w:rsidRDefault="009C313D" w:rsidP="00560A50">
            <w:pP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Open</w:t>
            </w:r>
            <w:r w:rsidRPr="004C07F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I</w:t>
            </w:r>
            <w:r w:rsidRPr="004C07F8">
              <w:rPr>
                <w:rFonts w:ascii="Garamond" w:eastAsia="Times New Roman" w:hAnsi="Garamond" w:cs="Calibri"/>
                <w:b/>
                <w:bCs/>
                <w:color w:val="000000"/>
                <w:sz w:val="18"/>
                <w:szCs w:val="18"/>
                <w:lang w:eastAsia="en-GB"/>
              </w:rPr>
              <w:t>nterest</w:t>
            </w:r>
          </w:p>
        </w:tc>
        <w:tc>
          <w:tcPr>
            <w:tcW w:w="990" w:type="dxa"/>
            <w:tcBorders>
              <w:top w:val="nil"/>
              <w:left w:val="nil"/>
              <w:bottom w:val="single" w:sz="4" w:space="0" w:color="auto"/>
              <w:right w:val="single" w:sz="4" w:space="0" w:color="auto"/>
            </w:tcBorders>
            <w:shd w:val="clear" w:color="000000" w:fill="B4C6E7"/>
            <w:vAlign w:val="center"/>
            <w:hideMark/>
          </w:tcPr>
          <w:p w14:paraId="2E68CEAE" w14:textId="77777777" w:rsidR="009C313D" w:rsidRPr="004C07F8" w:rsidRDefault="009C313D" w:rsidP="00560A50">
            <w:pP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Number of</w:t>
            </w:r>
            <w:r w:rsidRPr="004C07F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C</w:t>
            </w:r>
            <w:r w:rsidRPr="004C07F8">
              <w:rPr>
                <w:rFonts w:ascii="Garamond" w:eastAsia="Times New Roman" w:hAnsi="Garamond" w:cs="Calibri"/>
                <w:b/>
                <w:bCs/>
                <w:color w:val="000000"/>
                <w:sz w:val="18"/>
                <w:szCs w:val="18"/>
                <w:lang w:eastAsia="en-GB"/>
              </w:rPr>
              <w:t xml:space="preserve">ontracts </w:t>
            </w:r>
            <w:r>
              <w:rPr>
                <w:rFonts w:ascii="Garamond" w:eastAsia="Times New Roman" w:hAnsi="Garamond" w:cs="Calibri"/>
                <w:b/>
                <w:bCs/>
                <w:color w:val="000000"/>
                <w:sz w:val="18"/>
                <w:szCs w:val="18"/>
                <w:lang w:eastAsia="en-GB"/>
              </w:rPr>
              <w:t>T</w:t>
            </w:r>
            <w:r w:rsidRPr="004C07F8">
              <w:rPr>
                <w:rFonts w:ascii="Garamond" w:eastAsia="Times New Roman" w:hAnsi="Garamond" w:cs="Calibri"/>
                <w:b/>
                <w:bCs/>
                <w:color w:val="000000"/>
                <w:sz w:val="18"/>
                <w:szCs w:val="18"/>
                <w:lang w:eastAsia="en-GB"/>
              </w:rPr>
              <w:t>raded</w:t>
            </w:r>
          </w:p>
        </w:tc>
        <w:tc>
          <w:tcPr>
            <w:tcW w:w="900" w:type="dxa"/>
            <w:tcBorders>
              <w:top w:val="nil"/>
              <w:left w:val="nil"/>
              <w:bottom w:val="single" w:sz="4" w:space="0" w:color="auto"/>
              <w:right w:val="single" w:sz="4" w:space="0" w:color="auto"/>
            </w:tcBorders>
            <w:shd w:val="clear" w:color="000000" w:fill="B4C6E7"/>
            <w:vAlign w:val="center"/>
            <w:hideMark/>
          </w:tcPr>
          <w:p w14:paraId="05CDA2FC" w14:textId="77777777" w:rsidR="009C313D" w:rsidRPr="004C07F8" w:rsidRDefault="009C313D" w:rsidP="00560A50">
            <w:pP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Notional</w:t>
            </w:r>
            <w:r w:rsidRPr="004C07F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T</w:t>
            </w:r>
            <w:r w:rsidRPr="004C07F8">
              <w:rPr>
                <w:rFonts w:ascii="Garamond" w:eastAsia="Times New Roman" w:hAnsi="Garamond" w:cs="Calibri"/>
                <w:b/>
                <w:bCs/>
                <w:color w:val="000000"/>
                <w:sz w:val="18"/>
                <w:szCs w:val="18"/>
                <w:lang w:eastAsia="en-GB"/>
              </w:rPr>
              <w:t>urnover</w:t>
            </w:r>
          </w:p>
        </w:tc>
        <w:tc>
          <w:tcPr>
            <w:tcW w:w="810" w:type="dxa"/>
            <w:tcBorders>
              <w:top w:val="nil"/>
              <w:left w:val="nil"/>
              <w:bottom w:val="single" w:sz="4" w:space="0" w:color="auto"/>
              <w:right w:val="single" w:sz="4" w:space="0" w:color="auto"/>
            </w:tcBorders>
            <w:shd w:val="clear" w:color="000000" w:fill="B4C6E7"/>
            <w:vAlign w:val="center"/>
            <w:hideMark/>
          </w:tcPr>
          <w:p w14:paraId="3CF252BF" w14:textId="77777777" w:rsidR="009C313D" w:rsidRPr="004C07F8" w:rsidRDefault="009C313D" w:rsidP="00560A50">
            <w:pPr>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Open</w:t>
            </w:r>
            <w:r w:rsidRPr="004C07F8">
              <w:rPr>
                <w:rFonts w:ascii="Garamond" w:eastAsia="Times New Roman" w:hAnsi="Garamond" w:cs="Calibri"/>
                <w:b/>
                <w:bCs/>
                <w:color w:val="000000"/>
                <w:sz w:val="18"/>
                <w:szCs w:val="18"/>
                <w:lang w:eastAsia="en-GB"/>
              </w:rPr>
              <w:br/>
            </w:r>
            <w:r>
              <w:rPr>
                <w:rFonts w:ascii="Garamond" w:eastAsia="Times New Roman" w:hAnsi="Garamond" w:cs="Calibri"/>
                <w:b/>
                <w:bCs/>
                <w:color w:val="000000"/>
                <w:sz w:val="18"/>
                <w:szCs w:val="18"/>
                <w:lang w:eastAsia="en-GB"/>
              </w:rPr>
              <w:t>I</w:t>
            </w:r>
            <w:r w:rsidRPr="004C07F8">
              <w:rPr>
                <w:rFonts w:ascii="Garamond" w:eastAsia="Times New Roman" w:hAnsi="Garamond" w:cs="Calibri"/>
                <w:b/>
                <w:bCs/>
                <w:color w:val="000000"/>
                <w:sz w:val="18"/>
                <w:szCs w:val="18"/>
                <w:lang w:eastAsia="en-GB"/>
              </w:rPr>
              <w:t>nterest</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75D41E1" w14:textId="77777777" w:rsidR="009C313D" w:rsidRPr="004C07F8" w:rsidRDefault="009C313D" w:rsidP="00560A50">
            <w:pPr>
              <w:rPr>
                <w:rFonts w:ascii="Garamond" w:eastAsia="Times New Roman" w:hAnsi="Garamond" w:cs="Calibri"/>
                <w:b/>
                <w:bCs/>
                <w:color w:val="000000"/>
                <w:sz w:val="18"/>
                <w:szCs w:val="18"/>
                <w:lang w:eastAsia="en-GB"/>
              </w:rPr>
            </w:pPr>
          </w:p>
        </w:tc>
      </w:tr>
      <w:tr w:rsidR="009C313D" w:rsidRPr="004C07F8" w14:paraId="2CF53816" w14:textId="77777777" w:rsidTr="00560A50">
        <w:trPr>
          <w:trHeight w:val="255"/>
        </w:trPr>
        <w:tc>
          <w:tcPr>
            <w:tcW w:w="9105"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3202B562" w14:textId="77777777" w:rsidR="009C313D" w:rsidRPr="004C07F8" w:rsidRDefault="009C313D" w:rsidP="00560A50">
            <w:pPr>
              <w:ind w:left="-23"/>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Americas</w:t>
            </w:r>
          </w:p>
        </w:tc>
      </w:tr>
      <w:tr w:rsidR="009C313D" w:rsidRPr="004C07F8" w14:paraId="6DBD5848" w14:textId="77777777" w:rsidTr="00560A50">
        <w:trPr>
          <w:trHeight w:val="255"/>
        </w:trPr>
        <w:tc>
          <w:tcPr>
            <w:tcW w:w="2695" w:type="dxa"/>
            <w:tcBorders>
              <w:top w:val="nil"/>
              <w:left w:val="single" w:sz="4" w:space="0" w:color="auto"/>
              <w:bottom w:val="nil"/>
              <w:right w:val="nil"/>
            </w:tcBorders>
            <w:shd w:val="clear" w:color="000000" w:fill="B4C6E7"/>
            <w:vAlign w:val="center"/>
            <w:hideMark/>
          </w:tcPr>
          <w:p w14:paraId="56756268"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Bolsa de Comercio de Buenos Aires</w:t>
            </w:r>
          </w:p>
        </w:tc>
        <w:tc>
          <w:tcPr>
            <w:tcW w:w="1100" w:type="dxa"/>
            <w:tcBorders>
              <w:top w:val="nil"/>
              <w:left w:val="single" w:sz="4" w:space="0" w:color="auto"/>
              <w:bottom w:val="nil"/>
              <w:right w:val="nil"/>
            </w:tcBorders>
            <w:shd w:val="clear" w:color="auto" w:fill="auto"/>
            <w:vAlign w:val="center"/>
            <w:hideMark/>
          </w:tcPr>
          <w:p w14:paraId="704D156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880" w:type="dxa"/>
            <w:tcBorders>
              <w:top w:val="nil"/>
              <w:left w:val="single" w:sz="4" w:space="0" w:color="auto"/>
              <w:bottom w:val="nil"/>
              <w:right w:val="nil"/>
            </w:tcBorders>
            <w:shd w:val="clear" w:color="auto" w:fill="auto"/>
            <w:vAlign w:val="center"/>
            <w:hideMark/>
          </w:tcPr>
          <w:p w14:paraId="583A362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870" w:type="dxa"/>
            <w:tcBorders>
              <w:top w:val="nil"/>
              <w:left w:val="single" w:sz="4" w:space="0" w:color="auto"/>
              <w:bottom w:val="nil"/>
              <w:right w:val="single" w:sz="4" w:space="0" w:color="auto"/>
            </w:tcBorders>
            <w:shd w:val="clear" w:color="auto" w:fill="auto"/>
            <w:vAlign w:val="center"/>
            <w:hideMark/>
          </w:tcPr>
          <w:p w14:paraId="4C3B6E9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990" w:type="dxa"/>
            <w:tcBorders>
              <w:top w:val="nil"/>
              <w:left w:val="nil"/>
              <w:bottom w:val="nil"/>
              <w:right w:val="single" w:sz="4" w:space="0" w:color="auto"/>
            </w:tcBorders>
            <w:shd w:val="clear" w:color="auto" w:fill="auto"/>
            <w:vAlign w:val="center"/>
            <w:hideMark/>
          </w:tcPr>
          <w:p w14:paraId="1F0FB36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116,904</w:t>
            </w:r>
          </w:p>
        </w:tc>
        <w:tc>
          <w:tcPr>
            <w:tcW w:w="900" w:type="dxa"/>
            <w:tcBorders>
              <w:top w:val="nil"/>
              <w:left w:val="nil"/>
              <w:bottom w:val="nil"/>
              <w:right w:val="single" w:sz="4" w:space="0" w:color="auto"/>
            </w:tcBorders>
            <w:shd w:val="clear" w:color="auto" w:fill="auto"/>
            <w:vAlign w:val="center"/>
            <w:hideMark/>
          </w:tcPr>
          <w:p w14:paraId="3862A155"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3,072</w:t>
            </w:r>
          </w:p>
        </w:tc>
        <w:tc>
          <w:tcPr>
            <w:tcW w:w="810" w:type="dxa"/>
            <w:tcBorders>
              <w:top w:val="nil"/>
              <w:left w:val="nil"/>
              <w:bottom w:val="nil"/>
              <w:right w:val="single" w:sz="4" w:space="0" w:color="auto"/>
            </w:tcBorders>
            <w:shd w:val="clear" w:color="auto" w:fill="auto"/>
            <w:vAlign w:val="center"/>
            <w:hideMark/>
          </w:tcPr>
          <w:p w14:paraId="3AD3F9B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860" w:type="dxa"/>
            <w:tcBorders>
              <w:top w:val="nil"/>
              <w:left w:val="nil"/>
              <w:bottom w:val="nil"/>
              <w:right w:val="single" w:sz="4" w:space="0" w:color="auto"/>
            </w:tcBorders>
            <w:shd w:val="clear" w:color="auto" w:fill="auto"/>
            <w:vAlign w:val="center"/>
            <w:hideMark/>
          </w:tcPr>
          <w:p w14:paraId="711FD86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24632BBE"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13F0A7FD"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Bolsa de Valores de Colombia</w:t>
            </w:r>
          </w:p>
        </w:tc>
        <w:tc>
          <w:tcPr>
            <w:tcW w:w="1100" w:type="dxa"/>
            <w:tcBorders>
              <w:top w:val="nil"/>
              <w:left w:val="single" w:sz="4" w:space="0" w:color="auto"/>
              <w:bottom w:val="nil"/>
              <w:right w:val="nil"/>
            </w:tcBorders>
            <w:shd w:val="clear" w:color="auto" w:fill="auto"/>
            <w:vAlign w:val="center"/>
            <w:hideMark/>
          </w:tcPr>
          <w:p w14:paraId="126942B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880" w:type="dxa"/>
            <w:tcBorders>
              <w:top w:val="nil"/>
              <w:left w:val="single" w:sz="4" w:space="0" w:color="auto"/>
              <w:bottom w:val="nil"/>
              <w:right w:val="nil"/>
            </w:tcBorders>
            <w:shd w:val="clear" w:color="auto" w:fill="auto"/>
            <w:vAlign w:val="center"/>
            <w:hideMark/>
          </w:tcPr>
          <w:p w14:paraId="6B30597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870" w:type="dxa"/>
            <w:tcBorders>
              <w:top w:val="nil"/>
              <w:left w:val="single" w:sz="4" w:space="0" w:color="auto"/>
              <w:bottom w:val="nil"/>
              <w:right w:val="single" w:sz="4" w:space="0" w:color="auto"/>
            </w:tcBorders>
            <w:shd w:val="clear" w:color="auto" w:fill="auto"/>
            <w:vAlign w:val="center"/>
            <w:hideMark/>
          </w:tcPr>
          <w:p w14:paraId="38E509E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990" w:type="dxa"/>
            <w:tcBorders>
              <w:top w:val="nil"/>
              <w:left w:val="nil"/>
              <w:bottom w:val="nil"/>
              <w:right w:val="single" w:sz="4" w:space="0" w:color="auto"/>
            </w:tcBorders>
            <w:shd w:val="clear" w:color="auto" w:fill="auto"/>
            <w:vAlign w:val="center"/>
            <w:hideMark/>
          </w:tcPr>
          <w:p w14:paraId="45BA2E3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27</w:t>
            </w:r>
          </w:p>
        </w:tc>
        <w:tc>
          <w:tcPr>
            <w:tcW w:w="900" w:type="dxa"/>
            <w:tcBorders>
              <w:top w:val="nil"/>
              <w:left w:val="nil"/>
              <w:bottom w:val="nil"/>
              <w:right w:val="single" w:sz="4" w:space="0" w:color="auto"/>
            </w:tcBorders>
            <w:shd w:val="clear" w:color="auto" w:fill="auto"/>
            <w:vAlign w:val="center"/>
            <w:hideMark/>
          </w:tcPr>
          <w:p w14:paraId="128B2C5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0</w:t>
            </w:r>
          </w:p>
        </w:tc>
        <w:tc>
          <w:tcPr>
            <w:tcW w:w="810" w:type="dxa"/>
            <w:tcBorders>
              <w:top w:val="nil"/>
              <w:left w:val="nil"/>
              <w:bottom w:val="nil"/>
              <w:right w:val="single" w:sz="4" w:space="0" w:color="auto"/>
            </w:tcBorders>
            <w:shd w:val="clear" w:color="auto" w:fill="auto"/>
            <w:vAlign w:val="center"/>
            <w:hideMark/>
          </w:tcPr>
          <w:p w14:paraId="003139A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257</w:t>
            </w:r>
          </w:p>
        </w:tc>
        <w:tc>
          <w:tcPr>
            <w:tcW w:w="860" w:type="dxa"/>
            <w:tcBorders>
              <w:top w:val="nil"/>
              <w:left w:val="nil"/>
              <w:bottom w:val="nil"/>
              <w:right w:val="single" w:sz="4" w:space="0" w:color="auto"/>
            </w:tcBorders>
            <w:shd w:val="clear" w:color="auto" w:fill="auto"/>
            <w:vAlign w:val="center"/>
            <w:hideMark/>
          </w:tcPr>
          <w:p w14:paraId="7B7DCE60"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21</w:t>
            </w:r>
          </w:p>
        </w:tc>
      </w:tr>
      <w:tr w:rsidR="009C313D" w:rsidRPr="004C07F8" w14:paraId="3932D299" w14:textId="77777777" w:rsidTr="00560A50">
        <w:trPr>
          <w:trHeight w:val="255"/>
        </w:trPr>
        <w:tc>
          <w:tcPr>
            <w:tcW w:w="2695" w:type="dxa"/>
            <w:tcBorders>
              <w:top w:val="nil"/>
              <w:left w:val="single" w:sz="4" w:space="0" w:color="auto"/>
              <w:bottom w:val="nil"/>
              <w:right w:val="nil"/>
            </w:tcBorders>
            <w:shd w:val="clear" w:color="000000" w:fill="B4C6E7"/>
            <w:vAlign w:val="center"/>
            <w:hideMark/>
          </w:tcPr>
          <w:p w14:paraId="0B91EB6C"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CBOE Futures Exchange</w:t>
            </w:r>
          </w:p>
        </w:tc>
        <w:tc>
          <w:tcPr>
            <w:tcW w:w="1100" w:type="dxa"/>
            <w:tcBorders>
              <w:top w:val="nil"/>
              <w:left w:val="single" w:sz="4" w:space="0" w:color="auto"/>
              <w:bottom w:val="nil"/>
              <w:right w:val="nil"/>
            </w:tcBorders>
            <w:shd w:val="clear" w:color="auto" w:fill="auto"/>
            <w:vAlign w:val="center"/>
            <w:hideMark/>
          </w:tcPr>
          <w:p w14:paraId="7801481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80" w:type="dxa"/>
            <w:tcBorders>
              <w:top w:val="nil"/>
              <w:left w:val="single" w:sz="4" w:space="0" w:color="auto"/>
              <w:bottom w:val="nil"/>
              <w:right w:val="nil"/>
            </w:tcBorders>
            <w:shd w:val="clear" w:color="auto" w:fill="auto"/>
            <w:vAlign w:val="center"/>
            <w:hideMark/>
          </w:tcPr>
          <w:p w14:paraId="643709C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single" w:sz="4" w:space="0" w:color="auto"/>
              <w:bottom w:val="nil"/>
              <w:right w:val="single" w:sz="4" w:space="0" w:color="auto"/>
            </w:tcBorders>
            <w:shd w:val="clear" w:color="auto" w:fill="auto"/>
            <w:vAlign w:val="center"/>
            <w:hideMark/>
          </w:tcPr>
          <w:p w14:paraId="2E7FAB8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90" w:type="dxa"/>
            <w:tcBorders>
              <w:top w:val="nil"/>
              <w:left w:val="nil"/>
              <w:bottom w:val="nil"/>
              <w:right w:val="single" w:sz="4" w:space="0" w:color="auto"/>
            </w:tcBorders>
            <w:shd w:val="clear" w:color="auto" w:fill="auto"/>
            <w:vAlign w:val="center"/>
            <w:hideMark/>
          </w:tcPr>
          <w:p w14:paraId="72E5354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5,826,373</w:t>
            </w:r>
          </w:p>
        </w:tc>
        <w:tc>
          <w:tcPr>
            <w:tcW w:w="900" w:type="dxa"/>
            <w:tcBorders>
              <w:top w:val="nil"/>
              <w:left w:val="nil"/>
              <w:bottom w:val="nil"/>
              <w:right w:val="single" w:sz="4" w:space="0" w:color="auto"/>
            </w:tcBorders>
            <w:shd w:val="clear" w:color="auto" w:fill="auto"/>
            <w:vAlign w:val="center"/>
            <w:hideMark/>
          </w:tcPr>
          <w:p w14:paraId="5E391A8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10" w:type="dxa"/>
            <w:tcBorders>
              <w:top w:val="nil"/>
              <w:left w:val="nil"/>
              <w:bottom w:val="nil"/>
              <w:right w:val="single" w:sz="4" w:space="0" w:color="auto"/>
            </w:tcBorders>
            <w:shd w:val="clear" w:color="auto" w:fill="auto"/>
            <w:vAlign w:val="center"/>
            <w:hideMark/>
          </w:tcPr>
          <w:p w14:paraId="4FBBF9D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515,659</w:t>
            </w:r>
          </w:p>
        </w:tc>
        <w:tc>
          <w:tcPr>
            <w:tcW w:w="860" w:type="dxa"/>
            <w:tcBorders>
              <w:top w:val="nil"/>
              <w:left w:val="nil"/>
              <w:bottom w:val="nil"/>
              <w:right w:val="single" w:sz="4" w:space="0" w:color="auto"/>
            </w:tcBorders>
            <w:shd w:val="clear" w:color="auto" w:fill="auto"/>
            <w:vAlign w:val="center"/>
            <w:hideMark/>
          </w:tcPr>
          <w:p w14:paraId="796BD76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138122D0"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6DC60521"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Chicago Board Options Exchange</w:t>
            </w:r>
          </w:p>
        </w:tc>
        <w:tc>
          <w:tcPr>
            <w:tcW w:w="1100" w:type="dxa"/>
            <w:tcBorders>
              <w:top w:val="nil"/>
              <w:left w:val="single" w:sz="4" w:space="0" w:color="auto"/>
              <w:bottom w:val="nil"/>
              <w:right w:val="nil"/>
            </w:tcBorders>
            <w:shd w:val="clear" w:color="auto" w:fill="auto"/>
            <w:vAlign w:val="center"/>
            <w:hideMark/>
          </w:tcPr>
          <w:p w14:paraId="60BFC31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41,787,572</w:t>
            </w:r>
          </w:p>
        </w:tc>
        <w:tc>
          <w:tcPr>
            <w:tcW w:w="880" w:type="dxa"/>
            <w:tcBorders>
              <w:top w:val="nil"/>
              <w:left w:val="single" w:sz="4" w:space="0" w:color="auto"/>
              <w:bottom w:val="nil"/>
              <w:right w:val="nil"/>
            </w:tcBorders>
            <w:shd w:val="clear" w:color="auto" w:fill="auto"/>
            <w:vAlign w:val="center"/>
            <w:hideMark/>
          </w:tcPr>
          <w:p w14:paraId="37AD20C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single" w:sz="4" w:space="0" w:color="auto"/>
              <w:bottom w:val="nil"/>
              <w:right w:val="single" w:sz="4" w:space="0" w:color="auto"/>
            </w:tcBorders>
            <w:shd w:val="clear" w:color="auto" w:fill="auto"/>
            <w:vAlign w:val="center"/>
            <w:hideMark/>
          </w:tcPr>
          <w:p w14:paraId="07CE513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24,721,100</w:t>
            </w:r>
          </w:p>
        </w:tc>
        <w:tc>
          <w:tcPr>
            <w:tcW w:w="990" w:type="dxa"/>
            <w:tcBorders>
              <w:top w:val="nil"/>
              <w:left w:val="nil"/>
              <w:bottom w:val="nil"/>
              <w:right w:val="single" w:sz="4" w:space="0" w:color="auto"/>
            </w:tcBorders>
            <w:shd w:val="clear" w:color="auto" w:fill="auto"/>
            <w:vAlign w:val="center"/>
            <w:hideMark/>
          </w:tcPr>
          <w:p w14:paraId="110DD72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00" w:type="dxa"/>
            <w:tcBorders>
              <w:top w:val="nil"/>
              <w:left w:val="nil"/>
              <w:bottom w:val="nil"/>
              <w:right w:val="single" w:sz="4" w:space="0" w:color="auto"/>
            </w:tcBorders>
            <w:shd w:val="clear" w:color="auto" w:fill="auto"/>
            <w:vAlign w:val="center"/>
            <w:hideMark/>
          </w:tcPr>
          <w:p w14:paraId="5B0329B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10" w:type="dxa"/>
            <w:tcBorders>
              <w:top w:val="nil"/>
              <w:left w:val="nil"/>
              <w:bottom w:val="nil"/>
              <w:right w:val="single" w:sz="4" w:space="0" w:color="auto"/>
            </w:tcBorders>
            <w:shd w:val="clear" w:color="auto" w:fill="auto"/>
            <w:vAlign w:val="center"/>
            <w:hideMark/>
          </w:tcPr>
          <w:p w14:paraId="2365113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60" w:type="dxa"/>
            <w:tcBorders>
              <w:top w:val="nil"/>
              <w:left w:val="nil"/>
              <w:bottom w:val="nil"/>
              <w:right w:val="single" w:sz="4" w:space="0" w:color="auto"/>
            </w:tcBorders>
            <w:shd w:val="clear" w:color="auto" w:fill="auto"/>
            <w:vAlign w:val="center"/>
            <w:hideMark/>
          </w:tcPr>
          <w:p w14:paraId="7751ADB0"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1F7DCB96"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5C21525D"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CME Group</w:t>
            </w:r>
          </w:p>
        </w:tc>
        <w:tc>
          <w:tcPr>
            <w:tcW w:w="1100" w:type="dxa"/>
            <w:tcBorders>
              <w:top w:val="nil"/>
              <w:left w:val="single" w:sz="4" w:space="0" w:color="auto"/>
              <w:bottom w:val="nil"/>
              <w:right w:val="nil"/>
            </w:tcBorders>
            <w:shd w:val="clear" w:color="auto" w:fill="auto"/>
            <w:vAlign w:val="center"/>
            <w:hideMark/>
          </w:tcPr>
          <w:p w14:paraId="05619A9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15,162,569</w:t>
            </w:r>
          </w:p>
        </w:tc>
        <w:tc>
          <w:tcPr>
            <w:tcW w:w="880" w:type="dxa"/>
            <w:tcBorders>
              <w:top w:val="nil"/>
              <w:left w:val="single" w:sz="4" w:space="0" w:color="auto"/>
              <w:bottom w:val="nil"/>
              <w:right w:val="nil"/>
            </w:tcBorders>
            <w:shd w:val="clear" w:color="auto" w:fill="auto"/>
            <w:vAlign w:val="center"/>
            <w:hideMark/>
          </w:tcPr>
          <w:p w14:paraId="0C7486C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2,707,440</w:t>
            </w:r>
          </w:p>
        </w:tc>
        <w:tc>
          <w:tcPr>
            <w:tcW w:w="870" w:type="dxa"/>
            <w:tcBorders>
              <w:top w:val="nil"/>
              <w:left w:val="single" w:sz="4" w:space="0" w:color="auto"/>
              <w:bottom w:val="nil"/>
              <w:right w:val="single" w:sz="4" w:space="0" w:color="auto"/>
            </w:tcBorders>
            <w:shd w:val="clear" w:color="auto" w:fill="auto"/>
            <w:vAlign w:val="center"/>
            <w:hideMark/>
          </w:tcPr>
          <w:p w14:paraId="6D630D5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5,010,320</w:t>
            </w:r>
          </w:p>
        </w:tc>
        <w:tc>
          <w:tcPr>
            <w:tcW w:w="990" w:type="dxa"/>
            <w:tcBorders>
              <w:top w:val="nil"/>
              <w:left w:val="nil"/>
              <w:bottom w:val="nil"/>
              <w:right w:val="single" w:sz="4" w:space="0" w:color="auto"/>
            </w:tcBorders>
            <w:shd w:val="clear" w:color="auto" w:fill="auto"/>
            <w:vAlign w:val="center"/>
            <w:hideMark/>
          </w:tcPr>
          <w:p w14:paraId="0C03409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39,417,676</w:t>
            </w:r>
          </w:p>
        </w:tc>
        <w:tc>
          <w:tcPr>
            <w:tcW w:w="900" w:type="dxa"/>
            <w:tcBorders>
              <w:top w:val="nil"/>
              <w:left w:val="nil"/>
              <w:bottom w:val="nil"/>
              <w:right w:val="single" w:sz="4" w:space="0" w:color="auto"/>
            </w:tcBorders>
            <w:shd w:val="clear" w:color="auto" w:fill="auto"/>
            <w:vAlign w:val="center"/>
            <w:hideMark/>
          </w:tcPr>
          <w:p w14:paraId="73D171B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5,470,430</w:t>
            </w:r>
          </w:p>
        </w:tc>
        <w:tc>
          <w:tcPr>
            <w:tcW w:w="810" w:type="dxa"/>
            <w:tcBorders>
              <w:top w:val="nil"/>
              <w:left w:val="nil"/>
              <w:bottom w:val="nil"/>
              <w:right w:val="single" w:sz="4" w:space="0" w:color="auto"/>
            </w:tcBorders>
            <w:shd w:val="clear" w:color="auto" w:fill="auto"/>
            <w:vAlign w:val="center"/>
            <w:hideMark/>
          </w:tcPr>
          <w:p w14:paraId="45044E4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4,681,440</w:t>
            </w:r>
          </w:p>
        </w:tc>
        <w:tc>
          <w:tcPr>
            <w:tcW w:w="860" w:type="dxa"/>
            <w:tcBorders>
              <w:top w:val="nil"/>
              <w:left w:val="nil"/>
              <w:bottom w:val="nil"/>
              <w:right w:val="single" w:sz="4" w:space="0" w:color="auto"/>
            </w:tcBorders>
            <w:shd w:val="clear" w:color="auto" w:fill="auto"/>
            <w:vAlign w:val="center"/>
            <w:hideMark/>
          </w:tcPr>
          <w:p w14:paraId="513CAB20"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3CEA59EE"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37F7EE9E"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ICE Futures US</w:t>
            </w:r>
          </w:p>
        </w:tc>
        <w:tc>
          <w:tcPr>
            <w:tcW w:w="1100" w:type="dxa"/>
            <w:tcBorders>
              <w:top w:val="nil"/>
              <w:left w:val="single" w:sz="4" w:space="0" w:color="auto"/>
              <w:bottom w:val="nil"/>
              <w:right w:val="nil"/>
            </w:tcBorders>
            <w:shd w:val="clear" w:color="auto" w:fill="auto"/>
            <w:vAlign w:val="center"/>
            <w:hideMark/>
          </w:tcPr>
          <w:p w14:paraId="3D89F4E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80" w:type="dxa"/>
            <w:tcBorders>
              <w:top w:val="nil"/>
              <w:left w:val="single" w:sz="4" w:space="0" w:color="auto"/>
              <w:bottom w:val="nil"/>
              <w:right w:val="nil"/>
            </w:tcBorders>
            <w:shd w:val="clear" w:color="auto" w:fill="auto"/>
            <w:vAlign w:val="center"/>
            <w:hideMark/>
          </w:tcPr>
          <w:p w14:paraId="7085CD2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single" w:sz="4" w:space="0" w:color="auto"/>
              <w:bottom w:val="nil"/>
              <w:right w:val="single" w:sz="4" w:space="0" w:color="auto"/>
            </w:tcBorders>
            <w:shd w:val="clear" w:color="auto" w:fill="auto"/>
            <w:vAlign w:val="center"/>
            <w:hideMark/>
          </w:tcPr>
          <w:p w14:paraId="581D80E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90" w:type="dxa"/>
            <w:tcBorders>
              <w:top w:val="nil"/>
              <w:left w:val="nil"/>
              <w:bottom w:val="nil"/>
              <w:right w:val="single" w:sz="4" w:space="0" w:color="auto"/>
            </w:tcBorders>
            <w:shd w:val="clear" w:color="auto" w:fill="auto"/>
            <w:vAlign w:val="center"/>
            <w:hideMark/>
          </w:tcPr>
          <w:p w14:paraId="7EE70F6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00" w:type="dxa"/>
            <w:tcBorders>
              <w:top w:val="nil"/>
              <w:left w:val="nil"/>
              <w:bottom w:val="nil"/>
              <w:right w:val="single" w:sz="4" w:space="0" w:color="auto"/>
            </w:tcBorders>
            <w:shd w:val="clear" w:color="auto" w:fill="auto"/>
            <w:vAlign w:val="center"/>
            <w:hideMark/>
          </w:tcPr>
          <w:p w14:paraId="0147F64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120,371</w:t>
            </w:r>
          </w:p>
        </w:tc>
        <w:tc>
          <w:tcPr>
            <w:tcW w:w="810" w:type="dxa"/>
            <w:tcBorders>
              <w:top w:val="nil"/>
              <w:left w:val="nil"/>
              <w:bottom w:val="nil"/>
              <w:right w:val="single" w:sz="4" w:space="0" w:color="auto"/>
            </w:tcBorders>
            <w:shd w:val="clear" w:color="auto" w:fill="auto"/>
            <w:vAlign w:val="center"/>
            <w:hideMark/>
          </w:tcPr>
          <w:p w14:paraId="40C003C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1,489,510</w:t>
            </w:r>
          </w:p>
        </w:tc>
        <w:tc>
          <w:tcPr>
            <w:tcW w:w="860" w:type="dxa"/>
            <w:tcBorders>
              <w:top w:val="nil"/>
              <w:left w:val="nil"/>
              <w:bottom w:val="nil"/>
              <w:right w:val="single" w:sz="4" w:space="0" w:color="auto"/>
            </w:tcBorders>
            <w:shd w:val="clear" w:color="auto" w:fill="auto"/>
            <w:vAlign w:val="center"/>
            <w:hideMark/>
          </w:tcPr>
          <w:p w14:paraId="215E6235"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04183CEF"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0588CEAA"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International Securities Exchange</w:t>
            </w:r>
          </w:p>
        </w:tc>
        <w:tc>
          <w:tcPr>
            <w:tcW w:w="1100" w:type="dxa"/>
            <w:tcBorders>
              <w:top w:val="nil"/>
              <w:left w:val="single" w:sz="4" w:space="0" w:color="auto"/>
              <w:bottom w:val="nil"/>
              <w:right w:val="nil"/>
            </w:tcBorders>
            <w:shd w:val="clear" w:color="auto" w:fill="auto"/>
            <w:vAlign w:val="center"/>
            <w:hideMark/>
          </w:tcPr>
          <w:p w14:paraId="6C6D030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97,094</w:t>
            </w:r>
          </w:p>
        </w:tc>
        <w:tc>
          <w:tcPr>
            <w:tcW w:w="880" w:type="dxa"/>
            <w:tcBorders>
              <w:top w:val="nil"/>
              <w:left w:val="single" w:sz="4" w:space="0" w:color="auto"/>
              <w:bottom w:val="nil"/>
              <w:right w:val="nil"/>
            </w:tcBorders>
            <w:shd w:val="clear" w:color="auto" w:fill="auto"/>
            <w:vAlign w:val="center"/>
            <w:hideMark/>
          </w:tcPr>
          <w:p w14:paraId="2D1946D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single" w:sz="4" w:space="0" w:color="auto"/>
              <w:bottom w:val="nil"/>
              <w:right w:val="single" w:sz="4" w:space="0" w:color="auto"/>
            </w:tcBorders>
            <w:shd w:val="clear" w:color="auto" w:fill="auto"/>
            <w:vAlign w:val="center"/>
            <w:hideMark/>
          </w:tcPr>
          <w:p w14:paraId="3DC0256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90" w:type="dxa"/>
            <w:tcBorders>
              <w:top w:val="nil"/>
              <w:left w:val="nil"/>
              <w:bottom w:val="nil"/>
              <w:right w:val="single" w:sz="4" w:space="0" w:color="auto"/>
            </w:tcBorders>
            <w:shd w:val="clear" w:color="auto" w:fill="auto"/>
            <w:vAlign w:val="center"/>
            <w:hideMark/>
          </w:tcPr>
          <w:p w14:paraId="0F671B0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00" w:type="dxa"/>
            <w:tcBorders>
              <w:top w:val="nil"/>
              <w:left w:val="nil"/>
              <w:bottom w:val="nil"/>
              <w:right w:val="single" w:sz="4" w:space="0" w:color="auto"/>
            </w:tcBorders>
            <w:shd w:val="clear" w:color="auto" w:fill="auto"/>
            <w:vAlign w:val="center"/>
            <w:hideMark/>
          </w:tcPr>
          <w:p w14:paraId="0184FA7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10" w:type="dxa"/>
            <w:tcBorders>
              <w:top w:val="nil"/>
              <w:left w:val="nil"/>
              <w:bottom w:val="nil"/>
              <w:right w:val="single" w:sz="4" w:space="0" w:color="auto"/>
            </w:tcBorders>
            <w:shd w:val="clear" w:color="auto" w:fill="auto"/>
            <w:vAlign w:val="center"/>
            <w:hideMark/>
          </w:tcPr>
          <w:p w14:paraId="65898B0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60" w:type="dxa"/>
            <w:tcBorders>
              <w:top w:val="nil"/>
              <w:left w:val="nil"/>
              <w:bottom w:val="nil"/>
              <w:right w:val="single" w:sz="4" w:space="0" w:color="auto"/>
            </w:tcBorders>
            <w:shd w:val="clear" w:color="auto" w:fill="auto"/>
            <w:vAlign w:val="center"/>
            <w:hideMark/>
          </w:tcPr>
          <w:p w14:paraId="68A7B002" w14:textId="77777777" w:rsidR="009C313D" w:rsidRPr="004C07F8" w:rsidRDefault="009C313D" w:rsidP="00560A50">
            <w:pPr>
              <w:jc w:val="right"/>
              <w:rPr>
                <w:rFonts w:ascii="Garamond" w:eastAsia="Times New Roman" w:hAnsi="Garamond" w:cs="Calibri"/>
                <w:color w:val="000000"/>
                <w:sz w:val="18"/>
                <w:szCs w:val="18"/>
                <w:lang w:eastAsia="en-GB"/>
              </w:rPr>
            </w:pPr>
          </w:p>
        </w:tc>
      </w:tr>
      <w:tr w:rsidR="009C313D" w:rsidRPr="004C07F8" w14:paraId="60DB64E3"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30E64822"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MexDer</w:t>
            </w:r>
          </w:p>
        </w:tc>
        <w:tc>
          <w:tcPr>
            <w:tcW w:w="1100" w:type="dxa"/>
            <w:tcBorders>
              <w:top w:val="nil"/>
              <w:left w:val="single" w:sz="4" w:space="0" w:color="auto"/>
              <w:bottom w:val="nil"/>
              <w:right w:val="nil"/>
            </w:tcBorders>
            <w:shd w:val="clear" w:color="auto" w:fill="auto"/>
            <w:vAlign w:val="center"/>
            <w:hideMark/>
          </w:tcPr>
          <w:p w14:paraId="0D6A19B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334</w:t>
            </w:r>
          </w:p>
        </w:tc>
        <w:tc>
          <w:tcPr>
            <w:tcW w:w="880" w:type="dxa"/>
            <w:tcBorders>
              <w:top w:val="nil"/>
              <w:left w:val="single" w:sz="4" w:space="0" w:color="auto"/>
              <w:bottom w:val="nil"/>
              <w:right w:val="nil"/>
            </w:tcBorders>
            <w:shd w:val="clear" w:color="auto" w:fill="auto"/>
            <w:vAlign w:val="center"/>
            <w:hideMark/>
          </w:tcPr>
          <w:p w14:paraId="3A6A5C40"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w:t>
            </w:r>
          </w:p>
        </w:tc>
        <w:tc>
          <w:tcPr>
            <w:tcW w:w="870" w:type="dxa"/>
            <w:tcBorders>
              <w:top w:val="nil"/>
              <w:left w:val="single" w:sz="4" w:space="0" w:color="auto"/>
              <w:bottom w:val="nil"/>
              <w:right w:val="single" w:sz="4" w:space="0" w:color="auto"/>
            </w:tcBorders>
            <w:shd w:val="clear" w:color="auto" w:fill="auto"/>
            <w:vAlign w:val="center"/>
            <w:hideMark/>
          </w:tcPr>
          <w:p w14:paraId="1D61CF0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3,150</w:t>
            </w:r>
          </w:p>
        </w:tc>
        <w:tc>
          <w:tcPr>
            <w:tcW w:w="990" w:type="dxa"/>
            <w:tcBorders>
              <w:top w:val="nil"/>
              <w:left w:val="nil"/>
              <w:bottom w:val="nil"/>
              <w:right w:val="single" w:sz="4" w:space="0" w:color="auto"/>
            </w:tcBorders>
            <w:shd w:val="clear" w:color="auto" w:fill="auto"/>
            <w:vAlign w:val="center"/>
            <w:hideMark/>
          </w:tcPr>
          <w:p w14:paraId="4C4F255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48,401</w:t>
            </w:r>
          </w:p>
        </w:tc>
        <w:tc>
          <w:tcPr>
            <w:tcW w:w="900" w:type="dxa"/>
            <w:tcBorders>
              <w:top w:val="nil"/>
              <w:left w:val="nil"/>
              <w:bottom w:val="nil"/>
              <w:right w:val="single" w:sz="4" w:space="0" w:color="auto"/>
            </w:tcBorders>
            <w:shd w:val="clear" w:color="auto" w:fill="auto"/>
            <w:vAlign w:val="center"/>
            <w:hideMark/>
          </w:tcPr>
          <w:p w14:paraId="13585B7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1,213</w:t>
            </w:r>
          </w:p>
        </w:tc>
        <w:tc>
          <w:tcPr>
            <w:tcW w:w="810" w:type="dxa"/>
            <w:tcBorders>
              <w:top w:val="nil"/>
              <w:left w:val="nil"/>
              <w:bottom w:val="nil"/>
              <w:right w:val="single" w:sz="4" w:space="0" w:color="auto"/>
            </w:tcBorders>
            <w:shd w:val="clear" w:color="auto" w:fill="auto"/>
            <w:vAlign w:val="center"/>
            <w:hideMark/>
          </w:tcPr>
          <w:p w14:paraId="3FBA9EE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47,762</w:t>
            </w:r>
          </w:p>
        </w:tc>
        <w:tc>
          <w:tcPr>
            <w:tcW w:w="860" w:type="dxa"/>
            <w:tcBorders>
              <w:top w:val="nil"/>
              <w:left w:val="nil"/>
              <w:bottom w:val="nil"/>
              <w:right w:val="single" w:sz="4" w:space="0" w:color="auto"/>
            </w:tcBorders>
            <w:shd w:val="clear" w:color="auto" w:fill="auto"/>
            <w:vAlign w:val="center"/>
            <w:hideMark/>
          </w:tcPr>
          <w:p w14:paraId="756FE61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0927CEAD"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5BBA329A"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Nasdaq - US</w:t>
            </w:r>
          </w:p>
        </w:tc>
        <w:tc>
          <w:tcPr>
            <w:tcW w:w="1100" w:type="dxa"/>
            <w:tcBorders>
              <w:top w:val="nil"/>
              <w:left w:val="single" w:sz="4" w:space="0" w:color="auto"/>
              <w:bottom w:val="nil"/>
              <w:right w:val="nil"/>
            </w:tcBorders>
            <w:shd w:val="clear" w:color="auto" w:fill="auto"/>
            <w:vAlign w:val="center"/>
            <w:hideMark/>
          </w:tcPr>
          <w:p w14:paraId="11342B7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351,024</w:t>
            </w:r>
          </w:p>
        </w:tc>
        <w:tc>
          <w:tcPr>
            <w:tcW w:w="880" w:type="dxa"/>
            <w:tcBorders>
              <w:top w:val="nil"/>
              <w:left w:val="single" w:sz="4" w:space="0" w:color="auto"/>
              <w:bottom w:val="nil"/>
              <w:right w:val="nil"/>
            </w:tcBorders>
            <w:shd w:val="clear" w:color="auto" w:fill="auto"/>
            <w:vAlign w:val="center"/>
            <w:hideMark/>
          </w:tcPr>
          <w:p w14:paraId="197549A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single" w:sz="4" w:space="0" w:color="auto"/>
              <w:bottom w:val="nil"/>
              <w:right w:val="single" w:sz="4" w:space="0" w:color="auto"/>
            </w:tcBorders>
            <w:shd w:val="clear" w:color="auto" w:fill="auto"/>
            <w:vAlign w:val="center"/>
            <w:hideMark/>
          </w:tcPr>
          <w:p w14:paraId="439867E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90" w:type="dxa"/>
            <w:tcBorders>
              <w:top w:val="nil"/>
              <w:left w:val="nil"/>
              <w:bottom w:val="nil"/>
              <w:right w:val="single" w:sz="4" w:space="0" w:color="auto"/>
            </w:tcBorders>
            <w:shd w:val="clear" w:color="auto" w:fill="auto"/>
            <w:vAlign w:val="center"/>
            <w:hideMark/>
          </w:tcPr>
          <w:p w14:paraId="48D81FD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00" w:type="dxa"/>
            <w:tcBorders>
              <w:top w:val="nil"/>
              <w:left w:val="nil"/>
              <w:bottom w:val="nil"/>
              <w:right w:val="single" w:sz="4" w:space="0" w:color="auto"/>
            </w:tcBorders>
            <w:shd w:val="clear" w:color="auto" w:fill="auto"/>
            <w:vAlign w:val="center"/>
            <w:hideMark/>
          </w:tcPr>
          <w:p w14:paraId="264ADAD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10" w:type="dxa"/>
            <w:tcBorders>
              <w:top w:val="nil"/>
              <w:left w:val="nil"/>
              <w:bottom w:val="nil"/>
              <w:right w:val="single" w:sz="4" w:space="0" w:color="auto"/>
            </w:tcBorders>
            <w:shd w:val="clear" w:color="auto" w:fill="auto"/>
            <w:vAlign w:val="center"/>
            <w:hideMark/>
          </w:tcPr>
          <w:p w14:paraId="20BA527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60" w:type="dxa"/>
            <w:tcBorders>
              <w:top w:val="nil"/>
              <w:left w:val="nil"/>
              <w:bottom w:val="nil"/>
              <w:right w:val="single" w:sz="4" w:space="0" w:color="auto"/>
            </w:tcBorders>
            <w:shd w:val="clear" w:color="auto" w:fill="auto"/>
            <w:vAlign w:val="center"/>
            <w:hideMark/>
          </w:tcPr>
          <w:p w14:paraId="26FB1380" w14:textId="77777777" w:rsidR="009C313D" w:rsidRPr="004C07F8" w:rsidRDefault="009C313D" w:rsidP="00560A50">
            <w:pPr>
              <w:jc w:val="right"/>
              <w:rPr>
                <w:rFonts w:ascii="Garamond" w:eastAsia="Times New Roman" w:hAnsi="Garamond" w:cs="Calibri"/>
                <w:color w:val="000000"/>
                <w:sz w:val="18"/>
                <w:szCs w:val="18"/>
                <w:lang w:eastAsia="en-GB"/>
              </w:rPr>
            </w:pPr>
          </w:p>
        </w:tc>
      </w:tr>
      <w:tr w:rsidR="009C313D" w:rsidRPr="004C07F8" w14:paraId="79FF723E" w14:textId="77777777" w:rsidTr="00560A50">
        <w:trPr>
          <w:trHeight w:val="53"/>
        </w:trPr>
        <w:tc>
          <w:tcPr>
            <w:tcW w:w="2695" w:type="dxa"/>
            <w:tcBorders>
              <w:top w:val="single" w:sz="4" w:space="0" w:color="auto"/>
              <w:left w:val="single" w:sz="4" w:space="0" w:color="auto"/>
              <w:bottom w:val="single" w:sz="4" w:space="0" w:color="auto"/>
              <w:right w:val="nil"/>
            </w:tcBorders>
            <w:shd w:val="clear" w:color="000000" w:fill="B4C6E7"/>
            <w:vAlign w:val="center"/>
            <w:hideMark/>
          </w:tcPr>
          <w:p w14:paraId="573066AA" w14:textId="77777777" w:rsidR="009C313D" w:rsidRPr="004C07F8" w:rsidRDefault="009C313D" w:rsidP="00560A50">
            <w:pPr>
              <w:ind w:left="-23"/>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 xml:space="preserve">Total </w:t>
            </w:r>
            <w:r>
              <w:rPr>
                <w:rFonts w:ascii="Garamond" w:eastAsia="Times New Roman" w:hAnsi="Garamond" w:cs="Calibri"/>
                <w:b/>
                <w:bCs/>
                <w:color w:val="000000"/>
                <w:sz w:val="18"/>
                <w:szCs w:val="18"/>
                <w:lang w:eastAsia="en-GB"/>
              </w:rPr>
              <w:t>R</w:t>
            </w:r>
            <w:r w:rsidRPr="004C07F8">
              <w:rPr>
                <w:rFonts w:ascii="Garamond" w:eastAsia="Times New Roman" w:hAnsi="Garamond" w:cs="Calibri"/>
                <w:b/>
                <w:bCs/>
                <w:color w:val="000000"/>
                <w:sz w:val="18"/>
                <w:szCs w:val="18"/>
                <w:lang w:eastAsia="en-GB"/>
              </w:rPr>
              <w:t>egion</w:t>
            </w:r>
          </w:p>
        </w:tc>
        <w:tc>
          <w:tcPr>
            <w:tcW w:w="1100" w:type="dxa"/>
            <w:tcBorders>
              <w:top w:val="single" w:sz="4" w:space="0" w:color="auto"/>
              <w:left w:val="single" w:sz="4" w:space="0" w:color="auto"/>
              <w:bottom w:val="single" w:sz="4" w:space="0" w:color="auto"/>
              <w:right w:val="nil"/>
            </w:tcBorders>
            <w:shd w:val="clear" w:color="auto" w:fill="auto"/>
            <w:vAlign w:val="center"/>
            <w:hideMark/>
          </w:tcPr>
          <w:p w14:paraId="76DF5ADA" w14:textId="77777777" w:rsidR="009C313D" w:rsidRPr="004C07F8" w:rsidRDefault="009C313D" w:rsidP="00560A50">
            <w:pPr>
              <w:jc w:val="right"/>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57,398,593</w:t>
            </w:r>
          </w:p>
        </w:tc>
        <w:tc>
          <w:tcPr>
            <w:tcW w:w="880" w:type="dxa"/>
            <w:tcBorders>
              <w:top w:val="single" w:sz="4" w:space="0" w:color="auto"/>
              <w:left w:val="single" w:sz="4" w:space="0" w:color="auto"/>
              <w:bottom w:val="single" w:sz="4" w:space="0" w:color="auto"/>
              <w:right w:val="nil"/>
            </w:tcBorders>
            <w:shd w:val="clear" w:color="auto" w:fill="auto"/>
            <w:vAlign w:val="center"/>
            <w:hideMark/>
          </w:tcPr>
          <w:p w14:paraId="71AD47E4"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BE8D8"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110796B" w14:textId="77777777" w:rsidR="009C313D" w:rsidRPr="004C07F8" w:rsidRDefault="009C313D" w:rsidP="00560A50">
            <w:pPr>
              <w:jc w:val="right"/>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45,409,381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00EB446"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F268FF6"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56DA27E" w14:textId="77777777" w:rsidR="009C313D" w:rsidRPr="004C07F8" w:rsidRDefault="009C313D" w:rsidP="00560A50">
            <w:pPr>
              <w:jc w:val="right"/>
              <w:rPr>
                <w:rFonts w:ascii="Garamond" w:eastAsia="Times New Roman" w:hAnsi="Garamond" w:cs="Calibri"/>
                <w:b/>
                <w:bCs/>
                <w:color w:val="000000"/>
                <w:sz w:val="18"/>
                <w:szCs w:val="18"/>
                <w:lang w:eastAsia="en-GB"/>
              </w:rPr>
            </w:pPr>
          </w:p>
        </w:tc>
      </w:tr>
      <w:tr w:rsidR="009C313D" w:rsidRPr="004C07F8" w14:paraId="3045B1E7" w14:textId="77777777" w:rsidTr="00560A50">
        <w:trPr>
          <w:trHeight w:val="53"/>
        </w:trPr>
        <w:tc>
          <w:tcPr>
            <w:tcW w:w="9105"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57CEB6BF" w14:textId="77777777" w:rsidR="009C313D" w:rsidRPr="004C07F8" w:rsidRDefault="009C313D" w:rsidP="00560A50">
            <w:pPr>
              <w:ind w:left="-23"/>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Asia - Pacific</w:t>
            </w:r>
          </w:p>
        </w:tc>
      </w:tr>
      <w:tr w:rsidR="009C313D" w:rsidRPr="004C07F8" w14:paraId="0804F84F" w14:textId="77777777" w:rsidTr="00560A50">
        <w:trPr>
          <w:trHeight w:val="53"/>
        </w:trPr>
        <w:tc>
          <w:tcPr>
            <w:tcW w:w="2695" w:type="dxa"/>
            <w:tcBorders>
              <w:top w:val="nil"/>
              <w:left w:val="single" w:sz="4" w:space="0" w:color="auto"/>
              <w:bottom w:val="nil"/>
              <w:right w:val="nil"/>
            </w:tcBorders>
            <w:shd w:val="clear" w:color="000000" w:fill="B4C6E7"/>
            <w:vAlign w:val="center"/>
            <w:hideMark/>
          </w:tcPr>
          <w:p w14:paraId="7CC6AFB3"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Australian Securities Exchange</w:t>
            </w:r>
          </w:p>
        </w:tc>
        <w:tc>
          <w:tcPr>
            <w:tcW w:w="1100" w:type="dxa"/>
            <w:tcBorders>
              <w:top w:val="nil"/>
              <w:left w:val="single" w:sz="4" w:space="0" w:color="auto"/>
              <w:bottom w:val="nil"/>
              <w:right w:val="nil"/>
            </w:tcBorders>
            <w:shd w:val="clear" w:color="auto" w:fill="auto"/>
            <w:vAlign w:val="center"/>
            <w:hideMark/>
          </w:tcPr>
          <w:p w14:paraId="6D4F5C7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987,127</w:t>
            </w:r>
          </w:p>
        </w:tc>
        <w:tc>
          <w:tcPr>
            <w:tcW w:w="880" w:type="dxa"/>
            <w:tcBorders>
              <w:top w:val="nil"/>
              <w:left w:val="single" w:sz="4" w:space="0" w:color="auto"/>
              <w:bottom w:val="nil"/>
              <w:right w:val="nil"/>
            </w:tcBorders>
            <w:shd w:val="clear" w:color="auto" w:fill="auto"/>
            <w:vAlign w:val="center"/>
            <w:hideMark/>
          </w:tcPr>
          <w:p w14:paraId="189C07F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45,288</w:t>
            </w:r>
          </w:p>
        </w:tc>
        <w:tc>
          <w:tcPr>
            <w:tcW w:w="870" w:type="dxa"/>
            <w:tcBorders>
              <w:top w:val="nil"/>
              <w:left w:val="single" w:sz="4" w:space="0" w:color="auto"/>
              <w:bottom w:val="nil"/>
              <w:right w:val="single" w:sz="4" w:space="0" w:color="auto"/>
            </w:tcBorders>
            <w:shd w:val="clear" w:color="auto" w:fill="auto"/>
            <w:vAlign w:val="center"/>
            <w:hideMark/>
          </w:tcPr>
          <w:p w14:paraId="34EB7A5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1,058,670</w:t>
            </w:r>
          </w:p>
        </w:tc>
        <w:tc>
          <w:tcPr>
            <w:tcW w:w="990" w:type="dxa"/>
            <w:tcBorders>
              <w:top w:val="nil"/>
              <w:left w:val="nil"/>
              <w:bottom w:val="nil"/>
              <w:right w:val="single" w:sz="4" w:space="0" w:color="auto"/>
            </w:tcBorders>
            <w:shd w:val="clear" w:color="auto" w:fill="auto"/>
            <w:vAlign w:val="center"/>
            <w:hideMark/>
          </w:tcPr>
          <w:p w14:paraId="48C1E22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931,302</w:t>
            </w:r>
          </w:p>
        </w:tc>
        <w:tc>
          <w:tcPr>
            <w:tcW w:w="900" w:type="dxa"/>
            <w:tcBorders>
              <w:top w:val="nil"/>
              <w:left w:val="nil"/>
              <w:bottom w:val="nil"/>
              <w:right w:val="single" w:sz="4" w:space="0" w:color="auto"/>
            </w:tcBorders>
            <w:shd w:val="clear" w:color="auto" w:fill="auto"/>
            <w:vAlign w:val="center"/>
            <w:hideMark/>
          </w:tcPr>
          <w:p w14:paraId="510DDDF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103,797</w:t>
            </w:r>
          </w:p>
        </w:tc>
        <w:tc>
          <w:tcPr>
            <w:tcW w:w="810" w:type="dxa"/>
            <w:tcBorders>
              <w:top w:val="nil"/>
              <w:left w:val="nil"/>
              <w:bottom w:val="nil"/>
              <w:right w:val="single" w:sz="4" w:space="0" w:color="auto"/>
            </w:tcBorders>
            <w:shd w:val="clear" w:color="auto" w:fill="auto"/>
            <w:vAlign w:val="center"/>
            <w:hideMark/>
          </w:tcPr>
          <w:p w14:paraId="1C0A1B5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415,187</w:t>
            </w:r>
          </w:p>
        </w:tc>
        <w:tc>
          <w:tcPr>
            <w:tcW w:w="860" w:type="dxa"/>
            <w:tcBorders>
              <w:top w:val="nil"/>
              <w:left w:val="nil"/>
              <w:bottom w:val="nil"/>
              <w:right w:val="single" w:sz="4" w:space="0" w:color="auto"/>
            </w:tcBorders>
            <w:shd w:val="clear" w:color="auto" w:fill="auto"/>
            <w:vAlign w:val="center"/>
            <w:hideMark/>
          </w:tcPr>
          <w:p w14:paraId="4AC87A3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48A6EC2C"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41B692E4"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BSE India Limited</w:t>
            </w:r>
          </w:p>
        </w:tc>
        <w:tc>
          <w:tcPr>
            <w:tcW w:w="1100" w:type="dxa"/>
            <w:tcBorders>
              <w:top w:val="nil"/>
              <w:left w:val="single" w:sz="4" w:space="0" w:color="auto"/>
              <w:bottom w:val="nil"/>
              <w:right w:val="nil"/>
            </w:tcBorders>
            <w:shd w:val="clear" w:color="auto" w:fill="auto"/>
            <w:vAlign w:val="center"/>
            <w:hideMark/>
          </w:tcPr>
          <w:p w14:paraId="142E046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80" w:type="dxa"/>
            <w:tcBorders>
              <w:top w:val="nil"/>
              <w:left w:val="single" w:sz="4" w:space="0" w:color="auto"/>
              <w:bottom w:val="nil"/>
              <w:right w:val="nil"/>
            </w:tcBorders>
            <w:shd w:val="clear" w:color="auto" w:fill="auto"/>
            <w:vAlign w:val="center"/>
            <w:hideMark/>
          </w:tcPr>
          <w:p w14:paraId="446BB98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single" w:sz="4" w:space="0" w:color="auto"/>
              <w:bottom w:val="nil"/>
              <w:right w:val="single" w:sz="4" w:space="0" w:color="auto"/>
            </w:tcBorders>
            <w:shd w:val="clear" w:color="auto" w:fill="auto"/>
            <w:vAlign w:val="center"/>
            <w:hideMark/>
          </w:tcPr>
          <w:p w14:paraId="73B8A51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90" w:type="dxa"/>
            <w:tcBorders>
              <w:top w:val="nil"/>
              <w:left w:val="nil"/>
              <w:bottom w:val="nil"/>
              <w:right w:val="single" w:sz="4" w:space="0" w:color="auto"/>
            </w:tcBorders>
            <w:shd w:val="clear" w:color="auto" w:fill="auto"/>
            <w:vAlign w:val="center"/>
            <w:hideMark/>
          </w:tcPr>
          <w:p w14:paraId="0DA3312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900" w:type="dxa"/>
            <w:tcBorders>
              <w:top w:val="nil"/>
              <w:left w:val="nil"/>
              <w:bottom w:val="nil"/>
              <w:right w:val="single" w:sz="4" w:space="0" w:color="auto"/>
            </w:tcBorders>
            <w:shd w:val="clear" w:color="auto" w:fill="auto"/>
            <w:vAlign w:val="center"/>
            <w:hideMark/>
          </w:tcPr>
          <w:p w14:paraId="48A1D3D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810" w:type="dxa"/>
            <w:tcBorders>
              <w:top w:val="nil"/>
              <w:left w:val="nil"/>
              <w:bottom w:val="nil"/>
              <w:right w:val="single" w:sz="4" w:space="0" w:color="auto"/>
            </w:tcBorders>
            <w:shd w:val="clear" w:color="auto" w:fill="auto"/>
            <w:vAlign w:val="center"/>
            <w:hideMark/>
          </w:tcPr>
          <w:p w14:paraId="03482F0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60" w:type="dxa"/>
            <w:tcBorders>
              <w:top w:val="nil"/>
              <w:left w:val="nil"/>
              <w:bottom w:val="nil"/>
              <w:right w:val="single" w:sz="4" w:space="0" w:color="auto"/>
            </w:tcBorders>
            <w:shd w:val="clear" w:color="auto" w:fill="auto"/>
            <w:vAlign w:val="center"/>
            <w:hideMark/>
          </w:tcPr>
          <w:p w14:paraId="033FFBA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21</w:t>
            </w:r>
          </w:p>
        </w:tc>
      </w:tr>
      <w:tr w:rsidR="009C313D" w:rsidRPr="004C07F8" w14:paraId="31D93063"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46BF3A08"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Bursa Malaysia Derivatives</w:t>
            </w:r>
          </w:p>
        </w:tc>
        <w:tc>
          <w:tcPr>
            <w:tcW w:w="1100" w:type="dxa"/>
            <w:tcBorders>
              <w:top w:val="nil"/>
              <w:left w:val="single" w:sz="4" w:space="0" w:color="auto"/>
              <w:bottom w:val="nil"/>
              <w:right w:val="nil"/>
            </w:tcBorders>
            <w:shd w:val="clear" w:color="auto" w:fill="auto"/>
            <w:vAlign w:val="center"/>
            <w:hideMark/>
          </w:tcPr>
          <w:p w14:paraId="3122263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1,362</w:t>
            </w:r>
          </w:p>
        </w:tc>
        <w:tc>
          <w:tcPr>
            <w:tcW w:w="880" w:type="dxa"/>
            <w:tcBorders>
              <w:top w:val="nil"/>
              <w:left w:val="single" w:sz="4" w:space="0" w:color="auto"/>
              <w:bottom w:val="nil"/>
              <w:right w:val="nil"/>
            </w:tcBorders>
            <w:shd w:val="clear" w:color="auto" w:fill="auto"/>
            <w:vAlign w:val="center"/>
            <w:hideMark/>
          </w:tcPr>
          <w:p w14:paraId="0621CA2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0</w:t>
            </w:r>
          </w:p>
        </w:tc>
        <w:tc>
          <w:tcPr>
            <w:tcW w:w="870" w:type="dxa"/>
            <w:tcBorders>
              <w:top w:val="nil"/>
              <w:left w:val="single" w:sz="4" w:space="0" w:color="auto"/>
              <w:bottom w:val="nil"/>
              <w:right w:val="single" w:sz="4" w:space="0" w:color="auto"/>
            </w:tcBorders>
            <w:shd w:val="clear" w:color="auto" w:fill="auto"/>
            <w:vAlign w:val="center"/>
            <w:hideMark/>
          </w:tcPr>
          <w:p w14:paraId="595410E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311</w:t>
            </w:r>
          </w:p>
        </w:tc>
        <w:tc>
          <w:tcPr>
            <w:tcW w:w="990" w:type="dxa"/>
            <w:tcBorders>
              <w:top w:val="nil"/>
              <w:left w:val="nil"/>
              <w:bottom w:val="nil"/>
              <w:right w:val="single" w:sz="4" w:space="0" w:color="auto"/>
            </w:tcBorders>
            <w:shd w:val="clear" w:color="auto" w:fill="auto"/>
            <w:vAlign w:val="center"/>
            <w:hideMark/>
          </w:tcPr>
          <w:p w14:paraId="0919619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198,403</w:t>
            </w:r>
          </w:p>
        </w:tc>
        <w:tc>
          <w:tcPr>
            <w:tcW w:w="900" w:type="dxa"/>
            <w:tcBorders>
              <w:top w:val="nil"/>
              <w:left w:val="nil"/>
              <w:bottom w:val="nil"/>
              <w:right w:val="single" w:sz="4" w:space="0" w:color="auto"/>
            </w:tcBorders>
            <w:shd w:val="clear" w:color="auto" w:fill="auto"/>
            <w:vAlign w:val="center"/>
            <w:hideMark/>
          </w:tcPr>
          <w:p w14:paraId="2DC2628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4,217</w:t>
            </w:r>
          </w:p>
        </w:tc>
        <w:tc>
          <w:tcPr>
            <w:tcW w:w="810" w:type="dxa"/>
            <w:tcBorders>
              <w:top w:val="nil"/>
              <w:left w:val="nil"/>
              <w:bottom w:val="nil"/>
              <w:right w:val="single" w:sz="4" w:space="0" w:color="auto"/>
            </w:tcBorders>
            <w:shd w:val="clear" w:color="auto" w:fill="auto"/>
            <w:vAlign w:val="center"/>
            <w:hideMark/>
          </w:tcPr>
          <w:p w14:paraId="154AD27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23,331</w:t>
            </w:r>
          </w:p>
        </w:tc>
        <w:tc>
          <w:tcPr>
            <w:tcW w:w="860" w:type="dxa"/>
            <w:tcBorders>
              <w:top w:val="nil"/>
              <w:left w:val="nil"/>
              <w:bottom w:val="nil"/>
              <w:right w:val="single" w:sz="4" w:space="0" w:color="auto"/>
            </w:tcBorders>
            <w:shd w:val="clear" w:color="auto" w:fill="auto"/>
            <w:vAlign w:val="center"/>
            <w:hideMark/>
          </w:tcPr>
          <w:p w14:paraId="7279485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21</w:t>
            </w:r>
          </w:p>
        </w:tc>
      </w:tr>
      <w:tr w:rsidR="009C313D" w:rsidRPr="004C07F8" w14:paraId="5658D10D"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74220653"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Hong Kong Exchanges and Clearing</w:t>
            </w:r>
          </w:p>
        </w:tc>
        <w:tc>
          <w:tcPr>
            <w:tcW w:w="1100" w:type="dxa"/>
            <w:tcBorders>
              <w:top w:val="nil"/>
              <w:left w:val="single" w:sz="4" w:space="0" w:color="auto"/>
              <w:bottom w:val="nil"/>
              <w:right w:val="nil"/>
            </w:tcBorders>
            <w:shd w:val="clear" w:color="auto" w:fill="auto"/>
            <w:vAlign w:val="center"/>
            <w:hideMark/>
          </w:tcPr>
          <w:p w14:paraId="58599F7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3,231,362</w:t>
            </w:r>
          </w:p>
        </w:tc>
        <w:tc>
          <w:tcPr>
            <w:tcW w:w="880" w:type="dxa"/>
            <w:tcBorders>
              <w:top w:val="nil"/>
              <w:left w:val="single" w:sz="4" w:space="0" w:color="auto"/>
              <w:bottom w:val="nil"/>
              <w:right w:val="nil"/>
            </w:tcBorders>
            <w:shd w:val="clear" w:color="auto" w:fill="auto"/>
            <w:vAlign w:val="center"/>
            <w:hideMark/>
          </w:tcPr>
          <w:p w14:paraId="0147F8F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330,332</w:t>
            </w:r>
          </w:p>
        </w:tc>
        <w:tc>
          <w:tcPr>
            <w:tcW w:w="870" w:type="dxa"/>
            <w:tcBorders>
              <w:top w:val="nil"/>
              <w:left w:val="single" w:sz="4" w:space="0" w:color="auto"/>
              <w:bottom w:val="nil"/>
              <w:right w:val="single" w:sz="4" w:space="0" w:color="auto"/>
            </w:tcBorders>
            <w:shd w:val="clear" w:color="auto" w:fill="auto"/>
            <w:vAlign w:val="center"/>
            <w:hideMark/>
          </w:tcPr>
          <w:p w14:paraId="4126056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3,609,790</w:t>
            </w:r>
          </w:p>
        </w:tc>
        <w:tc>
          <w:tcPr>
            <w:tcW w:w="990" w:type="dxa"/>
            <w:tcBorders>
              <w:top w:val="nil"/>
              <w:left w:val="nil"/>
              <w:bottom w:val="nil"/>
              <w:right w:val="single" w:sz="4" w:space="0" w:color="auto"/>
            </w:tcBorders>
            <w:shd w:val="clear" w:color="auto" w:fill="auto"/>
            <w:vAlign w:val="center"/>
            <w:hideMark/>
          </w:tcPr>
          <w:p w14:paraId="6AAAF23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10,794,362</w:t>
            </w:r>
          </w:p>
        </w:tc>
        <w:tc>
          <w:tcPr>
            <w:tcW w:w="900" w:type="dxa"/>
            <w:tcBorders>
              <w:top w:val="nil"/>
              <w:left w:val="nil"/>
              <w:bottom w:val="nil"/>
              <w:right w:val="single" w:sz="4" w:space="0" w:color="auto"/>
            </w:tcBorders>
            <w:shd w:val="clear" w:color="auto" w:fill="auto"/>
            <w:vAlign w:val="center"/>
            <w:hideMark/>
          </w:tcPr>
          <w:p w14:paraId="3B1A7E65"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1,199,070</w:t>
            </w:r>
          </w:p>
        </w:tc>
        <w:tc>
          <w:tcPr>
            <w:tcW w:w="810" w:type="dxa"/>
            <w:tcBorders>
              <w:top w:val="nil"/>
              <w:left w:val="nil"/>
              <w:bottom w:val="nil"/>
              <w:right w:val="single" w:sz="4" w:space="0" w:color="auto"/>
            </w:tcBorders>
            <w:shd w:val="clear" w:color="auto" w:fill="auto"/>
            <w:vAlign w:val="center"/>
            <w:hideMark/>
          </w:tcPr>
          <w:p w14:paraId="026FC9C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642,951</w:t>
            </w:r>
          </w:p>
        </w:tc>
        <w:tc>
          <w:tcPr>
            <w:tcW w:w="860" w:type="dxa"/>
            <w:tcBorders>
              <w:top w:val="nil"/>
              <w:left w:val="nil"/>
              <w:bottom w:val="nil"/>
              <w:right w:val="single" w:sz="4" w:space="0" w:color="auto"/>
            </w:tcBorders>
            <w:shd w:val="clear" w:color="auto" w:fill="auto"/>
            <w:vAlign w:val="center"/>
            <w:hideMark/>
          </w:tcPr>
          <w:p w14:paraId="159D808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01E81C6C"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2858C2EE"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Japan Exchange Group</w:t>
            </w:r>
          </w:p>
        </w:tc>
        <w:tc>
          <w:tcPr>
            <w:tcW w:w="1100" w:type="dxa"/>
            <w:tcBorders>
              <w:top w:val="nil"/>
              <w:left w:val="single" w:sz="4" w:space="0" w:color="auto"/>
              <w:bottom w:val="nil"/>
              <w:right w:val="nil"/>
            </w:tcBorders>
            <w:shd w:val="clear" w:color="auto" w:fill="auto"/>
            <w:vAlign w:val="center"/>
            <w:hideMark/>
          </w:tcPr>
          <w:p w14:paraId="703AEAD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2,630,265</w:t>
            </w:r>
          </w:p>
        </w:tc>
        <w:tc>
          <w:tcPr>
            <w:tcW w:w="880" w:type="dxa"/>
            <w:tcBorders>
              <w:top w:val="nil"/>
              <w:left w:val="single" w:sz="4" w:space="0" w:color="auto"/>
              <w:bottom w:val="nil"/>
              <w:right w:val="nil"/>
            </w:tcBorders>
            <w:shd w:val="clear" w:color="auto" w:fill="auto"/>
            <w:vAlign w:val="center"/>
            <w:hideMark/>
          </w:tcPr>
          <w:p w14:paraId="1F4F434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single" w:sz="4" w:space="0" w:color="auto"/>
              <w:bottom w:val="nil"/>
              <w:right w:val="single" w:sz="4" w:space="0" w:color="auto"/>
            </w:tcBorders>
            <w:shd w:val="clear" w:color="auto" w:fill="auto"/>
            <w:vAlign w:val="center"/>
            <w:hideMark/>
          </w:tcPr>
          <w:p w14:paraId="3ED484E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2,189,250</w:t>
            </w:r>
          </w:p>
        </w:tc>
        <w:tc>
          <w:tcPr>
            <w:tcW w:w="990" w:type="dxa"/>
            <w:tcBorders>
              <w:top w:val="nil"/>
              <w:left w:val="nil"/>
              <w:bottom w:val="nil"/>
              <w:right w:val="single" w:sz="4" w:space="0" w:color="auto"/>
            </w:tcBorders>
            <w:shd w:val="clear" w:color="auto" w:fill="auto"/>
            <w:vAlign w:val="center"/>
            <w:hideMark/>
          </w:tcPr>
          <w:p w14:paraId="79FBA61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23,432,715</w:t>
            </w:r>
          </w:p>
        </w:tc>
        <w:tc>
          <w:tcPr>
            <w:tcW w:w="900" w:type="dxa"/>
            <w:tcBorders>
              <w:top w:val="nil"/>
              <w:left w:val="nil"/>
              <w:bottom w:val="nil"/>
              <w:right w:val="single" w:sz="4" w:space="0" w:color="auto"/>
            </w:tcBorders>
            <w:shd w:val="clear" w:color="auto" w:fill="auto"/>
            <w:vAlign w:val="center"/>
            <w:hideMark/>
          </w:tcPr>
          <w:p w14:paraId="4620FE6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914,576</w:t>
            </w:r>
          </w:p>
        </w:tc>
        <w:tc>
          <w:tcPr>
            <w:tcW w:w="810" w:type="dxa"/>
            <w:tcBorders>
              <w:top w:val="nil"/>
              <w:left w:val="nil"/>
              <w:bottom w:val="nil"/>
              <w:right w:val="single" w:sz="4" w:space="0" w:color="auto"/>
            </w:tcBorders>
            <w:shd w:val="clear" w:color="auto" w:fill="auto"/>
            <w:vAlign w:val="center"/>
            <w:hideMark/>
          </w:tcPr>
          <w:p w14:paraId="7ACC9B1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1,705,400</w:t>
            </w:r>
          </w:p>
        </w:tc>
        <w:tc>
          <w:tcPr>
            <w:tcW w:w="860" w:type="dxa"/>
            <w:tcBorders>
              <w:top w:val="nil"/>
              <w:left w:val="nil"/>
              <w:bottom w:val="nil"/>
              <w:right w:val="single" w:sz="4" w:space="0" w:color="auto"/>
            </w:tcBorders>
            <w:shd w:val="clear" w:color="auto" w:fill="auto"/>
            <w:vAlign w:val="center"/>
            <w:hideMark/>
          </w:tcPr>
          <w:p w14:paraId="1666D43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3FA5B06B"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409717ED"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Korea Exchange</w:t>
            </w:r>
          </w:p>
        </w:tc>
        <w:tc>
          <w:tcPr>
            <w:tcW w:w="1100" w:type="dxa"/>
            <w:tcBorders>
              <w:top w:val="nil"/>
              <w:left w:val="single" w:sz="4" w:space="0" w:color="auto"/>
              <w:bottom w:val="nil"/>
              <w:right w:val="nil"/>
            </w:tcBorders>
            <w:shd w:val="clear" w:color="auto" w:fill="auto"/>
            <w:vAlign w:val="center"/>
            <w:hideMark/>
          </w:tcPr>
          <w:p w14:paraId="7F7DBDE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48,973,344</w:t>
            </w:r>
          </w:p>
        </w:tc>
        <w:tc>
          <w:tcPr>
            <w:tcW w:w="880" w:type="dxa"/>
            <w:tcBorders>
              <w:top w:val="nil"/>
              <w:left w:val="single" w:sz="4" w:space="0" w:color="auto"/>
              <w:bottom w:val="nil"/>
              <w:right w:val="nil"/>
            </w:tcBorders>
            <w:shd w:val="clear" w:color="auto" w:fill="auto"/>
            <w:vAlign w:val="center"/>
            <w:hideMark/>
          </w:tcPr>
          <w:p w14:paraId="15EA6F5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3,172,980</w:t>
            </w:r>
          </w:p>
        </w:tc>
        <w:tc>
          <w:tcPr>
            <w:tcW w:w="870" w:type="dxa"/>
            <w:tcBorders>
              <w:top w:val="nil"/>
              <w:left w:val="single" w:sz="4" w:space="0" w:color="auto"/>
              <w:bottom w:val="nil"/>
              <w:right w:val="single" w:sz="4" w:space="0" w:color="auto"/>
            </w:tcBorders>
            <w:shd w:val="clear" w:color="auto" w:fill="auto"/>
            <w:vAlign w:val="center"/>
            <w:hideMark/>
          </w:tcPr>
          <w:p w14:paraId="5DBDB67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3,439,930</w:t>
            </w:r>
          </w:p>
        </w:tc>
        <w:tc>
          <w:tcPr>
            <w:tcW w:w="990" w:type="dxa"/>
            <w:tcBorders>
              <w:top w:val="nil"/>
              <w:left w:val="nil"/>
              <w:bottom w:val="nil"/>
              <w:right w:val="single" w:sz="4" w:space="0" w:color="auto"/>
            </w:tcBorders>
            <w:shd w:val="clear" w:color="auto" w:fill="auto"/>
            <w:vAlign w:val="center"/>
            <w:hideMark/>
          </w:tcPr>
          <w:p w14:paraId="520DE1F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6,887,105</w:t>
            </w:r>
          </w:p>
        </w:tc>
        <w:tc>
          <w:tcPr>
            <w:tcW w:w="900" w:type="dxa"/>
            <w:tcBorders>
              <w:top w:val="nil"/>
              <w:left w:val="nil"/>
              <w:bottom w:val="nil"/>
              <w:right w:val="single" w:sz="4" w:space="0" w:color="auto"/>
            </w:tcBorders>
            <w:shd w:val="clear" w:color="auto" w:fill="auto"/>
            <w:vAlign w:val="center"/>
            <w:hideMark/>
          </w:tcPr>
          <w:p w14:paraId="79A2F920"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331,698</w:t>
            </w:r>
          </w:p>
        </w:tc>
        <w:tc>
          <w:tcPr>
            <w:tcW w:w="810" w:type="dxa"/>
            <w:tcBorders>
              <w:top w:val="nil"/>
              <w:left w:val="nil"/>
              <w:bottom w:val="nil"/>
              <w:right w:val="single" w:sz="4" w:space="0" w:color="auto"/>
            </w:tcBorders>
            <w:shd w:val="clear" w:color="auto" w:fill="auto"/>
            <w:vAlign w:val="center"/>
            <w:hideMark/>
          </w:tcPr>
          <w:p w14:paraId="7C3C4180"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654,355</w:t>
            </w:r>
          </w:p>
        </w:tc>
        <w:tc>
          <w:tcPr>
            <w:tcW w:w="860" w:type="dxa"/>
            <w:tcBorders>
              <w:top w:val="nil"/>
              <w:left w:val="nil"/>
              <w:bottom w:val="nil"/>
              <w:right w:val="single" w:sz="4" w:space="0" w:color="auto"/>
            </w:tcBorders>
            <w:shd w:val="clear" w:color="auto" w:fill="auto"/>
            <w:vAlign w:val="center"/>
            <w:hideMark/>
          </w:tcPr>
          <w:p w14:paraId="2EA9B58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0A49E016"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526DD16F"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National Stock Exchange of India</w:t>
            </w:r>
          </w:p>
        </w:tc>
        <w:tc>
          <w:tcPr>
            <w:tcW w:w="1100" w:type="dxa"/>
            <w:tcBorders>
              <w:top w:val="nil"/>
              <w:left w:val="single" w:sz="4" w:space="0" w:color="auto"/>
              <w:bottom w:val="nil"/>
              <w:right w:val="nil"/>
            </w:tcBorders>
            <w:shd w:val="clear" w:color="auto" w:fill="auto"/>
            <w:vAlign w:val="center"/>
            <w:hideMark/>
          </w:tcPr>
          <w:p w14:paraId="5A0883F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163,699,594</w:t>
            </w:r>
          </w:p>
        </w:tc>
        <w:tc>
          <w:tcPr>
            <w:tcW w:w="880" w:type="dxa"/>
            <w:tcBorders>
              <w:top w:val="nil"/>
              <w:left w:val="single" w:sz="4" w:space="0" w:color="auto"/>
              <w:bottom w:val="nil"/>
              <w:right w:val="nil"/>
            </w:tcBorders>
            <w:shd w:val="clear" w:color="auto" w:fill="auto"/>
            <w:vAlign w:val="center"/>
            <w:hideMark/>
          </w:tcPr>
          <w:p w14:paraId="13BC53A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2,451,430</w:t>
            </w:r>
          </w:p>
        </w:tc>
        <w:tc>
          <w:tcPr>
            <w:tcW w:w="870" w:type="dxa"/>
            <w:tcBorders>
              <w:top w:val="nil"/>
              <w:left w:val="single" w:sz="4" w:space="0" w:color="auto"/>
              <w:bottom w:val="nil"/>
              <w:right w:val="single" w:sz="4" w:space="0" w:color="auto"/>
            </w:tcBorders>
            <w:shd w:val="clear" w:color="auto" w:fill="auto"/>
            <w:vAlign w:val="center"/>
            <w:hideMark/>
          </w:tcPr>
          <w:p w14:paraId="3AE135B5"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1,625,360</w:t>
            </w:r>
          </w:p>
        </w:tc>
        <w:tc>
          <w:tcPr>
            <w:tcW w:w="990" w:type="dxa"/>
            <w:tcBorders>
              <w:top w:val="nil"/>
              <w:left w:val="nil"/>
              <w:bottom w:val="nil"/>
              <w:right w:val="single" w:sz="4" w:space="0" w:color="auto"/>
            </w:tcBorders>
            <w:shd w:val="clear" w:color="auto" w:fill="auto"/>
            <w:vAlign w:val="center"/>
            <w:hideMark/>
          </w:tcPr>
          <w:p w14:paraId="6CD6420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4,275,476</w:t>
            </w:r>
          </w:p>
        </w:tc>
        <w:tc>
          <w:tcPr>
            <w:tcW w:w="900" w:type="dxa"/>
            <w:tcBorders>
              <w:top w:val="nil"/>
              <w:left w:val="nil"/>
              <w:bottom w:val="nil"/>
              <w:right w:val="single" w:sz="4" w:space="0" w:color="auto"/>
            </w:tcBorders>
            <w:shd w:val="clear" w:color="auto" w:fill="auto"/>
            <w:vAlign w:val="center"/>
            <w:hideMark/>
          </w:tcPr>
          <w:p w14:paraId="72AF3E1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58,229</w:t>
            </w:r>
          </w:p>
        </w:tc>
        <w:tc>
          <w:tcPr>
            <w:tcW w:w="810" w:type="dxa"/>
            <w:tcBorders>
              <w:top w:val="nil"/>
              <w:left w:val="nil"/>
              <w:bottom w:val="nil"/>
              <w:right w:val="single" w:sz="4" w:space="0" w:color="auto"/>
            </w:tcBorders>
            <w:shd w:val="clear" w:color="auto" w:fill="auto"/>
            <w:vAlign w:val="center"/>
            <w:hideMark/>
          </w:tcPr>
          <w:p w14:paraId="47EDB97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390,766</w:t>
            </w:r>
          </w:p>
        </w:tc>
        <w:tc>
          <w:tcPr>
            <w:tcW w:w="860" w:type="dxa"/>
            <w:tcBorders>
              <w:top w:val="nil"/>
              <w:left w:val="nil"/>
              <w:bottom w:val="nil"/>
              <w:right w:val="single" w:sz="4" w:space="0" w:color="auto"/>
            </w:tcBorders>
            <w:shd w:val="clear" w:color="auto" w:fill="auto"/>
            <w:vAlign w:val="center"/>
            <w:hideMark/>
          </w:tcPr>
          <w:p w14:paraId="05F1049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21</w:t>
            </w:r>
          </w:p>
        </w:tc>
      </w:tr>
      <w:tr w:rsidR="009C313D" w:rsidRPr="004C07F8" w14:paraId="0F37A4AB"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4F266D8E"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Singapore Exchange</w:t>
            </w:r>
          </w:p>
        </w:tc>
        <w:tc>
          <w:tcPr>
            <w:tcW w:w="1100" w:type="dxa"/>
            <w:tcBorders>
              <w:top w:val="nil"/>
              <w:left w:val="single" w:sz="4" w:space="0" w:color="auto"/>
              <w:bottom w:val="nil"/>
              <w:right w:val="nil"/>
            </w:tcBorders>
            <w:shd w:val="clear" w:color="auto" w:fill="auto"/>
            <w:vAlign w:val="center"/>
            <w:hideMark/>
          </w:tcPr>
          <w:p w14:paraId="1045B7F5"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992,848</w:t>
            </w:r>
          </w:p>
        </w:tc>
        <w:tc>
          <w:tcPr>
            <w:tcW w:w="880" w:type="dxa"/>
            <w:tcBorders>
              <w:top w:val="nil"/>
              <w:left w:val="single" w:sz="4" w:space="0" w:color="auto"/>
              <w:bottom w:val="nil"/>
              <w:right w:val="nil"/>
            </w:tcBorders>
            <w:shd w:val="clear" w:color="auto" w:fill="auto"/>
            <w:vAlign w:val="center"/>
            <w:hideMark/>
          </w:tcPr>
          <w:p w14:paraId="5DAEDD8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single" w:sz="4" w:space="0" w:color="auto"/>
              <w:bottom w:val="nil"/>
              <w:right w:val="single" w:sz="4" w:space="0" w:color="auto"/>
            </w:tcBorders>
            <w:shd w:val="clear" w:color="auto" w:fill="auto"/>
            <w:vAlign w:val="center"/>
            <w:hideMark/>
          </w:tcPr>
          <w:p w14:paraId="1875BF1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2,018,470</w:t>
            </w:r>
          </w:p>
        </w:tc>
        <w:tc>
          <w:tcPr>
            <w:tcW w:w="990" w:type="dxa"/>
            <w:tcBorders>
              <w:top w:val="nil"/>
              <w:left w:val="nil"/>
              <w:bottom w:val="nil"/>
              <w:right w:val="single" w:sz="4" w:space="0" w:color="auto"/>
            </w:tcBorders>
            <w:shd w:val="clear" w:color="auto" w:fill="auto"/>
            <w:vAlign w:val="center"/>
            <w:hideMark/>
          </w:tcPr>
          <w:p w14:paraId="782FB10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14,664,763</w:t>
            </w:r>
          </w:p>
        </w:tc>
        <w:tc>
          <w:tcPr>
            <w:tcW w:w="900" w:type="dxa"/>
            <w:tcBorders>
              <w:top w:val="nil"/>
              <w:left w:val="nil"/>
              <w:bottom w:val="nil"/>
              <w:right w:val="single" w:sz="4" w:space="0" w:color="auto"/>
            </w:tcBorders>
            <w:shd w:val="clear" w:color="auto" w:fill="auto"/>
            <w:vAlign w:val="center"/>
            <w:hideMark/>
          </w:tcPr>
          <w:p w14:paraId="58A7998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10" w:type="dxa"/>
            <w:tcBorders>
              <w:top w:val="nil"/>
              <w:left w:val="nil"/>
              <w:bottom w:val="nil"/>
              <w:right w:val="single" w:sz="4" w:space="0" w:color="auto"/>
            </w:tcBorders>
            <w:shd w:val="clear" w:color="auto" w:fill="auto"/>
            <w:vAlign w:val="center"/>
            <w:hideMark/>
          </w:tcPr>
          <w:p w14:paraId="30B8F82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2,161,650</w:t>
            </w:r>
          </w:p>
        </w:tc>
        <w:tc>
          <w:tcPr>
            <w:tcW w:w="860" w:type="dxa"/>
            <w:tcBorders>
              <w:top w:val="nil"/>
              <w:left w:val="nil"/>
              <w:bottom w:val="nil"/>
              <w:right w:val="single" w:sz="4" w:space="0" w:color="auto"/>
            </w:tcBorders>
            <w:shd w:val="clear" w:color="auto" w:fill="auto"/>
            <w:vAlign w:val="center"/>
            <w:hideMark/>
          </w:tcPr>
          <w:p w14:paraId="4314C789" w14:textId="77777777" w:rsidR="009C313D" w:rsidRPr="004C07F8" w:rsidRDefault="009C313D" w:rsidP="00560A50">
            <w:pPr>
              <w:jc w:val="right"/>
              <w:rPr>
                <w:rFonts w:ascii="Garamond" w:eastAsia="Times New Roman" w:hAnsi="Garamond" w:cs="Calibri"/>
                <w:color w:val="000000"/>
                <w:sz w:val="18"/>
                <w:szCs w:val="18"/>
                <w:lang w:eastAsia="en-GB"/>
              </w:rPr>
            </w:pPr>
          </w:p>
        </w:tc>
      </w:tr>
      <w:tr w:rsidR="009C313D" w:rsidRPr="004C07F8" w14:paraId="6D815245"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64B4FC0D"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TAIFEX</w:t>
            </w:r>
          </w:p>
        </w:tc>
        <w:tc>
          <w:tcPr>
            <w:tcW w:w="1100" w:type="dxa"/>
            <w:tcBorders>
              <w:top w:val="nil"/>
              <w:left w:val="single" w:sz="4" w:space="0" w:color="auto"/>
              <w:bottom w:val="nil"/>
              <w:right w:val="nil"/>
            </w:tcBorders>
            <w:shd w:val="clear" w:color="auto" w:fill="auto"/>
            <w:vAlign w:val="center"/>
            <w:hideMark/>
          </w:tcPr>
          <w:p w14:paraId="0E3666F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17,305,565</w:t>
            </w:r>
          </w:p>
        </w:tc>
        <w:tc>
          <w:tcPr>
            <w:tcW w:w="880" w:type="dxa"/>
            <w:tcBorders>
              <w:top w:val="nil"/>
              <w:left w:val="single" w:sz="4" w:space="0" w:color="auto"/>
              <w:bottom w:val="nil"/>
              <w:right w:val="nil"/>
            </w:tcBorders>
            <w:shd w:val="clear" w:color="auto" w:fill="auto"/>
            <w:vAlign w:val="center"/>
            <w:hideMark/>
          </w:tcPr>
          <w:p w14:paraId="5818452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307,161</w:t>
            </w:r>
          </w:p>
        </w:tc>
        <w:tc>
          <w:tcPr>
            <w:tcW w:w="870" w:type="dxa"/>
            <w:tcBorders>
              <w:top w:val="nil"/>
              <w:left w:val="single" w:sz="4" w:space="0" w:color="auto"/>
              <w:bottom w:val="nil"/>
              <w:right w:val="single" w:sz="4" w:space="0" w:color="auto"/>
            </w:tcBorders>
            <w:shd w:val="clear" w:color="auto" w:fill="auto"/>
            <w:vAlign w:val="center"/>
            <w:hideMark/>
          </w:tcPr>
          <w:p w14:paraId="3621D0F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687,776</w:t>
            </w:r>
          </w:p>
        </w:tc>
        <w:tc>
          <w:tcPr>
            <w:tcW w:w="990" w:type="dxa"/>
            <w:tcBorders>
              <w:top w:val="nil"/>
              <w:left w:val="nil"/>
              <w:bottom w:val="nil"/>
              <w:right w:val="single" w:sz="4" w:space="0" w:color="auto"/>
            </w:tcBorders>
            <w:shd w:val="clear" w:color="auto" w:fill="auto"/>
            <w:vAlign w:val="center"/>
            <w:hideMark/>
          </w:tcPr>
          <w:p w14:paraId="4A599D5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7,283,707</w:t>
            </w:r>
          </w:p>
        </w:tc>
        <w:tc>
          <w:tcPr>
            <w:tcW w:w="900" w:type="dxa"/>
            <w:tcBorders>
              <w:top w:val="nil"/>
              <w:left w:val="nil"/>
              <w:bottom w:val="nil"/>
              <w:right w:val="single" w:sz="4" w:space="0" w:color="auto"/>
            </w:tcBorders>
            <w:shd w:val="clear" w:color="auto" w:fill="auto"/>
            <w:vAlign w:val="center"/>
            <w:hideMark/>
          </w:tcPr>
          <w:p w14:paraId="6AF6131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344,207</w:t>
            </w:r>
          </w:p>
        </w:tc>
        <w:tc>
          <w:tcPr>
            <w:tcW w:w="810" w:type="dxa"/>
            <w:tcBorders>
              <w:top w:val="nil"/>
              <w:left w:val="nil"/>
              <w:bottom w:val="nil"/>
              <w:right w:val="single" w:sz="4" w:space="0" w:color="auto"/>
            </w:tcBorders>
            <w:shd w:val="clear" w:color="auto" w:fill="auto"/>
            <w:vAlign w:val="center"/>
            <w:hideMark/>
          </w:tcPr>
          <w:p w14:paraId="7D47E05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176,277</w:t>
            </w:r>
          </w:p>
        </w:tc>
        <w:tc>
          <w:tcPr>
            <w:tcW w:w="860" w:type="dxa"/>
            <w:tcBorders>
              <w:top w:val="nil"/>
              <w:left w:val="nil"/>
              <w:bottom w:val="nil"/>
              <w:right w:val="single" w:sz="4" w:space="0" w:color="auto"/>
            </w:tcBorders>
            <w:shd w:val="clear" w:color="auto" w:fill="auto"/>
            <w:vAlign w:val="center"/>
            <w:hideMark/>
          </w:tcPr>
          <w:p w14:paraId="4976CC1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51AF7C1E"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153E03D3"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Thailand Futures Exchange</w:t>
            </w:r>
          </w:p>
        </w:tc>
        <w:tc>
          <w:tcPr>
            <w:tcW w:w="1100" w:type="dxa"/>
            <w:tcBorders>
              <w:top w:val="nil"/>
              <w:left w:val="single" w:sz="4" w:space="0" w:color="auto"/>
              <w:bottom w:val="nil"/>
              <w:right w:val="nil"/>
            </w:tcBorders>
            <w:shd w:val="clear" w:color="auto" w:fill="auto"/>
            <w:vAlign w:val="center"/>
            <w:hideMark/>
          </w:tcPr>
          <w:p w14:paraId="072578B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84,946</w:t>
            </w:r>
          </w:p>
        </w:tc>
        <w:tc>
          <w:tcPr>
            <w:tcW w:w="880" w:type="dxa"/>
            <w:tcBorders>
              <w:top w:val="nil"/>
              <w:left w:val="single" w:sz="4" w:space="0" w:color="auto"/>
              <w:bottom w:val="nil"/>
              <w:right w:val="nil"/>
            </w:tcBorders>
            <w:shd w:val="clear" w:color="auto" w:fill="auto"/>
            <w:vAlign w:val="center"/>
            <w:hideMark/>
          </w:tcPr>
          <w:p w14:paraId="4394CDC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single" w:sz="4" w:space="0" w:color="auto"/>
              <w:bottom w:val="nil"/>
              <w:right w:val="single" w:sz="4" w:space="0" w:color="auto"/>
            </w:tcBorders>
            <w:shd w:val="clear" w:color="auto" w:fill="auto"/>
            <w:vAlign w:val="center"/>
            <w:hideMark/>
          </w:tcPr>
          <w:p w14:paraId="3EA67E0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51,788</w:t>
            </w:r>
          </w:p>
        </w:tc>
        <w:tc>
          <w:tcPr>
            <w:tcW w:w="990" w:type="dxa"/>
            <w:tcBorders>
              <w:top w:val="nil"/>
              <w:left w:val="nil"/>
              <w:bottom w:val="nil"/>
              <w:right w:val="single" w:sz="4" w:space="0" w:color="auto"/>
            </w:tcBorders>
            <w:shd w:val="clear" w:color="auto" w:fill="auto"/>
            <w:vAlign w:val="center"/>
            <w:hideMark/>
          </w:tcPr>
          <w:p w14:paraId="143E3B6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3,361,497</w:t>
            </w:r>
          </w:p>
        </w:tc>
        <w:tc>
          <w:tcPr>
            <w:tcW w:w="900" w:type="dxa"/>
            <w:tcBorders>
              <w:top w:val="nil"/>
              <w:left w:val="nil"/>
              <w:bottom w:val="nil"/>
              <w:right w:val="single" w:sz="4" w:space="0" w:color="auto"/>
            </w:tcBorders>
            <w:shd w:val="clear" w:color="auto" w:fill="auto"/>
            <w:vAlign w:val="center"/>
            <w:hideMark/>
          </w:tcPr>
          <w:p w14:paraId="327A666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10" w:type="dxa"/>
            <w:tcBorders>
              <w:top w:val="nil"/>
              <w:left w:val="nil"/>
              <w:bottom w:val="nil"/>
              <w:right w:val="single" w:sz="4" w:space="0" w:color="auto"/>
            </w:tcBorders>
            <w:shd w:val="clear" w:color="auto" w:fill="auto"/>
            <w:vAlign w:val="center"/>
            <w:hideMark/>
          </w:tcPr>
          <w:p w14:paraId="1CB6E11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311,829</w:t>
            </w:r>
          </w:p>
        </w:tc>
        <w:tc>
          <w:tcPr>
            <w:tcW w:w="860" w:type="dxa"/>
            <w:tcBorders>
              <w:top w:val="nil"/>
              <w:left w:val="nil"/>
              <w:bottom w:val="nil"/>
              <w:right w:val="single" w:sz="4" w:space="0" w:color="auto"/>
            </w:tcBorders>
            <w:shd w:val="clear" w:color="auto" w:fill="auto"/>
            <w:vAlign w:val="center"/>
            <w:hideMark/>
          </w:tcPr>
          <w:p w14:paraId="2EE63C9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3302E86E" w14:textId="77777777" w:rsidTr="00560A50">
        <w:trPr>
          <w:trHeight w:val="53"/>
        </w:trPr>
        <w:tc>
          <w:tcPr>
            <w:tcW w:w="2695" w:type="dxa"/>
            <w:tcBorders>
              <w:top w:val="single" w:sz="4" w:space="0" w:color="auto"/>
              <w:left w:val="single" w:sz="4" w:space="0" w:color="auto"/>
              <w:bottom w:val="single" w:sz="4" w:space="0" w:color="auto"/>
              <w:right w:val="nil"/>
            </w:tcBorders>
            <w:shd w:val="clear" w:color="000000" w:fill="B4C6E7"/>
            <w:vAlign w:val="center"/>
            <w:hideMark/>
          </w:tcPr>
          <w:p w14:paraId="54397020" w14:textId="77777777" w:rsidR="009C313D" w:rsidRPr="004C07F8" w:rsidRDefault="009C313D" w:rsidP="00560A50">
            <w:pPr>
              <w:ind w:left="-23"/>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 xml:space="preserve">Total </w:t>
            </w:r>
            <w:r>
              <w:rPr>
                <w:rFonts w:ascii="Garamond" w:eastAsia="Times New Roman" w:hAnsi="Garamond" w:cs="Calibri"/>
                <w:b/>
                <w:bCs/>
                <w:color w:val="000000"/>
                <w:sz w:val="18"/>
                <w:szCs w:val="18"/>
                <w:lang w:eastAsia="en-GB"/>
              </w:rPr>
              <w:t>R</w:t>
            </w:r>
            <w:r w:rsidRPr="004C07F8">
              <w:rPr>
                <w:rFonts w:ascii="Garamond" w:eastAsia="Times New Roman" w:hAnsi="Garamond" w:cs="Calibri"/>
                <w:b/>
                <w:bCs/>
                <w:color w:val="000000"/>
                <w:sz w:val="18"/>
                <w:szCs w:val="18"/>
                <w:lang w:eastAsia="en-GB"/>
              </w:rPr>
              <w:t>egion</w:t>
            </w:r>
          </w:p>
        </w:tc>
        <w:tc>
          <w:tcPr>
            <w:tcW w:w="1100" w:type="dxa"/>
            <w:tcBorders>
              <w:top w:val="single" w:sz="4" w:space="0" w:color="auto"/>
              <w:left w:val="single" w:sz="4" w:space="0" w:color="auto"/>
              <w:bottom w:val="single" w:sz="4" w:space="0" w:color="auto"/>
              <w:right w:val="nil"/>
            </w:tcBorders>
            <w:shd w:val="clear" w:color="auto" w:fill="auto"/>
            <w:vAlign w:val="center"/>
            <w:hideMark/>
          </w:tcPr>
          <w:p w14:paraId="3A8F64AD" w14:textId="77777777" w:rsidR="009C313D" w:rsidRPr="004C07F8" w:rsidRDefault="009C313D" w:rsidP="00560A50">
            <w:pPr>
              <w:jc w:val="right"/>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237,906,413</w:t>
            </w:r>
          </w:p>
        </w:tc>
        <w:tc>
          <w:tcPr>
            <w:tcW w:w="880" w:type="dxa"/>
            <w:tcBorders>
              <w:top w:val="single" w:sz="4" w:space="0" w:color="auto"/>
              <w:left w:val="single" w:sz="4" w:space="0" w:color="auto"/>
              <w:bottom w:val="single" w:sz="4" w:space="0" w:color="auto"/>
              <w:right w:val="nil"/>
            </w:tcBorders>
            <w:shd w:val="clear" w:color="auto" w:fill="auto"/>
            <w:vAlign w:val="center"/>
            <w:hideMark/>
          </w:tcPr>
          <w:p w14:paraId="2A160DA7"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67A1D"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8577817" w14:textId="77777777" w:rsidR="009C313D" w:rsidRPr="004C07F8" w:rsidRDefault="009C313D" w:rsidP="00560A50">
            <w:pPr>
              <w:jc w:val="right"/>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71,829,330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EA6BDC1"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DCA862F"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D8A704C" w14:textId="77777777" w:rsidR="009C313D" w:rsidRPr="004C07F8" w:rsidRDefault="009C313D" w:rsidP="00560A50">
            <w:pPr>
              <w:jc w:val="right"/>
              <w:rPr>
                <w:rFonts w:ascii="Garamond" w:eastAsia="Times New Roman" w:hAnsi="Garamond" w:cs="Calibri"/>
                <w:b/>
                <w:bCs/>
                <w:color w:val="000000"/>
                <w:sz w:val="18"/>
                <w:szCs w:val="18"/>
                <w:lang w:eastAsia="en-GB"/>
              </w:rPr>
            </w:pPr>
          </w:p>
        </w:tc>
      </w:tr>
      <w:tr w:rsidR="009C313D" w:rsidRPr="004C07F8" w14:paraId="17CE2C7F" w14:textId="77777777" w:rsidTr="00560A50">
        <w:trPr>
          <w:trHeight w:val="53"/>
        </w:trPr>
        <w:tc>
          <w:tcPr>
            <w:tcW w:w="9105" w:type="dxa"/>
            <w:gridSpan w:val="8"/>
            <w:tcBorders>
              <w:top w:val="single" w:sz="4" w:space="0" w:color="auto"/>
              <w:left w:val="single" w:sz="4" w:space="0" w:color="auto"/>
              <w:bottom w:val="single" w:sz="4" w:space="0" w:color="auto"/>
              <w:right w:val="single" w:sz="4" w:space="0" w:color="000000"/>
            </w:tcBorders>
            <w:shd w:val="clear" w:color="000000" w:fill="D9E1F2"/>
            <w:vAlign w:val="center"/>
            <w:hideMark/>
          </w:tcPr>
          <w:p w14:paraId="119B8F1E" w14:textId="77777777" w:rsidR="009C313D" w:rsidRPr="004C07F8" w:rsidRDefault="009C313D" w:rsidP="00560A50">
            <w:pPr>
              <w:ind w:left="-23"/>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Europe - Africa - Middle East</w:t>
            </w:r>
          </w:p>
        </w:tc>
      </w:tr>
      <w:tr w:rsidR="009C313D" w:rsidRPr="004C07F8" w14:paraId="05A875B8" w14:textId="77777777" w:rsidTr="00560A50">
        <w:trPr>
          <w:trHeight w:val="53"/>
        </w:trPr>
        <w:tc>
          <w:tcPr>
            <w:tcW w:w="2695" w:type="dxa"/>
            <w:tcBorders>
              <w:top w:val="nil"/>
              <w:left w:val="single" w:sz="4" w:space="0" w:color="auto"/>
              <w:bottom w:val="nil"/>
              <w:right w:val="nil"/>
            </w:tcBorders>
            <w:shd w:val="clear" w:color="000000" w:fill="B4C6E7"/>
            <w:vAlign w:val="center"/>
            <w:hideMark/>
          </w:tcPr>
          <w:p w14:paraId="5B8DB942"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Athens Derivatives Exchange</w:t>
            </w:r>
          </w:p>
        </w:tc>
        <w:tc>
          <w:tcPr>
            <w:tcW w:w="1100" w:type="dxa"/>
            <w:tcBorders>
              <w:top w:val="nil"/>
              <w:left w:val="single" w:sz="4" w:space="0" w:color="auto"/>
              <w:bottom w:val="nil"/>
              <w:right w:val="nil"/>
            </w:tcBorders>
            <w:shd w:val="clear" w:color="auto" w:fill="auto"/>
            <w:vAlign w:val="center"/>
            <w:hideMark/>
          </w:tcPr>
          <w:p w14:paraId="670910D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9,144</w:t>
            </w:r>
          </w:p>
        </w:tc>
        <w:tc>
          <w:tcPr>
            <w:tcW w:w="880" w:type="dxa"/>
            <w:tcBorders>
              <w:top w:val="nil"/>
              <w:left w:val="single" w:sz="4" w:space="0" w:color="auto"/>
              <w:bottom w:val="nil"/>
              <w:right w:val="single" w:sz="4" w:space="0" w:color="auto"/>
            </w:tcBorders>
            <w:shd w:val="clear" w:color="auto" w:fill="auto"/>
            <w:vAlign w:val="center"/>
            <w:hideMark/>
          </w:tcPr>
          <w:p w14:paraId="61D8B9B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41</w:t>
            </w:r>
          </w:p>
        </w:tc>
        <w:tc>
          <w:tcPr>
            <w:tcW w:w="870" w:type="dxa"/>
            <w:tcBorders>
              <w:top w:val="nil"/>
              <w:left w:val="nil"/>
              <w:bottom w:val="nil"/>
              <w:right w:val="single" w:sz="4" w:space="0" w:color="auto"/>
            </w:tcBorders>
            <w:shd w:val="clear" w:color="auto" w:fill="auto"/>
            <w:vAlign w:val="center"/>
            <w:hideMark/>
          </w:tcPr>
          <w:p w14:paraId="525A5E20"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6,909</w:t>
            </w:r>
          </w:p>
        </w:tc>
        <w:tc>
          <w:tcPr>
            <w:tcW w:w="990" w:type="dxa"/>
            <w:tcBorders>
              <w:top w:val="nil"/>
              <w:left w:val="nil"/>
              <w:bottom w:val="nil"/>
              <w:right w:val="nil"/>
            </w:tcBorders>
            <w:shd w:val="clear" w:color="auto" w:fill="auto"/>
            <w:vAlign w:val="center"/>
            <w:hideMark/>
          </w:tcPr>
          <w:p w14:paraId="6FD9E2F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45,589</w:t>
            </w:r>
          </w:p>
        </w:tc>
        <w:tc>
          <w:tcPr>
            <w:tcW w:w="900" w:type="dxa"/>
            <w:tcBorders>
              <w:top w:val="nil"/>
              <w:left w:val="single" w:sz="4" w:space="0" w:color="auto"/>
              <w:bottom w:val="nil"/>
              <w:right w:val="single" w:sz="4" w:space="0" w:color="auto"/>
            </w:tcBorders>
            <w:shd w:val="clear" w:color="auto" w:fill="auto"/>
            <w:vAlign w:val="center"/>
            <w:hideMark/>
          </w:tcPr>
          <w:p w14:paraId="14E5FD4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205</w:t>
            </w:r>
          </w:p>
        </w:tc>
        <w:tc>
          <w:tcPr>
            <w:tcW w:w="810" w:type="dxa"/>
            <w:tcBorders>
              <w:top w:val="nil"/>
              <w:left w:val="nil"/>
              <w:bottom w:val="nil"/>
              <w:right w:val="single" w:sz="4" w:space="0" w:color="auto"/>
            </w:tcBorders>
            <w:shd w:val="clear" w:color="auto" w:fill="auto"/>
            <w:vAlign w:val="center"/>
            <w:hideMark/>
          </w:tcPr>
          <w:p w14:paraId="563309F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8,272</w:t>
            </w:r>
          </w:p>
        </w:tc>
        <w:tc>
          <w:tcPr>
            <w:tcW w:w="860" w:type="dxa"/>
            <w:tcBorders>
              <w:top w:val="nil"/>
              <w:left w:val="nil"/>
              <w:bottom w:val="nil"/>
              <w:right w:val="single" w:sz="4" w:space="0" w:color="auto"/>
            </w:tcBorders>
            <w:shd w:val="clear" w:color="auto" w:fill="auto"/>
            <w:vAlign w:val="center"/>
            <w:hideMark/>
          </w:tcPr>
          <w:p w14:paraId="7F128C9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5BC1EC5B"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2AB8C6DF"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BME Spanish Exchanges</w:t>
            </w:r>
          </w:p>
        </w:tc>
        <w:tc>
          <w:tcPr>
            <w:tcW w:w="1100" w:type="dxa"/>
            <w:tcBorders>
              <w:top w:val="nil"/>
              <w:left w:val="single" w:sz="4" w:space="0" w:color="auto"/>
              <w:bottom w:val="nil"/>
              <w:right w:val="nil"/>
            </w:tcBorders>
            <w:shd w:val="clear" w:color="auto" w:fill="auto"/>
            <w:vAlign w:val="center"/>
            <w:hideMark/>
          </w:tcPr>
          <w:p w14:paraId="0DB2273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241,810</w:t>
            </w:r>
          </w:p>
        </w:tc>
        <w:tc>
          <w:tcPr>
            <w:tcW w:w="880" w:type="dxa"/>
            <w:tcBorders>
              <w:top w:val="nil"/>
              <w:left w:val="single" w:sz="4" w:space="0" w:color="auto"/>
              <w:bottom w:val="nil"/>
              <w:right w:val="single" w:sz="4" w:space="0" w:color="auto"/>
            </w:tcBorders>
            <w:shd w:val="clear" w:color="auto" w:fill="auto"/>
            <w:vAlign w:val="center"/>
            <w:hideMark/>
          </w:tcPr>
          <w:p w14:paraId="06981AE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2,685</w:t>
            </w:r>
          </w:p>
        </w:tc>
        <w:tc>
          <w:tcPr>
            <w:tcW w:w="870" w:type="dxa"/>
            <w:tcBorders>
              <w:top w:val="nil"/>
              <w:left w:val="nil"/>
              <w:bottom w:val="nil"/>
              <w:right w:val="single" w:sz="4" w:space="0" w:color="auto"/>
            </w:tcBorders>
            <w:shd w:val="clear" w:color="auto" w:fill="auto"/>
            <w:vAlign w:val="center"/>
            <w:hideMark/>
          </w:tcPr>
          <w:p w14:paraId="144D4EF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1,080,070</w:t>
            </w:r>
          </w:p>
        </w:tc>
        <w:tc>
          <w:tcPr>
            <w:tcW w:w="990" w:type="dxa"/>
            <w:tcBorders>
              <w:top w:val="nil"/>
              <w:left w:val="nil"/>
              <w:bottom w:val="nil"/>
              <w:right w:val="nil"/>
            </w:tcBorders>
            <w:shd w:val="clear" w:color="auto" w:fill="auto"/>
            <w:vAlign w:val="center"/>
            <w:hideMark/>
          </w:tcPr>
          <w:p w14:paraId="74DBFA6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562,742</w:t>
            </w:r>
          </w:p>
        </w:tc>
        <w:tc>
          <w:tcPr>
            <w:tcW w:w="900" w:type="dxa"/>
            <w:tcBorders>
              <w:top w:val="nil"/>
              <w:left w:val="single" w:sz="4" w:space="0" w:color="auto"/>
              <w:bottom w:val="nil"/>
              <w:right w:val="single" w:sz="4" w:space="0" w:color="auto"/>
            </w:tcBorders>
            <w:shd w:val="clear" w:color="auto" w:fill="auto"/>
            <w:vAlign w:val="center"/>
            <w:hideMark/>
          </w:tcPr>
          <w:p w14:paraId="3623227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51,950</w:t>
            </w:r>
          </w:p>
        </w:tc>
        <w:tc>
          <w:tcPr>
            <w:tcW w:w="810" w:type="dxa"/>
            <w:tcBorders>
              <w:top w:val="nil"/>
              <w:left w:val="nil"/>
              <w:bottom w:val="nil"/>
              <w:right w:val="single" w:sz="4" w:space="0" w:color="auto"/>
            </w:tcBorders>
            <w:shd w:val="clear" w:color="auto" w:fill="auto"/>
            <w:vAlign w:val="center"/>
            <w:hideMark/>
          </w:tcPr>
          <w:p w14:paraId="7CEE9E5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125,264</w:t>
            </w:r>
          </w:p>
        </w:tc>
        <w:tc>
          <w:tcPr>
            <w:tcW w:w="860" w:type="dxa"/>
            <w:tcBorders>
              <w:top w:val="nil"/>
              <w:left w:val="nil"/>
              <w:bottom w:val="nil"/>
              <w:right w:val="single" w:sz="4" w:space="0" w:color="auto"/>
            </w:tcBorders>
            <w:shd w:val="clear" w:color="auto" w:fill="auto"/>
            <w:vAlign w:val="center"/>
            <w:hideMark/>
          </w:tcPr>
          <w:p w14:paraId="693CC79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3CEC8945"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39954C9B"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Borsa Istanbul</w:t>
            </w:r>
          </w:p>
        </w:tc>
        <w:tc>
          <w:tcPr>
            <w:tcW w:w="1100" w:type="dxa"/>
            <w:tcBorders>
              <w:top w:val="nil"/>
              <w:left w:val="single" w:sz="4" w:space="0" w:color="auto"/>
              <w:bottom w:val="nil"/>
              <w:right w:val="nil"/>
            </w:tcBorders>
            <w:shd w:val="clear" w:color="auto" w:fill="auto"/>
            <w:vAlign w:val="center"/>
            <w:hideMark/>
          </w:tcPr>
          <w:p w14:paraId="2FA89F3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24,062</w:t>
            </w:r>
          </w:p>
        </w:tc>
        <w:tc>
          <w:tcPr>
            <w:tcW w:w="880" w:type="dxa"/>
            <w:tcBorders>
              <w:top w:val="nil"/>
              <w:left w:val="single" w:sz="4" w:space="0" w:color="auto"/>
              <w:bottom w:val="nil"/>
              <w:right w:val="single" w:sz="4" w:space="0" w:color="auto"/>
            </w:tcBorders>
            <w:shd w:val="clear" w:color="auto" w:fill="auto"/>
            <w:vAlign w:val="center"/>
            <w:hideMark/>
          </w:tcPr>
          <w:p w14:paraId="72F0D0B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43</w:t>
            </w:r>
          </w:p>
        </w:tc>
        <w:tc>
          <w:tcPr>
            <w:tcW w:w="870" w:type="dxa"/>
            <w:tcBorders>
              <w:top w:val="nil"/>
              <w:left w:val="nil"/>
              <w:bottom w:val="nil"/>
              <w:right w:val="single" w:sz="4" w:space="0" w:color="auto"/>
            </w:tcBorders>
            <w:shd w:val="clear" w:color="auto" w:fill="auto"/>
            <w:vAlign w:val="center"/>
            <w:hideMark/>
          </w:tcPr>
          <w:p w14:paraId="1B836D6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16,620</w:t>
            </w:r>
          </w:p>
        </w:tc>
        <w:tc>
          <w:tcPr>
            <w:tcW w:w="990" w:type="dxa"/>
            <w:tcBorders>
              <w:top w:val="nil"/>
              <w:left w:val="nil"/>
              <w:bottom w:val="nil"/>
              <w:right w:val="nil"/>
            </w:tcBorders>
            <w:shd w:val="clear" w:color="auto" w:fill="auto"/>
            <w:vAlign w:val="center"/>
            <w:hideMark/>
          </w:tcPr>
          <w:p w14:paraId="1C098E9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5,164,296</w:t>
            </w:r>
          </w:p>
        </w:tc>
        <w:tc>
          <w:tcPr>
            <w:tcW w:w="900" w:type="dxa"/>
            <w:tcBorders>
              <w:top w:val="nil"/>
              <w:left w:val="single" w:sz="4" w:space="0" w:color="auto"/>
              <w:bottom w:val="nil"/>
              <w:right w:val="single" w:sz="4" w:space="0" w:color="auto"/>
            </w:tcBorders>
            <w:shd w:val="clear" w:color="auto" w:fill="auto"/>
            <w:vAlign w:val="center"/>
            <w:hideMark/>
          </w:tcPr>
          <w:p w14:paraId="35B0263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9,108</w:t>
            </w:r>
          </w:p>
        </w:tc>
        <w:tc>
          <w:tcPr>
            <w:tcW w:w="810" w:type="dxa"/>
            <w:tcBorders>
              <w:top w:val="nil"/>
              <w:left w:val="nil"/>
              <w:bottom w:val="nil"/>
              <w:right w:val="single" w:sz="4" w:space="0" w:color="auto"/>
            </w:tcBorders>
            <w:shd w:val="clear" w:color="auto" w:fill="auto"/>
            <w:vAlign w:val="center"/>
            <w:hideMark/>
          </w:tcPr>
          <w:p w14:paraId="41B6493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449,337</w:t>
            </w:r>
          </w:p>
        </w:tc>
        <w:tc>
          <w:tcPr>
            <w:tcW w:w="860" w:type="dxa"/>
            <w:tcBorders>
              <w:top w:val="nil"/>
              <w:left w:val="nil"/>
              <w:bottom w:val="nil"/>
              <w:right w:val="single" w:sz="4" w:space="0" w:color="auto"/>
            </w:tcBorders>
            <w:shd w:val="clear" w:color="auto" w:fill="auto"/>
            <w:vAlign w:val="center"/>
            <w:hideMark/>
          </w:tcPr>
          <w:p w14:paraId="0923C94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18</w:t>
            </w:r>
          </w:p>
        </w:tc>
      </w:tr>
      <w:tr w:rsidR="009C313D" w:rsidRPr="004C07F8" w14:paraId="55E8D643"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595B00EB"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Budapest Stock Exchange</w:t>
            </w:r>
          </w:p>
        </w:tc>
        <w:tc>
          <w:tcPr>
            <w:tcW w:w="1100" w:type="dxa"/>
            <w:tcBorders>
              <w:top w:val="nil"/>
              <w:left w:val="single" w:sz="4" w:space="0" w:color="auto"/>
              <w:bottom w:val="nil"/>
              <w:right w:val="nil"/>
            </w:tcBorders>
            <w:shd w:val="clear" w:color="auto" w:fill="auto"/>
            <w:vAlign w:val="center"/>
            <w:hideMark/>
          </w:tcPr>
          <w:p w14:paraId="133F23F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880" w:type="dxa"/>
            <w:tcBorders>
              <w:top w:val="nil"/>
              <w:left w:val="single" w:sz="4" w:space="0" w:color="auto"/>
              <w:bottom w:val="nil"/>
              <w:right w:val="single" w:sz="4" w:space="0" w:color="auto"/>
            </w:tcBorders>
            <w:shd w:val="clear" w:color="auto" w:fill="auto"/>
            <w:vAlign w:val="center"/>
            <w:hideMark/>
          </w:tcPr>
          <w:p w14:paraId="7852B5F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870" w:type="dxa"/>
            <w:tcBorders>
              <w:top w:val="nil"/>
              <w:left w:val="nil"/>
              <w:bottom w:val="nil"/>
              <w:right w:val="single" w:sz="4" w:space="0" w:color="auto"/>
            </w:tcBorders>
            <w:shd w:val="clear" w:color="auto" w:fill="auto"/>
            <w:vAlign w:val="center"/>
            <w:hideMark/>
          </w:tcPr>
          <w:p w14:paraId="181B56F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c>
          <w:tcPr>
            <w:tcW w:w="990" w:type="dxa"/>
            <w:tcBorders>
              <w:top w:val="nil"/>
              <w:left w:val="nil"/>
              <w:bottom w:val="nil"/>
              <w:right w:val="nil"/>
            </w:tcBorders>
            <w:shd w:val="clear" w:color="auto" w:fill="auto"/>
            <w:vAlign w:val="center"/>
            <w:hideMark/>
          </w:tcPr>
          <w:p w14:paraId="6BE3146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31,827</w:t>
            </w:r>
          </w:p>
        </w:tc>
        <w:tc>
          <w:tcPr>
            <w:tcW w:w="900" w:type="dxa"/>
            <w:tcBorders>
              <w:top w:val="nil"/>
              <w:left w:val="single" w:sz="4" w:space="0" w:color="auto"/>
              <w:bottom w:val="nil"/>
              <w:right w:val="single" w:sz="4" w:space="0" w:color="auto"/>
            </w:tcBorders>
            <w:shd w:val="clear" w:color="auto" w:fill="auto"/>
            <w:vAlign w:val="center"/>
            <w:hideMark/>
          </w:tcPr>
          <w:p w14:paraId="019347E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41</w:t>
            </w:r>
          </w:p>
        </w:tc>
        <w:tc>
          <w:tcPr>
            <w:tcW w:w="810" w:type="dxa"/>
            <w:tcBorders>
              <w:top w:val="nil"/>
              <w:left w:val="nil"/>
              <w:bottom w:val="nil"/>
              <w:right w:val="single" w:sz="4" w:space="0" w:color="auto"/>
            </w:tcBorders>
            <w:shd w:val="clear" w:color="auto" w:fill="auto"/>
            <w:vAlign w:val="center"/>
            <w:hideMark/>
          </w:tcPr>
          <w:p w14:paraId="0A3A4CA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16,089</w:t>
            </w:r>
          </w:p>
        </w:tc>
        <w:tc>
          <w:tcPr>
            <w:tcW w:w="860" w:type="dxa"/>
            <w:tcBorders>
              <w:top w:val="nil"/>
              <w:left w:val="nil"/>
              <w:bottom w:val="nil"/>
              <w:right w:val="single" w:sz="4" w:space="0" w:color="auto"/>
            </w:tcBorders>
            <w:shd w:val="clear" w:color="auto" w:fill="auto"/>
            <w:vAlign w:val="center"/>
            <w:hideMark/>
          </w:tcPr>
          <w:p w14:paraId="799B4D1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373636E3" w14:textId="77777777" w:rsidTr="00560A50">
        <w:trPr>
          <w:trHeight w:val="255"/>
        </w:trPr>
        <w:tc>
          <w:tcPr>
            <w:tcW w:w="2695" w:type="dxa"/>
            <w:tcBorders>
              <w:top w:val="nil"/>
              <w:left w:val="single" w:sz="4" w:space="0" w:color="auto"/>
              <w:bottom w:val="nil"/>
              <w:right w:val="nil"/>
            </w:tcBorders>
            <w:shd w:val="clear" w:color="000000" w:fill="B4C6E7"/>
            <w:vAlign w:val="center"/>
            <w:hideMark/>
          </w:tcPr>
          <w:p w14:paraId="6070B06A"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Dubai Gold &amp; Commodities Exchange</w:t>
            </w:r>
          </w:p>
        </w:tc>
        <w:tc>
          <w:tcPr>
            <w:tcW w:w="1100" w:type="dxa"/>
            <w:tcBorders>
              <w:top w:val="nil"/>
              <w:left w:val="single" w:sz="4" w:space="0" w:color="auto"/>
              <w:bottom w:val="nil"/>
              <w:right w:val="nil"/>
            </w:tcBorders>
            <w:shd w:val="clear" w:color="auto" w:fill="auto"/>
            <w:vAlign w:val="center"/>
            <w:hideMark/>
          </w:tcPr>
          <w:p w14:paraId="5E2CB7C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80" w:type="dxa"/>
            <w:tcBorders>
              <w:top w:val="nil"/>
              <w:left w:val="single" w:sz="4" w:space="0" w:color="auto"/>
              <w:bottom w:val="nil"/>
              <w:right w:val="single" w:sz="4" w:space="0" w:color="auto"/>
            </w:tcBorders>
            <w:shd w:val="clear" w:color="auto" w:fill="auto"/>
            <w:vAlign w:val="center"/>
            <w:hideMark/>
          </w:tcPr>
          <w:p w14:paraId="7494703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nil"/>
              <w:bottom w:val="nil"/>
              <w:right w:val="single" w:sz="4" w:space="0" w:color="auto"/>
            </w:tcBorders>
            <w:shd w:val="clear" w:color="auto" w:fill="auto"/>
            <w:vAlign w:val="center"/>
            <w:hideMark/>
          </w:tcPr>
          <w:p w14:paraId="7DA1DD05"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90" w:type="dxa"/>
            <w:tcBorders>
              <w:top w:val="nil"/>
              <w:left w:val="nil"/>
              <w:bottom w:val="nil"/>
              <w:right w:val="nil"/>
            </w:tcBorders>
            <w:shd w:val="clear" w:color="auto" w:fill="auto"/>
            <w:vAlign w:val="center"/>
            <w:hideMark/>
          </w:tcPr>
          <w:p w14:paraId="45A9108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4,787</w:t>
            </w:r>
          </w:p>
        </w:tc>
        <w:tc>
          <w:tcPr>
            <w:tcW w:w="900" w:type="dxa"/>
            <w:tcBorders>
              <w:top w:val="nil"/>
              <w:left w:val="single" w:sz="4" w:space="0" w:color="auto"/>
              <w:bottom w:val="nil"/>
              <w:right w:val="single" w:sz="4" w:space="0" w:color="auto"/>
            </w:tcBorders>
            <w:shd w:val="clear" w:color="auto" w:fill="auto"/>
            <w:vAlign w:val="center"/>
            <w:hideMark/>
          </w:tcPr>
          <w:p w14:paraId="01EB49A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50</w:t>
            </w:r>
          </w:p>
        </w:tc>
        <w:tc>
          <w:tcPr>
            <w:tcW w:w="810" w:type="dxa"/>
            <w:tcBorders>
              <w:top w:val="nil"/>
              <w:left w:val="nil"/>
              <w:bottom w:val="nil"/>
              <w:right w:val="single" w:sz="4" w:space="0" w:color="auto"/>
            </w:tcBorders>
            <w:shd w:val="clear" w:color="auto" w:fill="auto"/>
            <w:vAlign w:val="center"/>
            <w:hideMark/>
          </w:tcPr>
          <w:p w14:paraId="3A748FB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337</w:t>
            </w:r>
          </w:p>
        </w:tc>
        <w:tc>
          <w:tcPr>
            <w:tcW w:w="860" w:type="dxa"/>
            <w:tcBorders>
              <w:top w:val="nil"/>
              <w:left w:val="nil"/>
              <w:bottom w:val="nil"/>
              <w:right w:val="single" w:sz="4" w:space="0" w:color="auto"/>
            </w:tcBorders>
            <w:shd w:val="clear" w:color="auto" w:fill="auto"/>
            <w:vAlign w:val="center"/>
            <w:hideMark/>
          </w:tcPr>
          <w:p w14:paraId="24BB0ED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4258BCED"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35E46CF2"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EUREX</w:t>
            </w:r>
          </w:p>
        </w:tc>
        <w:tc>
          <w:tcPr>
            <w:tcW w:w="1100" w:type="dxa"/>
            <w:tcBorders>
              <w:top w:val="nil"/>
              <w:left w:val="single" w:sz="4" w:space="0" w:color="auto"/>
              <w:bottom w:val="nil"/>
              <w:right w:val="nil"/>
            </w:tcBorders>
            <w:shd w:val="clear" w:color="auto" w:fill="auto"/>
            <w:vAlign w:val="center"/>
            <w:hideMark/>
          </w:tcPr>
          <w:p w14:paraId="1734488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6,845,309</w:t>
            </w:r>
          </w:p>
        </w:tc>
        <w:tc>
          <w:tcPr>
            <w:tcW w:w="880" w:type="dxa"/>
            <w:tcBorders>
              <w:top w:val="nil"/>
              <w:left w:val="single" w:sz="4" w:space="0" w:color="auto"/>
              <w:bottom w:val="nil"/>
              <w:right w:val="single" w:sz="4" w:space="0" w:color="auto"/>
            </w:tcBorders>
            <w:shd w:val="clear" w:color="auto" w:fill="auto"/>
            <w:vAlign w:val="center"/>
            <w:hideMark/>
          </w:tcPr>
          <w:p w14:paraId="4BCEF08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33,280,300</w:t>
            </w:r>
          </w:p>
        </w:tc>
        <w:tc>
          <w:tcPr>
            <w:tcW w:w="870" w:type="dxa"/>
            <w:tcBorders>
              <w:top w:val="nil"/>
              <w:left w:val="nil"/>
              <w:bottom w:val="nil"/>
              <w:right w:val="single" w:sz="4" w:space="0" w:color="auto"/>
            </w:tcBorders>
            <w:shd w:val="clear" w:color="auto" w:fill="auto"/>
            <w:vAlign w:val="center"/>
            <w:hideMark/>
          </w:tcPr>
          <w:p w14:paraId="5CEE5F8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960,205</w:t>
            </w:r>
          </w:p>
        </w:tc>
        <w:tc>
          <w:tcPr>
            <w:tcW w:w="990" w:type="dxa"/>
            <w:tcBorders>
              <w:top w:val="nil"/>
              <w:left w:val="nil"/>
              <w:bottom w:val="nil"/>
              <w:right w:val="nil"/>
            </w:tcBorders>
            <w:shd w:val="clear" w:color="auto" w:fill="auto"/>
            <w:vAlign w:val="center"/>
            <w:hideMark/>
          </w:tcPr>
          <w:p w14:paraId="3FD4B5B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43,393,530</w:t>
            </w:r>
          </w:p>
        </w:tc>
        <w:tc>
          <w:tcPr>
            <w:tcW w:w="900" w:type="dxa"/>
            <w:tcBorders>
              <w:top w:val="nil"/>
              <w:left w:val="single" w:sz="4" w:space="0" w:color="auto"/>
              <w:bottom w:val="nil"/>
              <w:right w:val="single" w:sz="4" w:space="0" w:color="auto"/>
            </w:tcBorders>
            <w:shd w:val="clear" w:color="auto" w:fill="auto"/>
            <w:vAlign w:val="center"/>
            <w:hideMark/>
          </w:tcPr>
          <w:p w14:paraId="5E4CBD65"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33,774,800</w:t>
            </w:r>
          </w:p>
        </w:tc>
        <w:tc>
          <w:tcPr>
            <w:tcW w:w="810" w:type="dxa"/>
            <w:tcBorders>
              <w:top w:val="nil"/>
              <w:left w:val="nil"/>
              <w:bottom w:val="nil"/>
              <w:right w:val="single" w:sz="4" w:space="0" w:color="auto"/>
            </w:tcBorders>
            <w:shd w:val="clear" w:color="auto" w:fill="auto"/>
            <w:vAlign w:val="center"/>
            <w:hideMark/>
          </w:tcPr>
          <w:p w14:paraId="410AAC3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1,346,660</w:t>
            </w:r>
          </w:p>
        </w:tc>
        <w:tc>
          <w:tcPr>
            <w:tcW w:w="860" w:type="dxa"/>
            <w:tcBorders>
              <w:top w:val="nil"/>
              <w:left w:val="nil"/>
              <w:bottom w:val="nil"/>
              <w:right w:val="single" w:sz="4" w:space="0" w:color="auto"/>
            </w:tcBorders>
            <w:shd w:val="clear" w:color="auto" w:fill="auto"/>
            <w:vAlign w:val="center"/>
            <w:hideMark/>
          </w:tcPr>
          <w:p w14:paraId="517CF89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t>
            </w:r>
          </w:p>
        </w:tc>
      </w:tr>
      <w:tr w:rsidR="009C313D" w:rsidRPr="004C07F8" w14:paraId="178CDD3F"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6154994D"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Euronext</w:t>
            </w:r>
          </w:p>
        </w:tc>
        <w:tc>
          <w:tcPr>
            <w:tcW w:w="1100" w:type="dxa"/>
            <w:tcBorders>
              <w:top w:val="nil"/>
              <w:left w:val="single" w:sz="4" w:space="0" w:color="auto"/>
              <w:bottom w:val="nil"/>
              <w:right w:val="nil"/>
            </w:tcBorders>
            <w:shd w:val="clear" w:color="auto" w:fill="auto"/>
            <w:vAlign w:val="center"/>
            <w:hideMark/>
          </w:tcPr>
          <w:p w14:paraId="058A0A93"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1,514,465</w:t>
            </w:r>
          </w:p>
        </w:tc>
        <w:tc>
          <w:tcPr>
            <w:tcW w:w="880" w:type="dxa"/>
            <w:tcBorders>
              <w:top w:val="nil"/>
              <w:left w:val="single" w:sz="4" w:space="0" w:color="auto"/>
              <w:bottom w:val="nil"/>
              <w:right w:val="single" w:sz="4" w:space="0" w:color="auto"/>
            </w:tcBorders>
            <w:shd w:val="clear" w:color="auto" w:fill="auto"/>
            <w:vAlign w:val="center"/>
            <w:hideMark/>
          </w:tcPr>
          <w:p w14:paraId="1BC4569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97,324</w:t>
            </w:r>
          </w:p>
        </w:tc>
        <w:tc>
          <w:tcPr>
            <w:tcW w:w="870" w:type="dxa"/>
            <w:tcBorders>
              <w:top w:val="nil"/>
              <w:left w:val="nil"/>
              <w:bottom w:val="nil"/>
              <w:right w:val="single" w:sz="4" w:space="0" w:color="auto"/>
            </w:tcBorders>
            <w:shd w:val="clear" w:color="auto" w:fill="auto"/>
            <w:vAlign w:val="center"/>
            <w:hideMark/>
          </w:tcPr>
          <w:p w14:paraId="563A804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962,967</w:t>
            </w:r>
          </w:p>
        </w:tc>
        <w:tc>
          <w:tcPr>
            <w:tcW w:w="990" w:type="dxa"/>
            <w:tcBorders>
              <w:top w:val="nil"/>
              <w:left w:val="nil"/>
              <w:bottom w:val="nil"/>
              <w:right w:val="nil"/>
            </w:tcBorders>
            <w:shd w:val="clear" w:color="auto" w:fill="auto"/>
            <w:vAlign w:val="center"/>
            <w:hideMark/>
          </w:tcPr>
          <w:p w14:paraId="1D57D7B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2,844,526</w:t>
            </w:r>
          </w:p>
        </w:tc>
        <w:tc>
          <w:tcPr>
            <w:tcW w:w="900" w:type="dxa"/>
            <w:tcBorders>
              <w:top w:val="nil"/>
              <w:left w:val="single" w:sz="4" w:space="0" w:color="auto"/>
              <w:bottom w:val="nil"/>
              <w:right w:val="single" w:sz="4" w:space="0" w:color="auto"/>
            </w:tcBorders>
            <w:shd w:val="clear" w:color="auto" w:fill="auto"/>
            <w:vAlign w:val="center"/>
            <w:hideMark/>
          </w:tcPr>
          <w:p w14:paraId="4DFB82F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224,847</w:t>
            </w:r>
          </w:p>
        </w:tc>
        <w:tc>
          <w:tcPr>
            <w:tcW w:w="810" w:type="dxa"/>
            <w:tcBorders>
              <w:top w:val="nil"/>
              <w:left w:val="nil"/>
              <w:bottom w:val="nil"/>
              <w:right w:val="single" w:sz="4" w:space="0" w:color="auto"/>
            </w:tcBorders>
            <w:shd w:val="clear" w:color="auto" w:fill="auto"/>
            <w:vAlign w:val="center"/>
            <w:hideMark/>
          </w:tcPr>
          <w:p w14:paraId="44DBFE65"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578,871</w:t>
            </w:r>
          </w:p>
        </w:tc>
        <w:tc>
          <w:tcPr>
            <w:tcW w:w="860" w:type="dxa"/>
            <w:tcBorders>
              <w:top w:val="nil"/>
              <w:left w:val="nil"/>
              <w:bottom w:val="nil"/>
              <w:right w:val="single" w:sz="4" w:space="0" w:color="auto"/>
            </w:tcBorders>
            <w:shd w:val="clear" w:color="auto" w:fill="auto"/>
            <w:vAlign w:val="center"/>
            <w:hideMark/>
          </w:tcPr>
          <w:p w14:paraId="46BB392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344636DA"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12107D53"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Johannesburg Stock Exchange</w:t>
            </w:r>
          </w:p>
        </w:tc>
        <w:tc>
          <w:tcPr>
            <w:tcW w:w="1100" w:type="dxa"/>
            <w:tcBorders>
              <w:top w:val="nil"/>
              <w:left w:val="single" w:sz="4" w:space="0" w:color="auto"/>
              <w:bottom w:val="nil"/>
              <w:right w:val="nil"/>
            </w:tcBorders>
            <w:shd w:val="clear" w:color="auto" w:fill="auto"/>
            <w:vAlign w:val="center"/>
            <w:hideMark/>
          </w:tcPr>
          <w:p w14:paraId="1DA49EE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571,903</w:t>
            </w:r>
          </w:p>
        </w:tc>
        <w:tc>
          <w:tcPr>
            <w:tcW w:w="880" w:type="dxa"/>
            <w:tcBorders>
              <w:top w:val="nil"/>
              <w:left w:val="single" w:sz="4" w:space="0" w:color="auto"/>
              <w:bottom w:val="nil"/>
              <w:right w:val="single" w:sz="4" w:space="0" w:color="auto"/>
            </w:tcBorders>
            <w:shd w:val="clear" w:color="auto" w:fill="auto"/>
            <w:vAlign w:val="center"/>
            <w:hideMark/>
          </w:tcPr>
          <w:p w14:paraId="4F712E9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184</w:t>
            </w:r>
          </w:p>
        </w:tc>
        <w:tc>
          <w:tcPr>
            <w:tcW w:w="870" w:type="dxa"/>
            <w:tcBorders>
              <w:top w:val="nil"/>
              <w:left w:val="nil"/>
              <w:bottom w:val="nil"/>
              <w:right w:val="single" w:sz="4" w:space="0" w:color="auto"/>
            </w:tcBorders>
            <w:shd w:val="clear" w:color="auto" w:fill="auto"/>
            <w:vAlign w:val="center"/>
            <w:hideMark/>
          </w:tcPr>
          <w:p w14:paraId="4415C19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993,826</w:t>
            </w:r>
          </w:p>
        </w:tc>
        <w:tc>
          <w:tcPr>
            <w:tcW w:w="990" w:type="dxa"/>
            <w:tcBorders>
              <w:top w:val="nil"/>
              <w:left w:val="nil"/>
              <w:bottom w:val="nil"/>
              <w:right w:val="nil"/>
            </w:tcBorders>
            <w:shd w:val="clear" w:color="auto" w:fill="auto"/>
            <w:vAlign w:val="center"/>
            <w:hideMark/>
          </w:tcPr>
          <w:p w14:paraId="11B1343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971,022</w:t>
            </w:r>
          </w:p>
        </w:tc>
        <w:tc>
          <w:tcPr>
            <w:tcW w:w="900" w:type="dxa"/>
            <w:tcBorders>
              <w:top w:val="nil"/>
              <w:left w:val="single" w:sz="4" w:space="0" w:color="auto"/>
              <w:bottom w:val="nil"/>
              <w:right w:val="single" w:sz="4" w:space="0" w:color="auto"/>
            </w:tcBorders>
            <w:shd w:val="clear" w:color="auto" w:fill="auto"/>
            <w:vAlign w:val="center"/>
            <w:hideMark/>
          </w:tcPr>
          <w:p w14:paraId="562D2B2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22,679</w:t>
            </w:r>
          </w:p>
        </w:tc>
        <w:tc>
          <w:tcPr>
            <w:tcW w:w="810" w:type="dxa"/>
            <w:tcBorders>
              <w:top w:val="nil"/>
              <w:left w:val="nil"/>
              <w:bottom w:val="nil"/>
              <w:right w:val="single" w:sz="4" w:space="0" w:color="auto"/>
            </w:tcBorders>
            <w:shd w:val="clear" w:color="auto" w:fill="auto"/>
            <w:vAlign w:val="center"/>
            <w:hideMark/>
          </w:tcPr>
          <w:p w14:paraId="1DDE273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593,018</w:t>
            </w:r>
          </w:p>
        </w:tc>
        <w:tc>
          <w:tcPr>
            <w:tcW w:w="860" w:type="dxa"/>
            <w:tcBorders>
              <w:top w:val="nil"/>
              <w:left w:val="nil"/>
              <w:bottom w:val="nil"/>
              <w:right w:val="single" w:sz="4" w:space="0" w:color="auto"/>
            </w:tcBorders>
            <w:shd w:val="clear" w:color="auto" w:fill="auto"/>
            <w:vAlign w:val="center"/>
            <w:hideMark/>
          </w:tcPr>
          <w:p w14:paraId="6E93B9A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26475495"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04B3145A"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Nasdaq Nordic Exchanges</w:t>
            </w:r>
          </w:p>
        </w:tc>
        <w:tc>
          <w:tcPr>
            <w:tcW w:w="1100" w:type="dxa"/>
            <w:tcBorders>
              <w:top w:val="nil"/>
              <w:left w:val="single" w:sz="4" w:space="0" w:color="auto"/>
              <w:bottom w:val="nil"/>
              <w:right w:val="nil"/>
            </w:tcBorders>
            <w:shd w:val="clear" w:color="auto" w:fill="auto"/>
            <w:vAlign w:val="center"/>
            <w:hideMark/>
          </w:tcPr>
          <w:p w14:paraId="65207B4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671,116</w:t>
            </w:r>
          </w:p>
        </w:tc>
        <w:tc>
          <w:tcPr>
            <w:tcW w:w="880" w:type="dxa"/>
            <w:tcBorders>
              <w:top w:val="nil"/>
              <w:left w:val="single" w:sz="4" w:space="0" w:color="auto"/>
              <w:bottom w:val="nil"/>
              <w:right w:val="single" w:sz="4" w:space="0" w:color="auto"/>
            </w:tcBorders>
            <w:shd w:val="clear" w:color="auto" w:fill="auto"/>
            <w:vAlign w:val="center"/>
            <w:hideMark/>
          </w:tcPr>
          <w:p w14:paraId="2A26A15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12,057</w:t>
            </w:r>
          </w:p>
        </w:tc>
        <w:tc>
          <w:tcPr>
            <w:tcW w:w="870" w:type="dxa"/>
            <w:tcBorders>
              <w:top w:val="nil"/>
              <w:left w:val="nil"/>
              <w:bottom w:val="nil"/>
              <w:right w:val="single" w:sz="4" w:space="0" w:color="auto"/>
            </w:tcBorders>
            <w:shd w:val="clear" w:color="auto" w:fill="auto"/>
            <w:vAlign w:val="center"/>
            <w:hideMark/>
          </w:tcPr>
          <w:p w14:paraId="27098B0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708,957</w:t>
            </w:r>
          </w:p>
        </w:tc>
        <w:tc>
          <w:tcPr>
            <w:tcW w:w="990" w:type="dxa"/>
            <w:tcBorders>
              <w:top w:val="nil"/>
              <w:left w:val="nil"/>
              <w:bottom w:val="nil"/>
              <w:right w:val="nil"/>
            </w:tcBorders>
            <w:shd w:val="clear" w:color="auto" w:fill="auto"/>
            <w:vAlign w:val="center"/>
            <w:hideMark/>
          </w:tcPr>
          <w:p w14:paraId="3427A3B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3,105,755</w:t>
            </w:r>
          </w:p>
        </w:tc>
        <w:tc>
          <w:tcPr>
            <w:tcW w:w="900" w:type="dxa"/>
            <w:tcBorders>
              <w:top w:val="nil"/>
              <w:left w:val="single" w:sz="4" w:space="0" w:color="auto"/>
              <w:bottom w:val="nil"/>
              <w:right w:val="single" w:sz="4" w:space="0" w:color="auto"/>
            </w:tcBorders>
            <w:shd w:val="clear" w:color="auto" w:fill="auto"/>
            <w:vAlign w:val="center"/>
            <w:hideMark/>
          </w:tcPr>
          <w:p w14:paraId="6FC0C6A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54,787</w:t>
            </w:r>
          </w:p>
        </w:tc>
        <w:tc>
          <w:tcPr>
            <w:tcW w:w="810" w:type="dxa"/>
            <w:tcBorders>
              <w:top w:val="nil"/>
              <w:left w:val="nil"/>
              <w:bottom w:val="nil"/>
              <w:right w:val="single" w:sz="4" w:space="0" w:color="auto"/>
            </w:tcBorders>
            <w:shd w:val="clear" w:color="auto" w:fill="auto"/>
            <w:vAlign w:val="center"/>
            <w:hideMark/>
          </w:tcPr>
          <w:p w14:paraId="5192A5D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569,583</w:t>
            </w:r>
          </w:p>
        </w:tc>
        <w:tc>
          <w:tcPr>
            <w:tcW w:w="860" w:type="dxa"/>
            <w:tcBorders>
              <w:top w:val="nil"/>
              <w:left w:val="nil"/>
              <w:bottom w:val="nil"/>
              <w:right w:val="single" w:sz="4" w:space="0" w:color="auto"/>
            </w:tcBorders>
            <w:shd w:val="clear" w:color="auto" w:fill="auto"/>
            <w:vAlign w:val="center"/>
            <w:hideMark/>
          </w:tcPr>
          <w:p w14:paraId="01F16F4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1BCE545F"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1984A4C9"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Oslo Bors</w:t>
            </w:r>
          </w:p>
        </w:tc>
        <w:tc>
          <w:tcPr>
            <w:tcW w:w="1100" w:type="dxa"/>
            <w:tcBorders>
              <w:top w:val="nil"/>
              <w:left w:val="single" w:sz="4" w:space="0" w:color="auto"/>
              <w:bottom w:val="nil"/>
              <w:right w:val="nil"/>
            </w:tcBorders>
            <w:shd w:val="clear" w:color="auto" w:fill="auto"/>
            <w:vAlign w:val="center"/>
            <w:hideMark/>
          </w:tcPr>
          <w:p w14:paraId="10B2768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46,863</w:t>
            </w:r>
          </w:p>
        </w:tc>
        <w:tc>
          <w:tcPr>
            <w:tcW w:w="880" w:type="dxa"/>
            <w:tcBorders>
              <w:top w:val="nil"/>
              <w:left w:val="single" w:sz="4" w:space="0" w:color="auto"/>
              <w:bottom w:val="nil"/>
              <w:right w:val="single" w:sz="4" w:space="0" w:color="auto"/>
            </w:tcBorders>
            <w:shd w:val="clear" w:color="auto" w:fill="auto"/>
            <w:vAlign w:val="center"/>
            <w:hideMark/>
          </w:tcPr>
          <w:p w14:paraId="297A0C22"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456</w:t>
            </w:r>
          </w:p>
        </w:tc>
        <w:tc>
          <w:tcPr>
            <w:tcW w:w="870" w:type="dxa"/>
            <w:tcBorders>
              <w:top w:val="nil"/>
              <w:left w:val="nil"/>
              <w:bottom w:val="nil"/>
              <w:right w:val="single" w:sz="4" w:space="0" w:color="auto"/>
            </w:tcBorders>
            <w:shd w:val="clear" w:color="auto" w:fill="auto"/>
            <w:vAlign w:val="center"/>
            <w:hideMark/>
          </w:tcPr>
          <w:p w14:paraId="4A304E3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70,673</w:t>
            </w:r>
          </w:p>
        </w:tc>
        <w:tc>
          <w:tcPr>
            <w:tcW w:w="990" w:type="dxa"/>
            <w:tcBorders>
              <w:top w:val="nil"/>
              <w:left w:val="nil"/>
              <w:bottom w:val="nil"/>
              <w:right w:val="nil"/>
            </w:tcBorders>
            <w:shd w:val="clear" w:color="auto" w:fill="auto"/>
            <w:vAlign w:val="center"/>
            <w:hideMark/>
          </w:tcPr>
          <w:p w14:paraId="3A347F7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188,802</w:t>
            </w:r>
          </w:p>
        </w:tc>
        <w:tc>
          <w:tcPr>
            <w:tcW w:w="900" w:type="dxa"/>
            <w:tcBorders>
              <w:top w:val="nil"/>
              <w:left w:val="single" w:sz="4" w:space="0" w:color="auto"/>
              <w:bottom w:val="nil"/>
              <w:right w:val="single" w:sz="4" w:space="0" w:color="auto"/>
            </w:tcBorders>
            <w:shd w:val="clear" w:color="auto" w:fill="auto"/>
            <w:vAlign w:val="center"/>
            <w:hideMark/>
          </w:tcPr>
          <w:p w14:paraId="0B0B1E5A"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1,904</w:t>
            </w:r>
          </w:p>
        </w:tc>
        <w:tc>
          <w:tcPr>
            <w:tcW w:w="810" w:type="dxa"/>
            <w:tcBorders>
              <w:top w:val="nil"/>
              <w:left w:val="nil"/>
              <w:bottom w:val="nil"/>
              <w:right w:val="single" w:sz="4" w:space="0" w:color="auto"/>
            </w:tcBorders>
            <w:shd w:val="clear" w:color="auto" w:fill="auto"/>
            <w:vAlign w:val="center"/>
            <w:hideMark/>
          </w:tcPr>
          <w:p w14:paraId="44980A8F"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45,061</w:t>
            </w:r>
          </w:p>
        </w:tc>
        <w:tc>
          <w:tcPr>
            <w:tcW w:w="860" w:type="dxa"/>
            <w:tcBorders>
              <w:top w:val="nil"/>
              <w:left w:val="nil"/>
              <w:bottom w:val="nil"/>
              <w:right w:val="single" w:sz="4" w:space="0" w:color="auto"/>
            </w:tcBorders>
            <w:shd w:val="clear" w:color="auto" w:fill="auto"/>
            <w:vAlign w:val="center"/>
            <w:hideMark/>
          </w:tcPr>
          <w:p w14:paraId="17D9DBB4"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23</w:t>
            </w:r>
          </w:p>
        </w:tc>
      </w:tr>
      <w:tr w:rsidR="009C313D" w:rsidRPr="004C07F8" w14:paraId="7AB78E79"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55877B08"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Tel-Aviv Stock Exchange</w:t>
            </w:r>
          </w:p>
        </w:tc>
        <w:tc>
          <w:tcPr>
            <w:tcW w:w="1100" w:type="dxa"/>
            <w:tcBorders>
              <w:top w:val="nil"/>
              <w:left w:val="single" w:sz="4" w:space="0" w:color="auto"/>
              <w:bottom w:val="nil"/>
              <w:right w:val="nil"/>
            </w:tcBorders>
            <w:shd w:val="clear" w:color="auto" w:fill="auto"/>
            <w:vAlign w:val="center"/>
            <w:hideMark/>
          </w:tcPr>
          <w:p w14:paraId="4987B66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2,948,775</w:t>
            </w:r>
          </w:p>
        </w:tc>
        <w:tc>
          <w:tcPr>
            <w:tcW w:w="880" w:type="dxa"/>
            <w:tcBorders>
              <w:top w:val="nil"/>
              <w:left w:val="single" w:sz="4" w:space="0" w:color="auto"/>
              <w:bottom w:val="nil"/>
              <w:right w:val="single" w:sz="4" w:space="0" w:color="auto"/>
            </w:tcBorders>
            <w:shd w:val="clear" w:color="auto" w:fill="auto"/>
            <w:vAlign w:val="center"/>
            <w:hideMark/>
          </w:tcPr>
          <w:p w14:paraId="766E493D"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70" w:type="dxa"/>
            <w:tcBorders>
              <w:top w:val="nil"/>
              <w:left w:val="nil"/>
              <w:bottom w:val="nil"/>
              <w:right w:val="single" w:sz="4" w:space="0" w:color="auto"/>
            </w:tcBorders>
            <w:shd w:val="clear" w:color="auto" w:fill="auto"/>
            <w:vAlign w:val="center"/>
            <w:hideMark/>
          </w:tcPr>
          <w:p w14:paraId="7FFC9A99"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90" w:type="dxa"/>
            <w:tcBorders>
              <w:top w:val="nil"/>
              <w:left w:val="nil"/>
              <w:bottom w:val="nil"/>
              <w:right w:val="nil"/>
            </w:tcBorders>
            <w:shd w:val="clear" w:color="auto" w:fill="auto"/>
            <w:vAlign w:val="center"/>
            <w:hideMark/>
          </w:tcPr>
          <w:p w14:paraId="18C3E016"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900" w:type="dxa"/>
            <w:tcBorders>
              <w:top w:val="nil"/>
              <w:left w:val="single" w:sz="4" w:space="0" w:color="auto"/>
              <w:bottom w:val="nil"/>
              <w:right w:val="single" w:sz="4" w:space="0" w:color="auto"/>
            </w:tcBorders>
            <w:shd w:val="clear" w:color="auto" w:fill="auto"/>
            <w:vAlign w:val="center"/>
            <w:hideMark/>
          </w:tcPr>
          <w:p w14:paraId="2D787340"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10" w:type="dxa"/>
            <w:tcBorders>
              <w:top w:val="nil"/>
              <w:left w:val="nil"/>
              <w:bottom w:val="nil"/>
              <w:right w:val="single" w:sz="4" w:space="0" w:color="auto"/>
            </w:tcBorders>
            <w:shd w:val="clear" w:color="auto" w:fill="auto"/>
            <w:vAlign w:val="center"/>
            <w:hideMark/>
          </w:tcPr>
          <w:p w14:paraId="00EA2E21"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NA</w:t>
            </w:r>
          </w:p>
        </w:tc>
        <w:tc>
          <w:tcPr>
            <w:tcW w:w="860" w:type="dxa"/>
            <w:tcBorders>
              <w:top w:val="nil"/>
              <w:left w:val="nil"/>
              <w:bottom w:val="nil"/>
              <w:right w:val="single" w:sz="4" w:space="0" w:color="auto"/>
            </w:tcBorders>
            <w:shd w:val="clear" w:color="auto" w:fill="auto"/>
            <w:vAlign w:val="center"/>
            <w:hideMark/>
          </w:tcPr>
          <w:p w14:paraId="32F84D3B"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158B1231" w14:textId="77777777" w:rsidTr="00560A50">
        <w:trPr>
          <w:trHeight w:val="63"/>
        </w:trPr>
        <w:tc>
          <w:tcPr>
            <w:tcW w:w="2695" w:type="dxa"/>
            <w:tcBorders>
              <w:top w:val="nil"/>
              <w:left w:val="single" w:sz="4" w:space="0" w:color="auto"/>
              <w:bottom w:val="nil"/>
              <w:right w:val="nil"/>
            </w:tcBorders>
            <w:shd w:val="clear" w:color="000000" w:fill="B4C6E7"/>
            <w:vAlign w:val="center"/>
            <w:hideMark/>
          </w:tcPr>
          <w:p w14:paraId="6EE1AC95" w14:textId="77777777" w:rsidR="009C313D" w:rsidRPr="004C07F8" w:rsidRDefault="009C313D" w:rsidP="00560A50">
            <w:pPr>
              <w:ind w:left="-23"/>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Warsaw Stock Exchange</w:t>
            </w:r>
          </w:p>
        </w:tc>
        <w:tc>
          <w:tcPr>
            <w:tcW w:w="1100" w:type="dxa"/>
            <w:tcBorders>
              <w:top w:val="nil"/>
              <w:left w:val="single" w:sz="4" w:space="0" w:color="auto"/>
              <w:bottom w:val="nil"/>
              <w:right w:val="nil"/>
            </w:tcBorders>
            <w:shd w:val="clear" w:color="auto" w:fill="auto"/>
            <w:vAlign w:val="center"/>
            <w:hideMark/>
          </w:tcPr>
          <w:p w14:paraId="62A6B2A8"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26,856</w:t>
            </w:r>
          </w:p>
        </w:tc>
        <w:tc>
          <w:tcPr>
            <w:tcW w:w="880" w:type="dxa"/>
            <w:tcBorders>
              <w:top w:val="nil"/>
              <w:left w:val="single" w:sz="4" w:space="0" w:color="auto"/>
              <w:bottom w:val="nil"/>
              <w:right w:val="single" w:sz="4" w:space="0" w:color="auto"/>
            </w:tcBorders>
            <w:shd w:val="clear" w:color="auto" w:fill="auto"/>
            <w:vAlign w:val="center"/>
            <w:hideMark/>
          </w:tcPr>
          <w:p w14:paraId="3020D1D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169</w:t>
            </w:r>
          </w:p>
        </w:tc>
        <w:tc>
          <w:tcPr>
            <w:tcW w:w="870" w:type="dxa"/>
            <w:tcBorders>
              <w:top w:val="nil"/>
              <w:left w:val="nil"/>
              <w:bottom w:val="nil"/>
              <w:right w:val="single" w:sz="4" w:space="0" w:color="auto"/>
            </w:tcBorders>
            <w:shd w:val="clear" w:color="auto" w:fill="auto"/>
            <w:vAlign w:val="center"/>
            <w:hideMark/>
          </w:tcPr>
          <w:p w14:paraId="761EF3C7"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19,144</w:t>
            </w:r>
          </w:p>
        </w:tc>
        <w:tc>
          <w:tcPr>
            <w:tcW w:w="990" w:type="dxa"/>
            <w:tcBorders>
              <w:top w:val="nil"/>
              <w:left w:val="nil"/>
              <w:bottom w:val="nil"/>
              <w:right w:val="nil"/>
            </w:tcBorders>
            <w:shd w:val="clear" w:color="auto" w:fill="auto"/>
            <w:vAlign w:val="center"/>
            <w:hideMark/>
          </w:tcPr>
          <w:p w14:paraId="1C7B0ED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279,204</w:t>
            </w:r>
          </w:p>
        </w:tc>
        <w:tc>
          <w:tcPr>
            <w:tcW w:w="900" w:type="dxa"/>
            <w:tcBorders>
              <w:top w:val="nil"/>
              <w:left w:val="single" w:sz="4" w:space="0" w:color="auto"/>
              <w:bottom w:val="nil"/>
              <w:right w:val="single" w:sz="4" w:space="0" w:color="auto"/>
            </w:tcBorders>
            <w:shd w:val="clear" w:color="auto" w:fill="auto"/>
            <w:vAlign w:val="center"/>
            <w:hideMark/>
          </w:tcPr>
          <w:p w14:paraId="37F5C140"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3,467</w:t>
            </w:r>
          </w:p>
        </w:tc>
        <w:tc>
          <w:tcPr>
            <w:tcW w:w="810" w:type="dxa"/>
            <w:tcBorders>
              <w:top w:val="nil"/>
              <w:left w:val="nil"/>
              <w:bottom w:val="nil"/>
              <w:right w:val="single" w:sz="4" w:space="0" w:color="auto"/>
            </w:tcBorders>
            <w:shd w:val="clear" w:color="auto" w:fill="auto"/>
            <w:vAlign w:val="center"/>
            <w:hideMark/>
          </w:tcPr>
          <w:p w14:paraId="6A0377FC"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64,240</w:t>
            </w:r>
          </w:p>
        </w:tc>
        <w:tc>
          <w:tcPr>
            <w:tcW w:w="860" w:type="dxa"/>
            <w:tcBorders>
              <w:top w:val="nil"/>
              <w:left w:val="nil"/>
              <w:bottom w:val="nil"/>
              <w:right w:val="single" w:sz="4" w:space="0" w:color="auto"/>
            </w:tcBorders>
            <w:shd w:val="clear" w:color="auto" w:fill="auto"/>
            <w:vAlign w:val="center"/>
            <w:hideMark/>
          </w:tcPr>
          <w:p w14:paraId="221EE02E" w14:textId="77777777" w:rsidR="009C313D" w:rsidRPr="004C07F8" w:rsidRDefault="009C313D" w:rsidP="00560A50">
            <w:pPr>
              <w:jc w:val="right"/>
              <w:rPr>
                <w:rFonts w:ascii="Garamond" w:eastAsia="Times New Roman" w:hAnsi="Garamond" w:cs="Calibri"/>
                <w:color w:val="000000"/>
                <w:sz w:val="18"/>
                <w:szCs w:val="18"/>
                <w:lang w:eastAsia="en-GB"/>
              </w:rPr>
            </w:pPr>
            <w:r w:rsidRPr="004C07F8">
              <w:rPr>
                <w:rFonts w:ascii="Garamond" w:eastAsia="Times New Roman" w:hAnsi="Garamond" w:cs="Calibri"/>
                <w:color w:val="000000"/>
                <w:sz w:val="18"/>
                <w:szCs w:val="18"/>
                <w:lang w:eastAsia="en-GB"/>
              </w:rPr>
              <w:t>22</w:t>
            </w:r>
          </w:p>
        </w:tc>
      </w:tr>
      <w:tr w:rsidR="009C313D" w:rsidRPr="004C07F8" w14:paraId="17BA6FFD" w14:textId="77777777" w:rsidTr="00560A50">
        <w:trPr>
          <w:trHeight w:val="53"/>
        </w:trPr>
        <w:tc>
          <w:tcPr>
            <w:tcW w:w="2695" w:type="dxa"/>
            <w:tcBorders>
              <w:top w:val="single" w:sz="4" w:space="0" w:color="auto"/>
              <w:left w:val="single" w:sz="4" w:space="0" w:color="auto"/>
              <w:bottom w:val="single" w:sz="4" w:space="0" w:color="auto"/>
              <w:right w:val="nil"/>
            </w:tcBorders>
            <w:shd w:val="clear" w:color="000000" w:fill="B4C6E7"/>
            <w:vAlign w:val="center"/>
            <w:hideMark/>
          </w:tcPr>
          <w:p w14:paraId="13458E3C" w14:textId="77777777" w:rsidR="009C313D" w:rsidRPr="004C07F8" w:rsidRDefault="009C313D" w:rsidP="00560A50">
            <w:pPr>
              <w:ind w:left="-23"/>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 xml:space="preserve">Total </w:t>
            </w:r>
            <w:r>
              <w:rPr>
                <w:rFonts w:ascii="Garamond" w:eastAsia="Times New Roman" w:hAnsi="Garamond" w:cs="Calibri"/>
                <w:b/>
                <w:bCs/>
                <w:color w:val="000000"/>
                <w:sz w:val="18"/>
                <w:szCs w:val="18"/>
                <w:lang w:eastAsia="en-GB"/>
              </w:rPr>
              <w:t>R</w:t>
            </w:r>
            <w:r w:rsidRPr="004C07F8">
              <w:rPr>
                <w:rFonts w:ascii="Garamond" w:eastAsia="Times New Roman" w:hAnsi="Garamond" w:cs="Calibri"/>
                <w:b/>
                <w:bCs/>
                <w:color w:val="000000"/>
                <w:sz w:val="18"/>
                <w:szCs w:val="18"/>
                <w:lang w:eastAsia="en-GB"/>
              </w:rPr>
              <w:t>egion</w:t>
            </w:r>
          </w:p>
        </w:tc>
        <w:tc>
          <w:tcPr>
            <w:tcW w:w="1100" w:type="dxa"/>
            <w:tcBorders>
              <w:top w:val="single" w:sz="4" w:space="0" w:color="auto"/>
              <w:left w:val="single" w:sz="4" w:space="0" w:color="auto"/>
              <w:bottom w:val="single" w:sz="4" w:space="0" w:color="auto"/>
              <w:right w:val="nil"/>
            </w:tcBorders>
            <w:shd w:val="clear" w:color="auto" w:fill="auto"/>
            <w:vAlign w:val="center"/>
            <w:hideMark/>
          </w:tcPr>
          <w:p w14:paraId="6E6E629E" w14:textId="77777777" w:rsidR="009C313D" w:rsidRPr="004C07F8" w:rsidRDefault="009C313D" w:rsidP="00560A50">
            <w:pPr>
              <w:jc w:val="right"/>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12,900,303</w:t>
            </w:r>
          </w:p>
        </w:tc>
        <w:tc>
          <w:tcPr>
            <w:tcW w:w="880" w:type="dxa"/>
            <w:tcBorders>
              <w:top w:val="single" w:sz="4" w:space="0" w:color="auto"/>
              <w:left w:val="single" w:sz="4" w:space="0" w:color="auto"/>
              <w:bottom w:val="single" w:sz="4" w:space="0" w:color="auto"/>
              <w:right w:val="nil"/>
            </w:tcBorders>
            <w:shd w:val="clear" w:color="auto" w:fill="auto"/>
            <w:vAlign w:val="center"/>
            <w:hideMark/>
          </w:tcPr>
          <w:p w14:paraId="1BCA4AE6"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82B01"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08689D9" w14:textId="77777777" w:rsidR="009C313D" w:rsidRPr="004C07F8" w:rsidRDefault="009C313D" w:rsidP="00560A50">
            <w:pPr>
              <w:jc w:val="right"/>
              <w:rPr>
                <w:rFonts w:ascii="Garamond" w:eastAsia="Times New Roman" w:hAnsi="Garamond" w:cs="Calibri"/>
                <w:b/>
                <w:bCs/>
                <w:color w:val="000000"/>
                <w:sz w:val="18"/>
                <w:szCs w:val="18"/>
                <w:lang w:eastAsia="en-GB"/>
              </w:rPr>
            </w:pPr>
            <w:r w:rsidRPr="004C07F8">
              <w:rPr>
                <w:rFonts w:ascii="Garamond" w:eastAsia="Times New Roman" w:hAnsi="Garamond" w:cs="Calibri"/>
                <w:b/>
                <w:bCs/>
                <w:color w:val="000000"/>
                <w:sz w:val="18"/>
                <w:szCs w:val="18"/>
                <w:lang w:eastAsia="en-GB"/>
              </w:rPr>
              <w:t>56,592,080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463246C"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0A790DDE" w14:textId="77777777" w:rsidR="009C313D" w:rsidRPr="004C07F8" w:rsidRDefault="009C313D" w:rsidP="00560A50">
            <w:pPr>
              <w:jc w:val="right"/>
              <w:rPr>
                <w:rFonts w:ascii="Garamond" w:eastAsia="Times New Roman" w:hAnsi="Garamond" w:cs="Calibri"/>
                <w:b/>
                <w:bCs/>
                <w:color w:val="000000"/>
                <w:sz w:val="18"/>
                <w:szCs w:val="18"/>
                <w:lang w:eastAsia="en-GB"/>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115ADD3" w14:textId="77777777" w:rsidR="009C313D" w:rsidRPr="004C07F8" w:rsidRDefault="009C313D" w:rsidP="00560A50">
            <w:pPr>
              <w:jc w:val="right"/>
              <w:rPr>
                <w:rFonts w:ascii="Garamond" w:eastAsia="Times New Roman" w:hAnsi="Garamond" w:cs="Calibri"/>
                <w:b/>
                <w:bCs/>
                <w:color w:val="000000"/>
                <w:sz w:val="18"/>
                <w:szCs w:val="18"/>
                <w:lang w:eastAsia="en-GB"/>
              </w:rPr>
            </w:pPr>
          </w:p>
        </w:tc>
      </w:tr>
      <w:tr w:rsidR="009C313D" w:rsidRPr="004C07F8" w14:paraId="13D704B2" w14:textId="77777777" w:rsidTr="00560A50">
        <w:trPr>
          <w:trHeight w:val="53"/>
        </w:trPr>
        <w:tc>
          <w:tcPr>
            <w:tcW w:w="2695" w:type="dxa"/>
            <w:tcBorders>
              <w:top w:val="nil"/>
              <w:left w:val="single" w:sz="4" w:space="0" w:color="auto"/>
              <w:bottom w:val="single" w:sz="4" w:space="0" w:color="auto"/>
              <w:right w:val="single" w:sz="4" w:space="0" w:color="auto"/>
            </w:tcBorders>
            <w:shd w:val="clear" w:color="000000" w:fill="B4C6E7"/>
            <w:vAlign w:val="center"/>
            <w:hideMark/>
          </w:tcPr>
          <w:p w14:paraId="66670BCF" w14:textId="77777777" w:rsidR="009C313D" w:rsidRPr="004C07F8" w:rsidRDefault="009C313D" w:rsidP="00560A50">
            <w:pPr>
              <w:ind w:left="-23"/>
              <w:rPr>
                <w:rFonts w:ascii="Garamond" w:eastAsia="Times New Roman" w:hAnsi="Garamond" w:cs="Calibri"/>
                <w:b/>
                <w:bCs/>
                <w:sz w:val="18"/>
                <w:szCs w:val="18"/>
                <w:lang w:eastAsia="en-GB"/>
              </w:rPr>
            </w:pPr>
            <w:r w:rsidRPr="004C07F8">
              <w:rPr>
                <w:rFonts w:ascii="Garamond" w:eastAsia="Times New Roman" w:hAnsi="Garamond" w:cs="Calibri"/>
                <w:b/>
                <w:bCs/>
                <w:sz w:val="18"/>
                <w:szCs w:val="18"/>
                <w:lang w:eastAsia="en-GB"/>
              </w:rPr>
              <w:t>Total</w:t>
            </w:r>
          </w:p>
        </w:tc>
        <w:tc>
          <w:tcPr>
            <w:tcW w:w="1100" w:type="dxa"/>
            <w:tcBorders>
              <w:top w:val="nil"/>
              <w:left w:val="nil"/>
              <w:bottom w:val="single" w:sz="4" w:space="0" w:color="auto"/>
              <w:right w:val="single" w:sz="4" w:space="0" w:color="auto"/>
            </w:tcBorders>
            <w:shd w:val="clear" w:color="000000" w:fill="B4C6E7"/>
            <w:vAlign w:val="center"/>
            <w:hideMark/>
          </w:tcPr>
          <w:p w14:paraId="1A3CE84E" w14:textId="77777777" w:rsidR="009C313D" w:rsidRPr="004C07F8" w:rsidRDefault="009C313D" w:rsidP="00560A50">
            <w:pPr>
              <w:jc w:val="right"/>
              <w:rPr>
                <w:rFonts w:ascii="Garamond" w:eastAsia="Times New Roman" w:hAnsi="Garamond" w:cs="Calibri"/>
                <w:b/>
                <w:bCs/>
                <w:sz w:val="18"/>
                <w:szCs w:val="18"/>
                <w:lang w:eastAsia="en-GB"/>
              </w:rPr>
            </w:pPr>
            <w:r w:rsidRPr="004C07F8">
              <w:rPr>
                <w:rFonts w:ascii="Garamond" w:eastAsia="Times New Roman" w:hAnsi="Garamond" w:cs="Calibri"/>
                <w:b/>
                <w:bCs/>
                <w:sz w:val="18"/>
                <w:szCs w:val="18"/>
                <w:lang w:eastAsia="en-GB"/>
              </w:rPr>
              <w:t>308,205,309</w:t>
            </w:r>
          </w:p>
        </w:tc>
        <w:tc>
          <w:tcPr>
            <w:tcW w:w="880" w:type="dxa"/>
            <w:tcBorders>
              <w:top w:val="nil"/>
              <w:left w:val="nil"/>
              <w:bottom w:val="single" w:sz="4" w:space="0" w:color="auto"/>
              <w:right w:val="single" w:sz="4" w:space="0" w:color="auto"/>
            </w:tcBorders>
            <w:shd w:val="clear" w:color="000000" w:fill="B4C6E7"/>
            <w:vAlign w:val="center"/>
            <w:hideMark/>
          </w:tcPr>
          <w:p w14:paraId="2DA8C597" w14:textId="77777777" w:rsidR="009C313D" w:rsidRPr="004C07F8" w:rsidRDefault="009C313D" w:rsidP="00560A50">
            <w:pPr>
              <w:jc w:val="right"/>
              <w:rPr>
                <w:rFonts w:ascii="Garamond" w:eastAsia="Times New Roman" w:hAnsi="Garamond" w:cs="Calibri"/>
                <w:b/>
                <w:bCs/>
                <w:sz w:val="18"/>
                <w:szCs w:val="18"/>
                <w:lang w:eastAsia="en-GB"/>
              </w:rPr>
            </w:pPr>
          </w:p>
        </w:tc>
        <w:tc>
          <w:tcPr>
            <w:tcW w:w="870" w:type="dxa"/>
            <w:tcBorders>
              <w:top w:val="nil"/>
              <w:left w:val="nil"/>
              <w:bottom w:val="single" w:sz="4" w:space="0" w:color="auto"/>
              <w:right w:val="single" w:sz="4" w:space="0" w:color="auto"/>
            </w:tcBorders>
            <w:shd w:val="clear" w:color="000000" w:fill="B4C6E7"/>
            <w:vAlign w:val="center"/>
            <w:hideMark/>
          </w:tcPr>
          <w:p w14:paraId="3EB0EFBF" w14:textId="77777777" w:rsidR="009C313D" w:rsidRPr="004C07F8" w:rsidRDefault="009C313D" w:rsidP="00560A50">
            <w:pPr>
              <w:jc w:val="right"/>
              <w:rPr>
                <w:rFonts w:ascii="Garamond" w:eastAsia="Times New Roman" w:hAnsi="Garamond" w:cs="Calibri"/>
                <w:b/>
                <w:bCs/>
                <w:sz w:val="18"/>
                <w:szCs w:val="18"/>
                <w:lang w:eastAsia="en-GB"/>
              </w:rPr>
            </w:pPr>
          </w:p>
        </w:tc>
        <w:tc>
          <w:tcPr>
            <w:tcW w:w="990" w:type="dxa"/>
            <w:tcBorders>
              <w:top w:val="nil"/>
              <w:left w:val="nil"/>
              <w:bottom w:val="single" w:sz="4" w:space="0" w:color="auto"/>
              <w:right w:val="single" w:sz="4" w:space="0" w:color="auto"/>
            </w:tcBorders>
            <w:shd w:val="clear" w:color="000000" w:fill="B4C6E7"/>
            <w:vAlign w:val="center"/>
            <w:hideMark/>
          </w:tcPr>
          <w:p w14:paraId="24EA4D94" w14:textId="77777777" w:rsidR="009C313D" w:rsidRPr="004C07F8" w:rsidRDefault="009C313D" w:rsidP="00560A50">
            <w:pPr>
              <w:jc w:val="right"/>
              <w:rPr>
                <w:rFonts w:ascii="Garamond" w:eastAsia="Times New Roman" w:hAnsi="Garamond" w:cs="Calibri"/>
                <w:b/>
                <w:bCs/>
                <w:sz w:val="18"/>
                <w:szCs w:val="18"/>
                <w:lang w:eastAsia="en-GB"/>
              </w:rPr>
            </w:pPr>
            <w:r w:rsidRPr="004C07F8">
              <w:rPr>
                <w:rFonts w:ascii="Garamond" w:eastAsia="Times New Roman" w:hAnsi="Garamond" w:cs="Calibri"/>
                <w:b/>
                <w:bCs/>
                <w:sz w:val="18"/>
                <w:szCs w:val="18"/>
                <w:lang w:eastAsia="en-GB"/>
              </w:rPr>
              <w:t>173,830,791</w:t>
            </w:r>
          </w:p>
        </w:tc>
        <w:tc>
          <w:tcPr>
            <w:tcW w:w="900" w:type="dxa"/>
            <w:tcBorders>
              <w:top w:val="nil"/>
              <w:left w:val="nil"/>
              <w:bottom w:val="single" w:sz="4" w:space="0" w:color="auto"/>
              <w:right w:val="single" w:sz="4" w:space="0" w:color="auto"/>
            </w:tcBorders>
            <w:shd w:val="clear" w:color="000000" w:fill="B4C6E7"/>
            <w:vAlign w:val="center"/>
            <w:hideMark/>
          </w:tcPr>
          <w:p w14:paraId="4BAEDC6A" w14:textId="77777777" w:rsidR="009C313D" w:rsidRPr="004C07F8" w:rsidRDefault="009C313D" w:rsidP="00560A50">
            <w:pPr>
              <w:jc w:val="right"/>
              <w:rPr>
                <w:rFonts w:ascii="Garamond" w:eastAsia="Times New Roman" w:hAnsi="Garamond" w:cs="Calibri"/>
                <w:b/>
                <w:bCs/>
                <w:sz w:val="18"/>
                <w:szCs w:val="18"/>
                <w:lang w:eastAsia="en-GB"/>
              </w:rPr>
            </w:pPr>
          </w:p>
        </w:tc>
        <w:tc>
          <w:tcPr>
            <w:tcW w:w="810" w:type="dxa"/>
            <w:tcBorders>
              <w:top w:val="nil"/>
              <w:left w:val="nil"/>
              <w:bottom w:val="single" w:sz="4" w:space="0" w:color="auto"/>
              <w:right w:val="single" w:sz="4" w:space="0" w:color="auto"/>
            </w:tcBorders>
            <w:shd w:val="clear" w:color="000000" w:fill="B4C6E7"/>
            <w:vAlign w:val="center"/>
            <w:hideMark/>
          </w:tcPr>
          <w:p w14:paraId="0E4AAA73" w14:textId="77777777" w:rsidR="009C313D" w:rsidRPr="004C07F8" w:rsidRDefault="009C313D" w:rsidP="00560A50">
            <w:pPr>
              <w:jc w:val="right"/>
              <w:rPr>
                <w:rFonts w:ascii="Garamond" w:eastAsia="Times New Roman" w:hAnsi="Garamond" w:cs="Calibri"/>
                <w:b/>
                <w:bCs/>
                <w:sz w:val="18"/>
                <w:szCs w:val="18"/>
                <w:lang w:eastAsia="en-GB"/>
              </w:rPr>
            </w:pPr>
          </w:p>
        </w:tc>
        <w:tc>
          <w:tcPr>
            <w:tcW w:w="860" w:type="dxa"/>
            <w:tcBorders>
              <w:top w:val="nil"/>
              <w:left w:val="nil"/>
              <w:bottom w:val="single" w:sz="4" w:space="0" w:color="auto"/>
              <w:right w:val="single" w:sz="4" w:space="0" w:color="auto"/>
            </w:tcBorders>
            <w:shd w:val="clear" w:color="000000" w:fill="B4C6E7"/>
            <w:vAlign w:val="center"/>
            <w:hideMark/>
          </w:tcPr>
          <w:p w14:paraId="6179AC62" w14:textId="77777777" w:rsidR="009C313D" w:rsidRPr="004C07F8" w:rsidRDefault="009C313D" w:rsidP="00560A50">
            <w:pPr>
              <w:jc w:val="right"/>
              <w:rPr>
                <w:rFonts w:ascii="Garamond" w:eastAsia="Times New Roman" w:hAnsi="Garamond" w:cs="Calibri"/>
                <w:b/>
                <w:bCs/>
                <w:sz w:val="18"/>
                <w:szCs w:val="18"/>
                <w:lang w:eastAsia="en-GB"/>
              </w:rPr>
            </w:pPr>
          </w:p>
        </w:tc>
      </w:tr>
    </w:tbl>
    <w:p w14:paraId="3ADBD304" w14:textId="77777777" w:rsidR="009C313D" w:rsidRPr="004C07F8" w:rsidRDefault="009C313D" w:rsidP="009C313D">
      <w:pPr>
        <w:jc w:val="both"/>
        <w:rPr>
          <w:rFonts w:ascii="Garamond" w:hAnsi="Garamond"/>
          <w:b/>
          <w:sz w:val="20"/>
        </w:rPr>
      </w:pPr>
    </w:p>
    <w:p w14:paraId="1E3B1CB1" w14:textId="77777777" w:rsidR="009C313D" w:rsidRPr="004C07F8" w:rsidRDefault="009C313D" w:rsidP="009C313D">
      <w:pPr>
        <w:jc w:val="both"/>
        <w:rPr>
          <w:rFonts w:ascii="Garamond" w:hAnsi="Garamond"/>
          <w:b/>
          <w:sz w:val="20"/>
        </w:rPr>
      </w:pPr>
      <w:r w:rsidRPr="004C07F8">
        <w:rPr>
          <w:rFonts w:ascii="Garamond" w:hAnsi="Garamond"/>
          <w:b/>
          <w:sz w:val="20"/>
        </w:rPr>
        <w:t xml:space="preserve">NA: </w:t>
      </w:r>
      <w:r w:rsidRPr="004C07F8">
        <w:rPr>
          <w:rFonts w:ascii="Garamond" w:hAnsi="Garamond"/>
          <w:sz w:val="20"/>
        </w:rPr>
        <w:t>Not Available</w:t>
      </w:r>
    </w:p>
    <w:p w14:paraId="5CC87CC7" w14:textId="77777777" w:rsidR="009C313D" w:rsidRPr="004C07F8" w:rsidRDefault="009C313D" w:rsidP="009C313D">
      <w:pPr>
        <w:jc w:val="both"/>
        <w:rPr>
          <w:rFonts w:ascii="Garamond" w:hAnsi="Garamond"/>
          <w:sz w:val="20"/>
        </w:rPr>
      </w:pPr>
      <w:r w:rsidRPr="004C07F8">
        <w:rPr>
          <w:rFonts w:ascii="Garamond" w:hAnsi="Garamond"/>
          <w:b/>
          <w:sz w:val="20"/>
        </w:rPr>
        <w:t xml:space="preserve">Source: </w:t>
      </w:r>
      <w:r w:rsidRPr="004C07F8">
        <w:rPr>
          <w:rFonts w:ascii="Garamond" w:hAnsi="Garamond"/>
          <w:sz w:val="20"/>
        </w:rPr>
        <w:t>World Federation of Exchanges</w:t>
      </w:r>
    </w:p>
    <w:p w14:paraId="1267CD44" w14:textId="77777777" w:rsidR="009C313D" w:rsidRPr="004C07F8" w:rsidRDefault="009C313D" w:rsidP="009C313D">
      <w:pPr>
        <w:jc w:val="both"/>
        <w:rPr>
          <w:rFonts w:ascii="Garamond" w:hAnsi="Garamond"/>
        </w:rPr>
      </w:pPr>
    </w:p>
    <w:p w14:paraId="0451AB97" w14:textId="77777777" w:rsidR="009C313D" w:rsidRPr="001500B3" w:rsidRDefault="009C313D" w:rsidP="009C313D">
      <w:pPr>
        <w:jc w:val="both"/>
        <w:rPr>
          <w:rFonts w:ascii="Garamond" w:hAnsi="Garamond"/>
          <w:color w:val="0000FF"/>
        </w:rPr>
      </w:pPr>
    </w:p>
    <w:p w14:paraId="4C306E9C" w14:textId="77777777" w:rsidR="009C313D" w:rsidRPr="00804371" w:rsidRDefault="009C313D" w:rsidP="009C313D">
      <w:pPr>
        <w:jc w:val="both"/>
        <w:rPr>
          <w:rFonts w:ascii="Garamond" w:hAnsi="Garamond"/>
          <w:b/>
        </w:rPr>
      </w:pPr>
      <w:r w:rsidRPr="00804371">
        <w:rPr>
          <w:rFonts w:ascii="Garamond" w:hAnsi="Garamond"/>
          <w:b/>
        </w:rPr>
        <w:t>Table A6: Currency Options and Futures Traded in Major Exchanges</w:t>
      </w:r>
    </w:p>
    <w:p w14:paraId="79103DB2" w14:textId="77777777" w:rsidR="009C313D" w:rsidRPr="00804371" w:rsidRDefault="009C313D" w:rsidP="009C313D">
      <w:pPr>
        <w:jc w:val="both"/>
        <w:rPr>
          <w:rFonts w:ascii="Garamond" w:hAnsi="Garamond"/>
          <w:b/>
        </w:rPr>
      </w:pPr>
    </w:p>
    <w:tbl>
      <w:tblPr>
        <w:tblW w:w="9613" w:type="dxa"/>
        <w:jc w:val="center"/>
        <w:tblLook w:val="04A0" w:firstRow="1" w:lastRow="0" w:firstColumn="1" w:lastColumn="0" w:noHBand="0" w:noVBand="1"/>
      </w:tblPr>
      <w:tblGrid>
        <w:gridCol w:w="2739"/>
        <w:gridCol w:w="1166"/>
        <w:gridCol w:w="923"/>
        <w:gridCol w:w="918"/>
        <w:gridCol w:w="1189"/>
        <w:gridCol w:w="923"/>
        <w:gridCol w:w="920"/>
        <w:gridCol w:w="835"/>
      </w:tblGrid>
      <w:tr w:rsidR="009C313D" w:rsidRPr="00804371" w14:paraId="7F14633D" w14:textId="77777777" w:rsidTr="00560A50">
        <w:trPr>
          <w:trHeight w:val="238"/>
          <w:jc w:val="center"/>
        </w:trPr>
        <w:tc>
          <w:tcPr>
            <w:tcW w:w="278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F1BCC7F"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Exchange</w:t>
            </w:r>
          </w:p>
        </w:tc>
        <w:tc>
          <w:tcPr>
            <w:tcW w:w="5993" w:type="dxa"/>
            <w:gridSpan w:val="6"/>
            <w:tcBorders>
              <w:top w:val="single" w:sz="4" w:space="0" w:color="auto"/>
              <w:left w:val="nil"/>
              <w:bottom w:val="single" w:sz="4" w:space="0" w:color="auto"/>
              <w:right w:val="single" w:sz="4" w:space="0" w:color="auto"/>
            </w:tcBorders>
            <w:shd w:val="clear" w:color="000000" w:fill="B4C6E7"/>
            <w:vAlign w:val="center"/>
            <w:hideMark/>
          </w:tcPr>
          <w:p w14:paraId="688127A2"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August 2018</w:t>
            </w:r>
          </w:p>
        </w:tc>
        <w:tc>
          <w:tcPr>
            <w:tcW w:w="83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DDA69AA"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Trading </w:t>
            </w:r>
            <w:r>
              <w:rPr>
                <w:rFonts w:ascii="Garamond" w:eastAsia="Times New Roman" w:hAnsi="Garamond" w:cs="Calibri"/>
                <w:b/>
                <w:bCs/>
                <w:sz w:val="18"/>
                <w:szCs w:val="18"/>
                <w:lang w:eastAsia="en-GB"/>
              </w:rPr>
              <w:t>D</w:t>
            </w:r>
            <w:r w:rsidRPr="00804371">
              <w:rPr>
                <w:rFonts w:ascii="Garamond" w:eastAsia="Times New Roman" w:hAnsi="Garamond" w:cs="Calibri"/>
                <w:b/>
                <w:bCs/>
                <w:sz w:val="18"/>
                <w:szCs w:val="18"/>
                <w:lang w:eastAsia="en-GB"/>
              </w:rPr>
              <w:t xml:space="preserve">ays </w:t>
            </w:r>
            <w:r w:rsidRPr="00804371">
              <w:rPr>
                <w:rFonts w:ascii="Garamond" w:eastAsia="Times New Roman" w:hAnsi="Garamond" w:cs="Calibri"/>
                <w:b/>
                <w:bCs/>
                <w:sz w:val="18"/>
                <w:szCs w:val="18"/>
                <w:lang w:eastAsia="en-GB"/>
              </w:rPr>
              <w:br/>
              <w:t>Aug 2018</w:t>
            </w:r>
          </w:p>
        </w:tc>
      </w:tr>
      <w:tr w:rsidR="009C313D" w:rsidRPr="00804371" w14:paraId="4651CA84" w14:textId="77777777" w:rsidTr="00560A50">
        <w:trPr>
          <w:trHeight w:val="238"/>
          <w:jc w:val="center"/>
        </w:trPr>
        <w:tc>
          <w:tcPr>
            <w:tcW w:w="2785" w:type="dxa"/>
            <w:vMerge/>
            <w:tcBorders>
              <w:top w:val="single" w:sz="4" w:space="0" w:color="auto"/>
              <w:left w:val="single" w:sz="4" w:space="0" w:color="auto"/>
              <w:bottom w:val="single" w:sz="4" w:space="0" w:color="auto"/>
              <w:right w:val="single" w:sz="4" w:space="0" w:color="auto"/>
            </w:tcBorders>
            <w:vAlign w:val="center"/>
            <w:hideMark/>
          </w:tcPr>
          <w:p w14:paraId="4C301C1D" w14:textId="77777777" w:rsidR="009C313D" w:rsidRPr="00804371" w:rsidRDefault="009C313D" w:rsidP="00560A50">
            <w:pPr>
              <w:rPr>
                <w:rFonts w:ascii="Garamond" w:eastAsia="Times New Roman" w:hAnsi="Garamond" w:cs="Calibri"/>
                <w:b/>
                <w:bCs/>
                <w:sz w:val="18"/>
                <w:szCs w:val="18"/>
                <w:lang w:eastAsia="en-GB"/>
              </w:rPr>
            </w:pPr>
          </w:p>
        </w:tc>
        <w:tc>
          <w:tcPr>
            <w:tcW w:w="2984" w:type="dxa"/>
            <w:gridSpan w:val="3"/>
            <w:tcBorders>
              <w:top w:val="single" w:sz="4" w:space="0" w:color="auto"/>
              <w:left w:val="nil"/>
              <w:bottom w:val="single" w:sz="4" w:space="0" w:color="auto"/>
              <w:right w:val="single" w:sz="4" w:space="0" w:color="auto"/>
            </w:tcBorders>
            <w:shd w:val="clear" w:color="000000" w:fill="B4C6E7"/>
            <w:vAlign w:val="center"/>
            <w:hideMark/>
          </w:tcPr>
          <w:p w14:paraId="6CB34F3C"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Currency </w:t>
            </w:r>
            <w:r>
              <w:rPr>
                <w:rFonts w:ascii="Garamond" w:eastAsia="Times New Roman" w:hAnsi="Garamond" w:cs="Calibri"/>
                <w:b/>
                <w:bCs/>
                <w:sz w:val="18"/>
                <w:szCs w:val="18"/>
                <w:lang w:eastAsia="en-GB"/>
              </w:rPr>
              <w:t>O</w:t>
            </w:r>
            <w:r w:rsidRPr="00804371">
              <w:rPr>
                <w:rFonts w:ascii="Garamond" w:eastAsia="Times New Roman" w:hAnsi="Garamond" w:cs="Calibri"/>
                <w:b/>
                <w:bCs/>
                <w:sz w:val="18"/>
                <w:szCs w:val="18"/>
                <w:lang w:eastAsia="en-GB"/>
              </w:rPr>
              <w:t>ptions</w:t>
            </w:r>
          </w:p>
        </w:tc>
        <w:tc>
          <w:tcPr>
            <w:tcW w:w="3009" w:type="dxa"/>
            <w:gridSpan w:val="3"/>
            <w:tcBorders>
              <w:top w:val="single" w:sz="4" w:space="0" w:color="auto"/>
              <w:left w:val="nil"/>
              <w:bottom w:val="single" w:sz="4" w:space="0" w:color="auto"/>
              <w:right w:val="single" w:sz="4" w:space="0" w:color="auto"/>
            </w:tcBorders>
            <w:shd w:val="clear" w:color="000000" w:fill="B4C6E7"/>
            <w:vAlign w:val="center"/>
            <w:hideMark/>
          </w:tcPr>
          <w:p w14:paraId="35F3B4AC"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Currency </w:t>
            </w:r>
            <w:r>
              <w:rPr>
                <w:rFonts w:ascii="Garamond" w:eastAsia="Times New Roman" w:hAnsi="Garamond" w:cs="Calibri"/>
                <w:b/>
                <w:bCs/>
                <w:sz w:val="18"/>
                <w:szCs w:val="18"/>
                <w:lang w:eastAsia="en-GB"/>
              </w:rPr>
              <w:t>F</w:t>
            </w:r>
            <w:r w:rsidRPr="00804371">
              <w:rPr>
                <w:rFonts w:ascii="Garamond" w:eastAsia="Times New Roman" w:hAnsi="Garamond" w:cs="Calibri"/>
                <w:b/>
                <w:bCs/>
                <w:sz w:val="18"/>
                <w:szCs w:val="18"/>
                <w:lang w:eastAsia="en-GB"/>
              </w:rPr>
              <w:t>utures</w:t>
            </w: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6166F855" w14:textId="77777777" w:rsidR="009C313D" w:rsidRPr="00804371" w:rsidRDefault="009C313D" w:rsidP="00560A50">
            <w:pPr>
              <w:rPr>
                <w:rFonts w:ascii="Garamond" w:eastAsia="Times New Roman" w:hAnsi="Garamond" w:cs="Calibri"/>
                <w:b/>
                <w:bCs/>
                <w:sz w:val="18"/>
                <w:szCs w:val="18"/>
                <w:lang w:eastAsia="en-GB"/>
              </w:rPr>
            </w:pPr>
          </w:p>
        </w:tc>
      </w:tr>
      <w:tr w:rsidR="009C313D" w:rsidRPr="00804371" w14:paraId="0FBD37D7" w14:textId="77777777" w:rsidTr="00560A50">
        <w:trPr>
          <w:trHeight w:val="716"/>
          <w:jc w:val="center"/>
        </w:trPr>
        <w:tc>
          <w:tcPr>
            <w:tcW w:w="2785" w:type="dxa"/>
            <w:vMerge/>
            <w:tcBorders>
              <w:top w:val="single" w:sz="4" w:space="0" w:color="auto"/>
              <w:left w:val="single" w:sz="4" w:space="0" w:color="auto"/>
              <w:bottom w:val="single" w:sz="4" w:space="0" w:color="auto"/>
              <w:right w:val="single" w:sz="4" w:space="0" w:color="auto"/>
            </w:tcBorders>
            <w:vAlign w:val="center"/>
            <w:hideMark/>
          </w:tcPr>
          <w:p w14:paraId="4AD30A89" w14:textId="77777777" w:rsidR="009C313D" w:rsidRPr="00804371" w:rsidRDefault="009C313D" w:rsidP="00560A50">
            <w:pPr>
              <w:rPr>
                <w:rFonts w:ascii="Garamond" w:eastAsia="Times New Roman" w:hAnsi="Garamond" w:cs="Calibri"/>
                <w:b/>
                <w:bCs/>
                <w:sz w:val="18"/>
                <w:szCs w:val="18"/>
                <w:lang w:eastAsia="en-GB"/>
              </w:rPr>
            </w:pPr>
          </w:p>
        </w:tc>
        <w:tc>
          <w:tcPr>
            <w:tcW w:w="1170" w:type="dxa"/>
            <w:tcBorders>
              <w:top w:val="nil"/>
              <w:left w:val="nil"/>
              <w:bottom w:val="single" w:sz="4" w:space="0" w:color="auto"/>
              <w:right w:val="single" w:sz="4" w:space="0" w:color="auto"/>
            </w:tcBorders>
            <w:shd w:val="clear" w:color="000000" w:fill="B4C6E7"/>
            <w:vAlign w:val="center"/>
            <w:hideMark/>
          </w:tcPr>
          <w:p w14:paraId="1D4808C8"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Number of</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C</w:t>
            </w:r>
            <w:r w:rsidRPr="00804371">
              <w:rPr>
                <w:rFonts w:ascii="Garamond" w:eastAsia="Times New Roman" w:hAnsi="Garamond" w:cs="Calibri"/>
                <w:b/>
                <w:bCs/>
                <w:sz w:val="18"/>
                <w:szCs w:val="18"/>
                <w:lang w:eastAsia="en-GB"/>
              </w:rPr>
              <w:t xml:space="preserve">ontracts </w:t>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raded</w:t>
            </w:r>
          </w:p>
        </w:tc>
        <w:tc>
          <w:tcPr>
            <w:tcW w:w="895" w:type="dxa"/>
            <w:tcBorders>
              <w:top w:val="nil"/>
              <w:left w:val="nil"/>
              <w:bottom w:val="single" w:sz="4" w:space="0" w:color="auto"/>
              <w:right w:val="single" w:sz="4" w:space="0" w:color="auto"/>
            </w:tcBorders>
            <w:shd w:val="clear" w:color="000000" w:fill="B4C6E7"/>
            <w:vAlign w:val="center"/>
            <w:hideMark/>
          </w:tcPr>
          <w:p w14:paraId="6F85A06B"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Notional</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urnover</w:t>
            </w:r>
          </w:p>
        </w:tc>
        <w:tc>
          <w:tcPr>
            <w:tcW w:w="919" w:type="dxa"/>
            <w:tcBorders>
              <w:top w:val="nil"/>
              <w:left w:val="nil"/>
              <w:bottom w:val="single" w:sz="4" w:space="0" w:color="auto"/>
              <w:right w:val="single" w:sz="4" w:space="0" w:color="auto"/>
            </w:tcBorders>
            <w:shd w:val="clear" w:color="000000" w:fill="B4C6E7"/>
            <w:vAlign w:val="center"/>
            <w:hideMark/>
          </w:tcPr>
          <w:p w14:paraId="746818D0"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Open</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I</w:t>
            </w:r>
            <w:r w:rsidRPr="00804371">
              <w:rPr>
                <w:rFonts w:ascii="Garamond" w:eastAsia="Times New Roman" w:hAnsi="Garamond" w:cs="Calibri"/>
                <w:b/>
                <w:bCs/>
                <w:sz w:val="18"/>
                <w:szCs w:val="18"/>
                <w:lang w:eastAsia="en-GB"/>
              </w:rPr>
              <w:t>nterest</w:t>
            </w:r>
          </w:p>
        </w:tc>
        <w:tc>
          <w:tcPr>
            <w:tcW w:w="1193" w:type="dxa"/>
            <w:tcBorders>
              <w:top w:val="nil"/>
              <w:left w:val="nil"/>
              <w:bottom w:val="single" w:sz="4" w:space="0" w:color="auto"/>
              <w:right w:val="single" w:sz="4" w:space="0" w:color="auto"/>
            </w:tcBorders>
            <w:shd w:val="clear" w:color="000000" w:fill="B4C6E7"/>
            <w:vAlign w:val="center"/>
            <w:hideMark/>
          </w:tcPr>
          <w:p w14:paraId="588CCBC9"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Number of</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C</w:t>
            </w:r>
            <w:r w:rsidRPr="00804371">
              <w:rPr>
                <w:rFonts w:ascii="Garamond" w:eastAsia="Times New Roman" w:hAnsi="Garamond" w:cs="Calibri"/>
                <w:b/>
                <w:bCs/>
                <w:sz w:val="18"/>
                <w:szCs w:val="18"/>
                <w:lang w:eastAsia="en-GB"/>
              </w:rPr>
              <w:t xml:space="preserve">ontracts </w:t>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raded</w:t>
            </w:r>
          </w:p>
        </w:tc>
        <w:tc>
          <w:tcPr>
            <w:tcW w:w="895" w:type="dxa"/>
            <w:tcBorders>
              <w:top w:val="nil"/>
              <w:left w:val="nil"/>
              <w:bottom w:val="single" w:sz="4" w:space="0" w:color="auto"/>
              <w:right w:val="single" w:sz="4" w:space="0" w:color="auto"/>
            </w:tcBorders>
            <w:shd w:val="clear" w:color="000000" w:fill="B4C6E7"/>
            <w:vAlign w:val="center"/>
            <w:hideMark/>
          </w:tcPr>
          <w:p w14:paraId="2C72D156"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Notional</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urnover</w:t>
            </w:r>
          </w:p>
        </w:tc>
        <w:tc>
          <w:tcPr>
            <w:tcW w:w="921" w:type="dxa"/>
            <w:tcBorders>
              <w:top w:val="nil"/>
              <w:left w:val="nil"/>
              <w:bottom w:val="single" w:sz="4" w:space="0" w:color="auto"/>
              <w:right w:val="single" w:sz="4" w:space="0" w:color="auto"/>
            </w:tcBorders>
            <w:shd w:val="clear" w:color="000000" w:fill="B4C6E7"/>
            <w:vAlign w:val="center"/>
            <w:hideMark/>
          </w:tcPr>
          <w:p w14:paraId="4BD5989F"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Open</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I</w:t>
            </w:r>
            <w:r w:rsidRPr="00804371">
              <w:rPr>
                <w:rFonts w:ascii="Garamond" w:eastAsia="Times New Roman" w:hAnsi="Garamond" w:cs="Calibri"/>
                <w:b/>
                <w:bCs/>
                <w:sz w:val="18"/>
                <w:szCs w:val="18"/>
                <w:lang w:eastAsia="en-GB"/>
              </w:rPr>
              <w:t>nterest</w:t>
            </w:r>
          </w:p>
        </w:tc>
        <w:tc>
          <w:tcPr>
            <w:tcW w:w="835" w:type="dxa"/>
            <w:vMerge/>
            <w:tcBorders>
              <w:top w:val="single" w:sz="4" w:space="0" w:color="auto"/>
              <w:left w:val="single" w:sz="4" w:space="0" w:color="auto"/>
              <w:bottom w:val="single" w:sz="4" w:space="0" w:color="auto"/>
              <w:right w:val="single" w:sz="4" w:space="0" w:color="auto"/>
            </w:tcBorders>
            <w:vAlign w:val="center"/>
            <w:hideMark/>
          </w:tcPr>
          <w:p w14:paraId="5C4CF76F" w14:textId="77777777" w:rsidR="009C313D" w:rsidRPr="00804371" w:rsidRDefault="009C313D" w:rsidP="00560A50">
            <w:pPr>
              <w:rPr>
                <w:rFonts w:ascii="Garamond" w:eastAsia="Times New Roman" w:hAnsi="Garamond" w:cs="Calibri"/>
                <w:b/>
                <w:bCs/>
                <w:sz w:val="18"/>
                <w:szCs w:val="18"/>
                <w:lang w:eastAsia="en-GB"/>
              </w:rPr>
            </w:pPr>
          </w:p>
        </w:tc>
      </w:tr>
      <w:tr w:rsidR="009C313D" w:rsidRPr="00804371" w14:paraId="3DEE97DE" w14:textId="77777777" w:rsidTr="00560A50">
        <w:trPr>
          <w:trHeight w:val="238"/>
          <w:jc w:val="center"/>
        </w:trPr>
        <w:tc>
          <w:tcPr>
            <w:tcW w:w="9613"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6913F6C3"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Americas</w:t>
            </w:r>
          </w:p>
        </w:tc>
      </w:tr>
      <w:tr w:rsidR="009C313D" w:rsidRPr="00804371" w14:paraId="58776646"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0544F140"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Bolsa de Comercio de Buenos Aires</w:t>
            </w:r>
          </w:p>
        </w:tc>
        <w:tc>
          <w:tcPr>
            <w:tcW w:w="1170" w:type="dxa"/>
            <w:tcBorders>
              <w:top w:val="nil"/>
              <w:left w:val="single" w:sz="4" w:space="0" w:color="auto"/>
              <w:bottom w:val="nil"/>
              <w:right w:val="single" w:sz="4" w:space="0" w:color="auto"/>
            </w:tcBorders>
            <w:shd w:val="clear" w:color="auto" w:fill="auto"/>
            <w:vAlign w:val="center"/>
            <w:hideMark/>
          </w:tcPr>
          <w:p w14:paraId="40E7D04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95" w:type="dxa"/>
            <w:tcBorders>
              <w:top w:val="nil"/>
              <w:left w:val="nil"/>
              <w:bottom w:val="nil"/>
              <w:right w:val="single" w:sz="4" w:space="0" w:color="auto"/>
            </w:tcBorders>
            <w:shd w:val="clear" w:color="auto" w:fill="auto"/>
            <w:vAlign w:val="center"/>
            <w:hideMark/>
          </w:tcPr>
          <w:p w14:paraId="182F390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19" w:type="dxa"/>
            <w:tcBorders>
              <w:top w:val="nil"/>
              <w:left w:val="nil"/>
              <w:bottom w:val="nil"/>
              <w:right w:val="nil"/>
            </w:tcBorders>
            <w:shd w:val="clear" w:color="auto" w:fill="auto"/>
            <w:vAlign w:val="center"/>
            <w:hideMark/>
          </w:tcPr>
          <w:p w14:paraId="66AC4CB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1193" w:type="dxa"/>
            <w:tcBorders>
              <w:top w:val="nil"/>
              <w:left w:val="single" w:sz="4" w:space="0" w:color="auto"/>
              <w:bottom w:val="nil"/>
              <w:right w:val="single" w:sz="4" w:space="0" w:color="auto"/>
            </w:tcBorders>
            <w:shd w:val="clear" w:color="auto" w:fill="auto"/>
            <w:vAlign w:val="center"/>
            <w:hideMark/>
          </w:tcPr>
          <w:p w14:paraId="7B08BE2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95" w:type="dxa"/>
            <w:tcBorders>
              <w:top w:val="nil"/>
              <w:left w:val="nil"/>
              <w:bottom w:val="nil"/>
              <w:right w:val="nil"/>
            </w:tcBorders>
            <w:shd w:val="clear" w:color="auto" w:fill="auto"/>
            <w:vAlign w:val="center"/>
            <w:hideMark/>
          </w:tcPr>
          <w:p w14:paraId="1973FA0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21" w:type="dxa"/>
            <w:tcBorders>
              <w:top w:val="nil"/>
              <w:left w:val="single" w:sz="4" w:space="0" w:color="auto"/>
              <w:bottom w:val="nil"/>
              <w:right w:val="single" w:sz="4" w:space="0" w:color="auto"/>
            </w:tcBorders>
            <w:shd w:val="clear" w:color="auto" w:fill="auto"/>
            <w:vAlign w:val="center"/>
            <w:hideMark/>
          </w:tcPr>
          <w:p w14:paraId="114B647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35" w:type="dxa"/>
            <w:tcBorders>
              <w:top w:val="nil"/>
              <w:left w:val="nil"/>
              <w:bottom w:val="nil"/>
              <w:right w:val="single" w:sz="4" w:space="0" w:color="auto"/>
            </w:tcBorders>
            <w:shd w:val="clear" w:color="auto" w:fill="auto"/>
            <w:vAlign w:val="center"/>
            <w:hideMark/>
          </w:tcPr>
          <w:p w14:paraId="1459EA1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804371" w14:paraId="61B44B11"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779B826A"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Bolsa de Valores de Colombia</w:t>
            </w:r>
          </w:p>
        </w:tc>
        <w:tc>
          <w:tcPr>
            <w:tcW w:w="1170" w:type="dxa"/>
            <w:tcBorders>
              <w:top w:val="nil"/>
              <w:left w:val="single" w:sz="4" w:space="0" w:color="auto"/>
              <w:bottom w:val="nil"/>
              <w:right w:val="single" w:sz="4" w:space="0" w:color="auto"/>
            </w:tcBorders>
            <w:shd w:val="clear" w:color="auto" w:fill="auto"/>
            <w:vAlign w:val="center"/>
            <w:hideMark/>
          </w:tcPr>
          <w:p w14:paraId="23E7076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w:t>
            </w:r>
          </w:p>
        </w:tc>
        <w:tc>
          <w:tcPr>
            <w:tcW w:w="895" w:type="dxa"/>
            <w:tcBorders>
              <w:top w:val="nil"/>
              <w:left w:val="nil"/>
              <w:bottom w:val="nil"/>
              <w:right w:val="single" w:sz="4" w:space="0" w:color="auto"/>
            </w:tcBorders>
            <w:shd w:val="clear" w:color="auto" w:fill="auto"/>
            <w:vAlign w:val="center"/>
            <w:hideMark/>
          </w:tcPr>
          <w:p w14:paraId="7114E89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19" w:type="dxa"/>
            <w:tcBorders>
              <w:top w:val="nil"/>
              <w:left w:val="nil"/>
              <w:bottom w:val="nil"/>
              <w:right w:val="nil"/>
            </w:tcBorders>
            <w:shd w:val="clear" w:color="auto" w:fill="auto"/>
            <w:vAlign w:val="center"/>
            <w:hideMark/>
          </w:tcPr>
          <w:p w14:paraId="4A2BDCB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w:t>
            </w:r>
          </w:p>
        </w:tc>
        <w:tc>
          <w:tcPr>
            <w:tcW w:w="1193" w:type="dxa"/>
            <w:tcBorders>
              <w:top w:val="nil"/>
              <w:left w:val="single" w:sz="4" w:space="0" w:color="auto"/>
              <w:bottom w:val="nil"/>
              <w:right w:val="single" w:sz="4" w:space="0" w:color="auto"/>
            </w:tcBorders>
            <w:shd w:val="clear" w:color="auto" w:fill="auto"/>
            <w:vAlign w:val="center"/>
            <w:hideMark/>
          </w:tcPr>
          <w:p w14:paraId="0FBE6B9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67,000</w:t>
            </w:r>
          </w:p>
        </w:tc>
        <w:tc>
          <w:tcPr>
            <w:tcW w:w="895" w:type="dxa"/>
            <w:tcBorders>
              <w:top w:val="nil"/>
              <w:left w:val="nil"/>
              <w:bottom w:val="nil"/>
              <w:right w:val="nil"/>
            </w:tcBorders>
            <w:shd w:val="clear" w:color="auto" w:fill="auto"/>
            <w:vAlign w:val="center"/>
            <w:hideMark/>
          </w:tcPr>
          <w:p w14:paraId="17331C7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2,617</w:t>
            </w:r>
          </w:p>
        </w:tc>
        <w:tc>
          <w:tcPr>
            <w:tcW w:w="921" w:type="dxa"/>
            <w:tcBorders>
              <w:top w:val="nil"/>
              <w:left w:val="single" w:sz="4" w:space="0" w:color="auto"/>
              <w:bottom w:val="nil"/>
              <w:right w:val="single" w:sz="4" w:space="0" w:color="auto"/>
            </w:tcBorders>
            <w:shd w:val="clear" w:color="auto" w:fill="auto"/>
            <w:vAlign w:val="center"/>
            <w:hideMark/>
          </w:tcPr>
          <w:p w14:paraId="1ED6A33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14,349</w:t>
            </w:r>
          </w:p>
        </w:tc>
        <w:tc>
          <w:tcPr>
            <w:tcW w:w="835" w:type="dxa"/>
            <w:tcBorders>
              <w:top w:val="nil"/>
              <w:left w:val="nil"/>
              <w:bottom w:val="nil"/>
              <w:right w:val="single" w:sz="4" w:space="0" w:color="auto"/>
            </w:tcBorders>
            <w:shd w:val="clear" w:color="auto" w:fill="auto"/>
            <w:vAlign w:val="center"/>
            <w:hideMark/>
          </w:tcPr>
          <w:p w14:paraId="2B406D7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w:t>
            </w:r>
          </w:p>
        </w:tc>
      </w:tr>
      <w:tr w:rsidR="009C313D" w:rsidRPr="00804371" w14:paraId="7AC9CBBE"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5CB0A70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CME Group</w:t>
            </w:r>
          </w:p>
        </w:tc>
        <w:tc>
          <w:tcPr>
            <w:tcW w:w="1170" w:type="dxa"/>
            <w:tcBorders>
              <w:top w:val="nil"/>
              <w:left w:val="single" w:sz="4" w:space="0" w:color="auto"/>
              <w:bottom w:val="nil"/>
              <w:right w:val="single" w:sz="4" w:space="0" w:color="auto"/>
            </w:tcBorders>
            <w:shd w:val="clear" w:color="auto" w:fill="auto"/>
            <w:vAlign w:val="center"/>
            <w:hideMark/>
          </w:tcPr>
          <w:p w14:paraId="0004F8A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1,608,009</w:t>
            </w:r>
          </w:p>
        </w:tc>
        <w:tc>
          <w:tcPr>
            <w:tcW w:w="895" w:type="dxa"/>
            <w:tcBorders>
              <w:top w:val="nil"/>
              <w:left w:val="nil"/>
              <w:bottom w:val="nil"/>
              <w:right w:val="single" w:sz="4" w:space="0" w:color="auto"/>
            </w:tcBorders>
            <w:shd w:val="clear" w:color="auto" w:fill="auto"/>
            <w:vAlign w:val="center"/>
            <w:hideMark/>
          </w:tcPr>
          <w:p w14:paraId="59C33C1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186,202</w:t>
            </w:r>
          </w:p>
        </w:tc>
        <w:tc>
          <w:tcPr>
            <w:tcW w:w="919" w:type="dxa"/>
            <w:tcBorders>
              <w:top w:val="nil"/>
              <w:left w:val="nil"/>
              <w:bottom w:val="nil"/>
              <w:right w:val="nil"/>
            </w:tcBorders>
            <w:shd w:val="clear" w:color="auto" w:fill="auto"/>
            <w:vAlign w:val="center"/>
            <w:hideMark/>
          </w:tcPr>
          <w:p w14:paraId="31E40A2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805,065</w:t>
            </w:r>
          </w:p>
        </w:tc>
        <w:tc>
          <w:tcPr>
            <w:tcW w:w="1193" w:type="dxa"/>
            <w:tcBorders>
              <w:top w:val="nil"/>
              <w:left w:val="single" w:sz="4" w:space="0" w:color="auto"/>
              <w:bottom w:val="nil"/>
              <w:right w:val="single" w:sz="4" w:space="0" w:color="auto"/>
            </w:tcBorders>
            <w:shd w:val="clear" w:color="auto" w:fill="auto"/>
            <w:vAlign w:val="center"/>
            <w:hideMark/>
          </w:tcPr>
          <w:p w14:paraId="146667C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18,703,784</w:t>
            </w:r>
          </w:p>
        </w:tc>
        <w:tc>
          <w:tcPr>
            <w:tcW w:w="895" w:type="dxa"/>
            <w:tcBorders>
              <w:top w:val="nil"/>
              <w:left w:val="nil"/>
              <w:bottom w:val="nil"/>
              <w:right w:val="nil"/>
            </w:tcBorders>
            <w:shd w:val="clear" w:color="auto" w:fill="auto"/>
            <w:vAlign w:val="center"/>
            <w:hideMark/>
          </w:tcPr>
          <w:p w14:paraId="37A8804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1,853,349</w:t>
            </w:r>
          </w:p>
        </w:tc>
        <w:tc>
          <w:tcPr>
            <w:tcW w:w="921" w:type="dxa"/>
            <w:tcBorders>
              <w:top w:val="nil"/>
              <w:left w:val="single" w:sz="4" w:space="0" w:color="auto"/>
              <w:bottom w:val="nil"/>
              <w:right w:val="single" w:sz="4" w:space="0" w:color="auto"/>
            </w:tcBorders>
            <w:shd w:val="clear" w:color="auto" w:fill="auto"/>
            <w:vAlign w:val="center"/>
            <w:hideMark/>
          </w:tcPr>
          <w:p w14:paraId="564D2F9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1,839,735</w:t>
            </w:r>
          </w:p>
        </w:tc>
        <w:tc>
          <w:tcPr>
            <w:tcW w:w="835" w:type="dxa"/>
            <w:tcBorders>
              <w:top w:val="nil"/>
              <w:left w:val="nil"/>
              <w:bottom w:val="nil"/>
              <w:right w:val="single" w:sz="4" w:space="0" w:color="auto"/>
            </w:tcBorders>
            <w:shd w:val="clear" w:color="auto" w:fill="auto"/>
            <w:vAlign w:val="center"/>
            <w:hideMark/>
          </w:tcPr>
          <w:p w14:paraId="6A27252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4A70BBD4"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2A9A322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ICE Futures US</w:t>
            </w:r>
          </w:p>
        </w:tc>
        <w:tc>
          <w:tcPr>
            <w:tcW w:w="1170" w:type="dxa"/>
            <w:tcBorders>
              <w:top w:val="nil"/>
              <w:left w:val="single" w:sz="4" w:space="0" w:color="auto"/>
              <w:bottom w:val="nil"/>
              <w:right w:val="single" w:sz="4" w:space="0" w:color="auto"/>
            </w:tcBorders>
            <w:shd w:val="clear" w:color="auto" w:fill="auto"/>
            <w:vAlign w:val="center"/>
            <w:hideMark/>
          </w:tcPr>
          <w:p w14:paraId="7883055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822</w:t>
            </w:r>
          </w:p>
        </w:tc>
        <w:tc>
          <w:tcPr>
            <w:tcW w:w="895" w:type="dxa"/>
            <w:tcBorders>
              <w:top w:val="nil"/>
              <w:left w:val="nil"/>
              <w:bottom w:val="nil"/>
              <w:right w:val="single" w:sz="4" w:space="0" w:color="auto"/>
            </w:tcBorders>
            <w:shd w:val="clear" w:color="auto" w:fill="auto"/>
            <w:vAlign w:val="center"/>
            <w:hideMark/>
          </w:tcPr>
          <w:p w14:paraId="5571C30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78</w:t>
            </w:r>
          </w:p>
        </w:tc>
        <w:tc>
          <w:tcPr>
            <w:tcW w:w="919" w:type="dxa"/>
            <w:tcBorders>
              <w:top w:val="nil"/>
              <w:left w:val="nil"/>
              <w:bottom w:val="nil"/>
              <w:right w:val="nil"/>
            </w:tcBorders>
            <w:shd w:val="clear" w:color="auto" w:fill="auto"/>
            <w:vAlign w:val="center"/>
            <w:hideMark/>
          </w:tcPr>
          <w:p w14:paraId="0853183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1,288</w:t>
            </w:r>
          </w:p>
        </w:tc>
        <w:tc>
          <w:tcPr>
            <w:tcW w:w="1193" w:type="dxa"/>
            <w:tcBorders>
              <w:top w:val="nil"/>
              <w:left w:val="single" w:sz="4" w:space="0" w:color="auto"/>
              <w:bottom w:val="nil"/>
              <w:right w:val="single" w:sz="4" w:space="0" w:color="auto"/>
            </w:tcBorders>
            <w:shd w:val="clear" w:color="auto" w:fill="auto"/>
            <w:vAlign w:val="center"/>
            <w:hideMark/>
          </w:tcPr>
          <w:p w14:paraId="76D5C74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530,313</w:t>
            </w:r>
          </w:p>
        </w:tc>
        <w:tc>
          <w:tcPr>
            <w:tcW w:w="895" w:type="dxa"/>
            <w:tcBorders>
              <w:top w:val="nil"/>
              <w:left w:val="nil"/>
              <w:bottom w:val="nil"/>
              <w:right w:val="nil"/>
            </w:tcBorders>
            <w:shd w:val="clear" w:color="auto" w:fill="auto"/>
            <w:vAlign w:val="center"/>
            <w:hideMark/>
          </w:tcPr>
          <w:p w14:paraId="024BF1C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45,367</w:t>
            </w:r>
          </w:p>
        </w:tc>
        <w:tc>
          <w:tcPr>
            <w:tcW w:w="921" w:type="dxa"/>
            <w:tcBorders>
              <w:top w:val="nil"/>
              <w:left w:val="single" w:sz="4" w:space="0" w:color="auto"/>
              <w:bottom w:val="nil"/>
              <w:right w:val="single" w:sz="4" w:space="0" w:color="auto"/>
            </w:tcBorders>
            <w:shd w:val="clear" w:color="auto" w:fill="auto"/>
            <w:vAlign w:val="center"/>
            <w:hideMark/>
          </w:tcPr>
          <w:p w14:paraId="3687FFB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96,575</w:t>
            </w:r>
          </w:p>
        </w:tc>
        <w:tc>
          <w:tcPr>
            <w:tcW w:w="835" w:type="dxa"/>
            <w:tcBorders>
              <w:top w:val="nil"/>
              <w:left w:val="nil"/>
              <w:bottom w:val="nil"/>
              <w:right w:val="single" w:sz="4" w:space="0" w:color="auto"/>
            </w:tcBorders>
            <w:shd w:val="clear" w:color="auto" w:fill="auto"/>
            <w:vAlign w:val="center"/>
            <w:hideMark/>
          </w:tcPr>
          <w:p w14:paraId="1A69085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0A7DF3FB"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61E29AE4"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MexDer</w:t>
            </w:r>
          </w:p>
        </w:tc>
        <w:tc>
          <w:tcPr>
            <w:tcW w:w="1170" w:type="dxa"/>
            <w:tcBorders>
              <w:top w:val="nil"/>
              <w:left w:val="single" w:sz="4" w:space="0" w:color="auto"/>
              <w:bottom w:val="nil"/>
              <w:right w:val="single" w:sz="4" w:space="0" w:color="auto"/>
            </w:tcBorders>
            <w:shd w:val="clear" w:color="auto" w:fill="auto"/>
            <w:vAlign w:val="center"/>
            <w:hideMark/>
          </w:tcPr>
          <w:p w14:paraId="4D5D05B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17,500</w:t>
            </w:r>
          </w:p>
        </w:tc>
        <w:tc>
          <w:tcPr>
            <w:tcW w:w="895" w:type="dxa"/>
            <w:tcBorders>
              <w:top w:val="nil"/>
              <w:left w:val="nil"/>
              <w:bottom w:val="nil"/>
              <w:right w:val="single" w:sz="4" w:space="0" w:color="auto"/>
            </w:tcBorders>
            <w:shd w:val="clear" w:color="auto" w:fill="auto"/>
            <w:vAlign w:val="center"/>
            <w:hideMark/>
          </w:tcPr>
          <w:p w14:paraId="04B195C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166</w:t>
            </w:r>
          </w:p>
        </w:tc>
        <w:tc>
          <w:tcPr>
            <w:tcW w:w="919" w:type="dxa"/>
            <w:tcBorders>
              <w:top w:val="nil"/>
              <w:left w:val="nil"/>
              <w:bottom w:val="nil"/>
              <w:right w:val="nil"/>
            </w:tcBorders>
            <w:shd w:val="clear" w:color="auto" w:fill="auto"/>
            <w:vAlign w:val="center"/>
            <w:hideMark/>
          </w:tcPr>
          <w:p w14:paraId="2BCC9C2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19,795</w:t>
            </w:r>
          </w:p>
        </w:tc>
        <w:tc>
          <w:tcPr>
            <w:tcW w:w="1193" w:type="dxa"/>
            <w:tcBorders>
              <w:top w:val="nil"/>
              <w:left w:val="single" w:sz="4" w:space="0" w:color="auto"/>
              <w:bottom w:val="nil"/>
              <w:right w:val="single" w:sz="4" w:space="0" w:color="auto"/>
            </w:tcBorders>
            <w:shd w:val="clear" w:color="auto" w:fill="auto"/>
            <w:vAlign w:val="center"/>
            <w:hideMark/>
          </w:tcPr>
          <w:p w14:paraId="638F9DB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542,203</w:t>
            </w:r>
          </w:p>
        </w:tc>
        <w:tc>
          <w:tcPr>
            <w:tcW w:w="895" w:type="dxa"/>
            <w:tcBorders>
              <w:top w:val="nil"/>
              <w:left w:val="nil"/>
              <w:bottom w:val="nil"/>
              <w:right w:val="nil"/>
            </w:tcBorders>
            <w:shd w:val="clear" w:color="auto" w:fill="auto"/>
            <w:vAlign w:val="center"/>
            <w:hideMark/>
          </w:tcPr>
          <w:p w14:paraId="17A1967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5,360</w:t>
            </w:r>
          </w:p>
        </w:tc>
        <w:tc>
          <w:tcPr>
            <w:tcW w:w="921" w:type="dxa"/>
            <w:tcBorders>
              <w:top w:val="nil"/>
              <w:left w:val="single" w:sz="4" w:space="0" w:color="auto"/>
              <w:bottom w:val="nil"/>
              <w:right w:val="single" w:sz="4" w:space="0" w:color="auto"/>
            </w:tcBorders>
            <w:shd w:val="clear" w:color="auto" w:fill="auto"/>
            <w:vAlign w:val="center"/>
            <w:hideMark/>
          </w:tcPr>
          <w:p w14:paraId="2D166D8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534,688</w:t>
            </w:r>
          </w:p>
        </w:tc>
        <w:tc>
          <w:tcPr>
            <w:tcW w:w="835" w:type="dxa"/>
            <w:tcBorders>
              <w:top w:val="nil"/>
              <w:left w:val="nil"/>
              <w:bottom w:val="nil"/>
              <w:right w:val="single" w:sz="4" w:space="0" w:color="auto"/>
            </w:tcBorders>
            <w:shd w:val="clear" w:color="auto" w:fill="auto"/>
            <w:vAlign w:val="center"/>
            <w:hideMark/>
          </w:tcPr>
          <w:p w14:paraId="5073EDF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4021A982" w14:textId="77777777" w:rsidTr="00560A50">
        <w:trPr>
          <w:trHeight w:val="238"/>
          <w:jc w:val="center"/>
        </w:trPr>
        <w:tc>
          <w:tcPr>
            <w:tcW w:w="2785" w:type="dxa"/>
            <w:tcBorders>
              <w:top w:val="single" w:sz="4" w:space="0" w:color="auto"/>
              <w:left w:val="single" w:sz="4" w:space="0" w:color="auto"/>
              <w:bottom w:val="single" w:sz="4" w:space="0" w:color="auto"/>
              <w:right w:val="nil"/>
            </w:tcBorders>
            <w:shd w:val="clear" w:color="000000" w:fill="B4C6E7"/>
            <w:vAlign w:val="center"/>
            <w:hideMark/>
          </w:tcPr>
          <w:p w14:paraId="1D059B55"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Total </w:t>
            </w:r>
            <w:r>
              <w:rPr>
                <w:rFonts w:ascii="Garamond" w:eastAsia="Times New Roman" w:hAnsi="Garamond" w:cs="Calibri"/>
                <w:b/>
                <w:bCs/>
                <w:sz w:val="18"/>
                <w:szCs w:val="18"/>
                <w:lang w:eastAsia="en-GB"/>
              </w:rPr>
              <w:t>R</w:t>
            </w:r>
            <w:r w:rsidRPr="00804371">
              <w:rPr>
                <w:rFonts w:ascii="Garamond" w:eastAsia="Times New Roman" w:hAnsi="Garamond" w:cs="Calibri"/>
                <w:b/>
                <w:bCs/>
                <w:sz w:val="18"/>
                <w:szCs w:val="18"/>
                <w:lang w:eastAsia="en-GB"/>
              </w:rPr>
              <w:t>egion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4D9BA"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1,626,332</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4FC1AA35" w14:textId="77777777" w:rsidR="009C313D" w:rsidRPr="00804371" w:rsidRDefault="009C313D" w:rsidP="00560A50">
            <w:pPr>
              <w:jc w:val="right"/>
              <w:rPr>
                <w:rFonts w:ascii="Garamond" w:eastAsia="Times New Roman" w:hAnsi="Garamond" w:cs="Calibri"/>
                <w:b/>
                <w:bCs/>
                <w:sz w:val="18"/>
                <w:szCs w:val="18"/>
                <w:lang w:eastAsia="en-GB"/>
              </w:rPr>
            </w:pPr>
          </w:p>
        </w:tc>
        <w:tc>
          <w:tcPr>
            <w:tcW w:w="919" w:type="dxa"/>
            <w:tcBorders>
              <w:top w:val="single" w:sz="4" w:space="0" w:color="auto"/>
              <w:left w:val="nil"/>
              <w:bottom w:val="single" w:sz="4" w:space="0" w:color="auto"/>
              <w:right w:val="nil"/>
            </w:tcBorders>
            <w:shd w:val="clear" w:color="auto" w:fill="auto"/>
            <w:vAlign w:val="center"/>
            <w:hideMark/>
          </w:tcPr>
          <w:p w14:paraId="53AB93FC" w14:textId="77777777" w:rsidR="009C313D" w:rsidRPr="00804371" w:rsidRDefault="009C313D" w:rsidP="00560A50">
            <w:pPr>
              <w:jc w:val="right"/>
              <w:rPr>
                <w:rFonts w:ascii="Garamond" w:eastAsia="Times New Roman" w:hAnsi="Garamond" w:cs="Calibri"/>
                <w:b/>
                <w:bCs/>
                <w:sz w:val="18"/>
                <w:szCs w:val="18"/>
                <w:lang w:eastAsia="en-GB"/>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9177D"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19,843,300</w:t>
            </w:r>
          </w:p>
        </w:tc>
        <w:tc>
          <w:tcPr>
            <w:tcW w:w="895" w:type="dxa"/>
            <w:tcBorders>
              <w:top w:val="single" w:sz="4" w:space="0" w:color="auto"/>
              <w:left w:val="nil"/>
              <w:bottom w:val="single" w:sz="4" w:space="0" w:color="auto"/>
              <w:right w:val="nil"/>
            </w:tcBorders>
            <w:shd w:val="clear" w:color="auto" w:fill="auto"/>
            <w:vAlign w:val="center"/>
            <w:hideMark/>
          </w:tcPr>
          <w:p w14:paraId="0CE71AA9" w14:textId="77777777" w:rsidR="009C313D" w:rsidRPr="00804371" w:rsidRDefault="009C313D" w:rsidP="00560A50">
            <w:pPr>
              <w:jc w:val="right"/>
              <w:rPr>
                <w:rFonts w:ascii="Garamond" w:eastAsia="Times New Roman" w:hAnsi="Garamond" w:cs="Calibri"/>
                <w:b/>
                <w:bCs/>
                <w:sz w:val="18"/>
                <w:szCs w:val="18"/>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68FCD" w14:textId="77777777" w:rsidR="009C313D" w:rsidRPr="00804371" w:rsidRDefault="009C313D" w:rsidP="00560A50">
            <w:pPr>
              <w:jc w:val="right"/>
              <w:rPr>
                <w:rFonts w:ascii="Garamond" w:eastAsia="Times New Roman" w:hAnsi="Garamond" w:cs="Calibri"/>
                <w:b/>
                <w:bCs/>
                <w:sz w:val="18"/>
                <w:szCs w:val="18"/>
                <w:lang w:eastAsia="en-GB"/>
              </w:rPr>
            </w:pP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45F76D1C" w14:textId="77777777" w:rsidR="009C313D" w:rsidRPr="00804371" w:rsidRDefault="009C313D" w:rsidP="00560A50">
            <w:pPr>
              <w:jc w:val="right"/>
              <w:rPr>
                <w:rFonts w:ascii="Garamond" w:eastAsia="Times New Roman" w:hAnsi="Garamond" w:cs="Calibri"/>
                <w:b/>
                <w:bCs/>
                <w:sz w:val="18"/>
                <w:szCs w:val="18"/>
                <w:lang w:eastAsia="en-GB"/>
              </w:rPr>
            </w:pPr>
          </w:p>
        </w:tc>
      </w:tr>
      <w:tr w:rsidR="009C313D" w:rsidRPr="00804371" w14:paraId="0BD024AC" w14:textId="77777777" w:rsidTr="00560A50">
        <w:trPr>
          <w:trHeight w:val="238"/>
          <w:jc w:val="center"/>
        </w:trPr>
        <w:tc>
          <w:tcPr>
            <w:tcW w:w="9613"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6670AE00"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Asia - Pacific</w:t>
            </w:r>
          </w:p>
        </w:tc>
      </w:tr>
      <w:tr w:rsidR="009C313D" w:rsidRPr="00804371" w14:paraId="6C174AB5" w14:textId="77777777" w:rsidTr="00560A50">
        <w:trPr>
          <w:trHeight w:val="238"/>
          <w:jc w:val="center"/>
        </w:trPr>
        <w:tc>
          <w:tcPr>
            <w:tcW w:w="2785" w:type="dxa"/>
            <w:tcBorders>
              <w:top w:val="nil"/>
              <w:left w:val="single" w:sz="4" w:space="0" w:color="auto"/>
              <w:bottom w:val="nil"/>
              <w:right w:val="single" w:sz="4" w:space="0" w:color="auto"/>
            </w:tcBorders>
            <w:shd w:val="clear" w:color="000000" w:fill="B4C6E7"/>
            <w:vAlign w:val="center"/>
            <w:hideMark/>
          </w:tcPr>
          <w:p w14:paraId="4B1B98D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BSE India Limited</w:t>
            </w:r>
          </w:p>
        </w:tc>
        <w:tc>
          <w:tcPr>
            <w:tcW w:w="1170" w:type="dxa"/>
            <w:tcBorders>
              <w:top w:val="nil"/>
              <w:left w:val="nil"/>
              <w:bottom w:val="nil"/>
              <w:right w:val="single" w:sz="4" w:space="0" w:color="auto"/>
            </w:tcBorders>
            <w:shd w:val="clear" w:color="auto" w:fill="auto"/>
            <w:vAlign w:val="center"/>
            <w:hideMark/>
          </w:tcPr>
          <w:p w14:paraId="7CC2B54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59,987,416</w:t>
            </w:r>
          </w:p>
        </w:tc>
        <w:tc>
          <w:tcPr>
            <w:tcW w:w="895" w:type="dxa"/>
            <w:tcBorders>
              <w:top w:val="nil"/>
              <w:left w:val="nil"/>
              <w:bottom w:val="nil"/>
              <w:right w:val="single" w:sz="4" w:space="0" w:color="auto"/>
            </w:tcBorders>
            <w:shd w:val="clear" w:color="auto" w:fill="auto"/>
            <w:vAlign w:val="center"/>
            <w:hideMark/>
          </w:tcPr>
          <w:p w14:paraId="54B19B2B"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58,782</w:t>
            </w:r>
          </w:p>
        </w:tc>
        <w:tc>
          <w:tcPr>
            <w:tcW w:w="919" w:type="dxa"/>
            <w:tcBorders>
              <w:top w:val="nil"/>
              <w:left w:val="nil"/>
              <w:bottom w:val="nil"/>
              <w:right w:val="single" w:sz="4" w:space="0" w:color="auto"/>
            </w:tcBorders>
            <w:shd w:val="clear" w:color="auto" w:fill="auto"/>
            <w:vAlign w:val="center"/>
            <w:hideMark/>
          </w:tcPr>
          <w:p w14:paraId="3C9A9EF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347,259</w:t>
            </w:r>
          </w:p>
        </w:tc>
        <w:tc>
          <w:tcPr>
            <w:tcW w:w="1193" w:type="dxa"/>
            <w:tcBorders>
              <w:top w:val="nil"/>
              <w:left w:val="nil"/>
              <w:bottom w:val="nil"/>
              <w:right w:val="single" w:sz="4" w:space="0" w:color="auto"/>
            </w:tcBorders>
            <w:shd w:val="clear" w:color="auto" w:fill="auto"/>
            <w:vAlign w:val="center"/>
            <w:hideMark/>
          </w:tcPr>
          <w:p w14:paraId="12D0EAC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37,207,835</w:t>
            </w:r>
          </w:p>
        </w:tc>
        <w:tc>
          <w:tcPr>
            <w:tcW w:w="895" w:type="dxa"/>
            <w:tcBorders>
              <w:top w:val="nil"/>
              <w:left w:val="nil"/>
              <w:bottom w:val="nil"/>
              <w:right w:val="single" w:sz="4" w:space="0" w:color="auto"/>
            </w:tcBorders>
            <w:shd w:val="clear" w:color="auto" w:fill="auto"/>
            <w:vAlign w:val="center"/>
            <w:hideMark/>
          </w:tcPr>
          <w:p w14:paraId="73CBC2F6"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41,191</w:t>
            </w:r>
          </w:p>
        </w:tc>
        <w:tc>
          <w:tcPr>
            <w:tcW w:w="921" w:type="dxa"/>
            <w:tcBorders>
              <w:top w:val="nil"/>
              <w:left w:val="nil"/>
              <w:bottom w:val="nil"/>
              <w:right w:val="single" w:sz="4" w:space="0" w:color="auto"/>
            </w:tcBorders>
            <w:shd w:val="clear" w:color="auto" w:fill="auto"/>
            <w:vAlign w:val="center"/>
            <w:hideMark/>
          </w:tcPr>
          <w:p w14:paraId="6B033C1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1,031,478</w:t>
            </w:r>
          </w:p>
        </w:tc>
        <w:tc>
          <w:tcPr>
            <w:tcW w:w="835" w:type="dxa"/>
            <w:tcBorders>
              <w:top w:val="nil"/>
              <w:left w:val="nil"/>
              <w:bottom w:val="nil"/>
              <w:right w:val="single" w:sz="4" w:space="0" w:color="auto"/>
            </w:tcBorders>
            <w:shd w:val="clear" w:color="auto" w:fill="auto"/>
            <w:vAlign w:val="center"/>
            <w:hideMark/>
          </w:tcPr>
          <w:p w14:paraId="76245D2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w:t>
            </w:r>
          </w:p>
        </w:tc>
      </w:tr>
      <w:tr w:rsidR="009C313D" w:rsidRPr="00804371" w14:paraId="76263D35"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5499E6FB"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Hong Kong Exchanges and Clearing</w:t>
            </w:r>
          </w:p>
        </w:tc>
        <w:tc>
          <w:tcPr>
            <w:tcW w:w="1170" w:type="dxa"/>
            <w:tcBorders>
              <w:top w:val="nil"/>
              <w:left w:val="single" w:sz="4" w:space="0" w:color="auto"/>
              <w:bottom w:val="nil"/>
              <w:right w:val="single" w:sz="4" w:space="0" w:color="auto"/>
            </w:tcBorders>
            <w:shd w:val="clear" w:color="auto" w:fill="auto"/>
            <w:vAlign w:val="center"/>
            <w:hideMark/>
          </w:tcPr>
          <w:p w14:paraId="2F3F144F"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6,291</w:t>
            </w:r>
          </w:p>
        </w:tc>
        <w:tc>
          <w:tcPr>
            <w:tcW w:w="895" w:type="dxa"/>
            <w:tcBorders>
              <w:top w:val="nil"/>
              <w:left w:val="nil"/>
              <w:bottom w:val="nil"/>
              <w:right w:val="single" w:sz="4" w:space="0" w:color="auto"/>
            </w:tcBorders>
            <w:shd w:val="clear" w:color="auto" w:fill="auto"/>
            <w:vAlign w:val="center"/>
            <w:hideMark/>
          </w:tcPr>
          <w:p w14:paraId="21FAEE7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625</w:t>
            </w:r>
          </w:p>
        </w:tc>
        <w:tc>
          <w:tcPr>
            <w:tcW w:w="919" w:type="dxa"/>
            <w:tcBorders>
              <w:top w:val="nil"/>
              <w:left w:val="nil"/>
              <w:bottom w:val="nil"/>
              <w:right w:val="nil"/>
            </w:tcBorders>
            <w:shd w:val="clear" w:color="auto" w:fill="auto"/>
            <w:vAlign w:val="center"/>
            <w:hideMark/>
          </w:tcPr>
          <w:p w14:paraId="329B4E4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10,126</w:t>
            </w:r>
          </w:p>
        </w:tc>
        <w:tc>
          <w:tcPr>
            <w:tcW w:w="1193" w:type="dxa"/>
            <w:tcBorders>
              <w:top w:val="nil"/>
              <w:left w:val="single" w:sz="4" w:space="0" w:color="auto"/>
              <w:bottom w:val="nil"/>
              <w:right w:val="single" w:sz="4" w:space="0" w:color="auto"/>
            </w:tcBorders>
            <w:shd w:val="clear" w:color="auto" w:fill="auto"/>
            <w:vAlign w:val="center"/>
            <w:hideMark/>
          </w:tcPr>
          <w:p w14:paraId="0B16EE16"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252,160</w:t>
            </w:r>
          </w:p>
        </w:tc>
        <w:tc>
          <w:tcPr>
            <w:tcW w:w="895" w:type="dxa"/>
            <w:tcBorders>
              <w:top w:val="nil"/>
              <w:left w:val="nil"/>
              <w:bottom w:val="nil"/>
              <w:right w:val="nil"/>
            </w:tcBorders>
            <w:shd w:val="clear" w:color="auto" w:fill="auto"/>
            <w:vAlign w:val="center"/>
            <w:hideMark/>
          </w:tcPr>
          <w:p w14:paraId="09B871E0"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24,807</w:t>
            </w:r>
          </w:p>
        </w:tc>
        <w:tc>
          <w:tcPr>
            <w:tcW w:w="921" w:type="dxa"/>
            <w:tcBorders>
              <w:top w:val="nil"/>
              <w:left w:val="single" w:sz="4" w:space="0" w:color="auto"/>
              <w:bottom w:val="nil"/>
              <w:right w:val="single" w:sz="4" w:space="0" w:color="auto"/>
            </w:tcBorders>
            <w:shd w:val="clear" w:color="auto" w:fill="auto"/>
            <w:vAlign w:val="center"/>
            <w:hideMark/>
          </w:tcPr>
          <w:p w14:paraId="03F5547A"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38,851</w:t>
            </w:r>
          </w:p>
        </w:tc>
        <w:tc>
          <w:tcPr>
            <w:tcW w:w="835" w:type="dxa"/>
            <w:tcBorders>
              <w:top w:val="nil"/>
              <w:left w:val="nil"/>
              <w:bottom w:val="nil"/>
              <w:right w:val="single" w:sz="4" w:space="0" w:color="auto"/>
            </w:tcBorders>
            <w:shd w:val="clear" w:color="auto" w:fill="auto"/>
            <w:vAlign w:val="center"/>
            <w:hideMark/>
          </w:tcPr>
          <w:p w14:paraId="75B68556"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231A2AC7"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34071BF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Korea Exchange</w:t>
            </w:r>
          </w:p>
        </w:tc>
        <w:tc>
          <w:tcPr>
            <w:tcW w:w="1170" w:type="dxa"/>
            <w:tcBorders>
              <w:top w:val="nil"/>
              <w:left w:val="single" w:sz="4" w:space="0" w:color="auto"/>
              <w:bottom w:val="nil"/>
              <w:right w:val="single" w:sz="4" w:space="0" w:color="auto"/>
            </w:tcBorders>
            <w:shd w:val="clear" w:color="auto" w:fill="auto"/>
            <w:vAlign w:val="center"/>
            <w:hideMark/>
          </w:tcPr>
          <w:p w14:paraId="0FC849AB"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95" w:type="dxa"/>
            <w:tcBorders>
              <w:top w:val="nil"/>
              <w:left w:val="nil"/>
              <w:bottom w:val="nil"/>
              <w:right w:val="single" w:sz="4" w:space="0" w:color="auto"/>
            </w:tcBorders>
            <w:shd w:val="clear" w:color="auto" w:fill="auto"/>
            <w:vAlign w:val="center"/>
            <w:hideMark/>
          </w:tcPr>
          <w:p w14:paraId="11BED96D"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19" w:type="dxa"/>
            <w:tcBorders>
              <w:top w:val="nil"/>
              <w:left w:val="nil"/>
              <w:bottom w:val="nil"/>
              <w:right w:val="nil"/>
            </w:tcBorders>
            <w:shd w:val="clear" w:color="auto" w:fill="auto"/>
            <w:vAlign w:val="center"/>
            <w:hideMark/>
          </w:tcPr>
          <w:p w14:paraId="61A7D5D4"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1193" w:type="dxa"/>
            <w:tcBorders>
              <w:top w:val="nil"/>
              <w:left w:val="single" w:sz="4" w:space="0" w:color="auto"/>
              <w:bottom w:val="nil"/>
              <w:right w:val="single" w:sz="4" w:space="0" w:color="auto"/>
            </w:tcBorders>
            <w:shd w:val="clear" w:color="auto" w:fill="auto"/>
            <w:vAlign w:val="center"/>
            <w:hideMark/>
          </w:tcPr>
          <w:p w14:paraId="7EC31ECC"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6,526,918</w:t>
            </w:r>
          </w:p>
        </w:tc>
        <w:tc>
          <w:tcPr>
            <w:tcW w:w="895" w:type="dxa"/>
            <w:tcBorders>
              <w:top w:val="nil"/>
              <w:left w:val="nil"/>
              <w:bottom w:val="nil"/>
              <w:right w:val="nil"/>
            </w:tcBorders>
            <w:shd w:val="clear" w:color="auto" w:fill="auto"/>
            <w:vAlign w:val="center"/>
            <w:hideMark/>
          </w:tcPr>
          <w:p w14:paraId="1E8170D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65,801</w:t>
            </w:r>
          </w:p>
        </w:tc>
        <w:tc>
          <w:tcPr>
            <w:tcW w:w="921" w:type="dxa"/>
            <w:tcBorders>
              <w:top w:val="nil"/>
              <w:left w:val="single" w:sz="4" w:space="0" w:color="auto"/>
              <w:bottom w:val="nil"/>
              <w:right w:val="single" w:sz="4" w:space="0" w:color="auto"/>
            </w:tcBorders>
            <w:shd w:val="clear" w:color="auto" w:fill="auto"/>
            <w:vAlign w:val="center"/>
            <w:hideMark/>
          </w:tcPr>
          <w:p w14:paraId="66D1F3BD"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698,258</w:t>
            </w:r>
          </w:p>
        </w:tc>
        <w:tc>
          <w:tcPr>
            <w:tcW w:w="835" w:type="dxa"/>
            <w:tcBorders>
              <w:top w:val="nil"/>
              <w:left w:val="nil"/>
              <w:bottom w:val="nil"/>
              <w:right w:val="single" w:sz="4" w:space="0" w:color="auto"/>
            </w:tcBorders>
            <w:shd w:val="clear" w:color="auto" w:fill="auto"/>
            <w:vAlign w:val="center"/>
            <w:hideMark/>
          </w:tcPr>
          <w:p w14:paraId="1F80967E"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804371" w14:paraId="4CA08834"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3DE7E750"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National Stock Exchange of India</w:t>
            </w:r>
          </w:p>
        </w:tc>
        <w:tc>
          <w:tcPr>
            <w:tcW w:w="1170" w:type="dxa"/>
            <w:tcBorders>
              <w:top w:val="nil"/>
              <w:left w:val="single" w:sz="4" w:space="0" w:color="auto"/>
              <w:bottom w:val="nil"/>
              <w:right w:val="single" w:sz="4" w:space="0" w:color="auto"/>
            </w:tcBorders>
            <w:shd w:val="clear" w:color="auto" w:fill="auto"/>
            <w:vAlign w:val="center"/>
            <w:hideMark/>
          </w:tcPr>
          <w:p w14:paraId="04A1CBCC"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49,297,157</w:t>
            </w:r>
          </w:p>
        </w:tc>
        <w:tc>
          <w:tcPr>
            <w:tcW w:w="895" w:type="dxa"/>
            <w:tcBorders>
              <w:top w:val="nil"/>
              <w:left w:val="nil"/>
              <w:bottom w:val="nil"/>
              <w:right w:val="single" w:sz="4" w:space="0" w:color="auto"/>
            </w:tcBorders>
            <w:shd w:val="clear" w:color="auto" w:fill="auto"/>
            <w:vAlign w:val="center"/>
            <w:hideMark/>
          </w:tcPr>
          <w:p w14:paraId="4E13FB8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48,701</w:t>
            </w:r>
          </w:p>
        </w:tc>
        <w:tc>
          <w:tcPr>
            <w:tcW w:w="919" w:type="dxa"/>
            <w:tcBorders>
              <w:top w:val="nil"/>
              <w:left w:val="nil"/>
              <w:bottom w:val="nil"/>
              <w:right w:val="nil"/>
            </w:tcBorders>
            <w:shd w:val="clear" w:color="auto" w:fill="auto"/>
            <w:vAlign w:val="center"/>
            <w:hideMark/>
          </w:tcPr>
          <w:p w14:paraId="6FA4EFCF"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2,278,647</w:t>
            </w:r>
          </w:p>
        </w:tc>
        <w:tc>
          <w:tcPr>
            <w:tcW w:w="1193" w:type="dxa"/>
            <w:tcBorders>
              <w:top w:val="nil"/>
              <w:left w:val="single" w:sz="4" w:space="0" w:color="auto"/>
              <w:bottom w:val="nil"/>
              <w:right w:val="single" w:sz="4" w:space="0" w:color="auto"/>
            </w:tcBorders>
            <w:shd w:val="clear" w:color="auto" w:fill="auto"/>
            <w:vAlign w:val="center"/>
            <w:hideMark/>
          </w:tcPr>
          <w:p w14:paraId="2590D7E1"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56,747,406</w:t>
            </w:r>
          </w:p>
        </w:tc>
        <w:tc>
          <w:tcPr>
            <w:tcW w:w="895" w:type="dxa"/>
            <w:tcBorders>
              <w:top w:val="nil"/>
              <w:left w:val="nil"/>
              <w:bottom w:val="nil"/>
              <w:right w:val="nil"/>
            </w:tcBorders>
            <w:shd w:val="clear" w:color="auto" w:fill="auto"/>
            <w:vAlign w:val="center"/>
            <w:hideMark/>
          </w:tcPr>
          <w:p w14:paraId="40B699FF"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55,994</w:t>
            </w:r>
          </w:p>
        </w:tc>
        <w:tc>
          <w:tcPr>
            <w:tcW w:w="921" w:type="dxa"/>
            <w:tcBorders>
              <w:top w:val="nil"/>
              <w:left w:val="single" w:sz="4" w:space="0" w:color="auto"/>
              <w:bottom w:val="nil"/>
              <w:right w:val="single" w:sz="4" w:space="0" w:color="auto"/>
            </w:tcBorders>
            <w:shd w:val="clear" w:color="auto" w:fill="auto"/>
            <w:vAlign w:val="center"/>
            <w:hideMark/>
          </w:tcPr>
          <w:p w14:paraId="383E9B8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4,072,262</w:t>
            </w:r>
          </w:p>
        </w:tc>
        <w:tc>
          <w:tcPr>
            <w:tcW w:w="835" w:type="dxa"/>
            <w:tcBorders>
              <w:top w:val="nil"/>
              <w:left w:val="nil"/>
              <w:bottom w:val="nil"/>
              <w:right w:val="single" w:sz="4" w:space="0" w:color="auto"/>
            </w:tcBorders>
            <w:shd w:val="clear" w:color="auto" w:fill="auto"/>
            <w:vAlign w:val="center"/>
            <w:hideMark/>
          </w:tcPr>
          <w:p w14:paraId="54E0BC31"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w:t>
            </w:r>
          </w:p>
        </w:tc>
      </w:tr>
      <w:tr w:rsidR="009C313D" w:rsidRPr="00804371" w14:paraId="4830ACC9"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45961C04"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Singapore Exchange</w:t>
            </w:r>
          </w:p>
        </w:tc>
        <w:tc>
          <w:tcPr>
            <w:tcW w:w="1170" w:type="dxa"/>
            <w:tcBorders>
              <w:top w:val="nil"/>
              <w:left w:val="single" w:sz="4" w:space="0" w:color="auto"/>
              <w:bottom w:val="nil"/>
              <w:right w:val="single" w:sz="4" w:space="0" w:color="auto"/>
            </w:tcBorders>
            <w:shd w:val="clear" w:color="auto" w:fill="auto"/>
            <w:vAlign w:val="center"/>
            <w:hideMark/>
          </w:tcPr>
          <w:p w14:paraId="2ABD993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95" w:type="dxa"/>
            <w:tcBorders>
              <w:top w:val="nil"/>
              <w:left w:val="nil"/>
              <w:bottom w:val="nil"/>
              <w:right w:val="single" w:sz="4" w:space="0" w:color="auto"/>
            </w:tcBorders>
            <w:shd w:val="clear" w:color="auto" w:fill="auto"/>
            <w:vAlign w:val="center"/>
            <w:hideMark/>
          </w:tcPr>
          <w:p w14:paraId="46ABFC6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19" w:type="dxa"/>
            <w:tcBorders>
              <w:top w:val="nil"/>
              <w:left w:val="nil"/>
              <w:bottom w:val="nil"/>
              <w:right w:val="nil"/>
            </w:tcBorders>
            <w:shd w:val="clear" w:color="auto" w:fill="auto"/>
            <w:vAlign w:val="center"/>
            <w:hideMark/>
          </w:tcPr>
          <w:p w14:paraId="4EFE7C9E"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1193" w:type="dxa"/>
            <w:tcBorders>
              <w:top w:val="nil"/>
              <w:left w:val="single" w:sz="4" w:space="0" w:color="auto"/>
              <w:bottom w:val="nil"/>
              <w:right w:val="single" w:sz="4" w:space="0" w:color="auto"/>
            </w:tcBorders>
            <w:shd w:val="clear" w:color="auto" w:fill="auto"/>
            <w:vAlign w:val="center"/>
            <w:hideMark/>
          </w:tcPr>
          <w:p w14:paraId="13FF8FA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1,652,824</w:t>
            </w:r>
          </w:p>
        </w:tc>
        <w:tc>
          <w:tcPr>
            <w:tcW w:w="895" w:type="dxa"/>
            <w:tcBorders>
              <w:top w:val="nil"/>
              <w:left w:val="nil"/>
              <w:bottom w:val="nil"/>
              <w:right w:val="nil"/>
            </w:tcBorders>
            <w:shd w:val="clear" w:color="auto" w:fill="auto"/>
            <w:vAlign w:val="center"/>
            <w:hideMark/>
          </w:tcPr>
          <w:p w14:paraId="4E36630A"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1" w:type="dxa"/>
            <w:tcBorders>
              <w:top w:val="nil"/>
              <w:left w:val="single" w:sz="4" w:space="0" w:color="auto"/>
              <w:bottom w:val="nil"/>
              <w:right w:val="single" w:sz="4" w:space="0" w:color="auto"/>
            </w:tcBorders>
            <w:shd w:val="clear" w:color="auto" w:fill="auto"/>
            <w:vAlign w:val="center"/>
            <w:hideMark/>
          </w:tcPr>
          <w:p w14:paraId="1782560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97,711</w:t>
            </w:r>
          </w:p>
        </w:tc>
        <w:tc>
          <w:tcPr>
            <w:tcW w:w="835" w:type="dxa"/>
            <w:tcBorders>
              <w:top w:val="nil"/>
              <w:left w:val="nil"/>
              <w:bottom w:val="nil"/>
              <w:right w:val="single" w:sz="4" w:space="0" w:color="auto"/>
            </w:tcBorders>
            <w:shd w:val="clear" w:color="auto" w:fill="auto"/>
            <w:vAlign w:val="center"/>
            <w:hideMark/>
          </w:tcPr>
          <w:p w14:paraId="7E2ABA0E" w14:textId="77777777" w:rsidR="009C313D" w:rsidRPr="00804371" w:rsidRDefault="009C313D" w:rsidP="00560A50">
            <w:pPr>
              <w:rPr>
                <w:rFonts w:ascii="Garamond" w:eastAsia="Times New Roman" w:hAnsi="Garamond" w:cs="Calibri"/>
                <w:sz w:val="18"/>
                <w:szCs w:val="18"/>
                <w:lang w:eastAsia="en-GB"/>
              </w:rPr>
            </w:pPr>
          </w:p>
        </w:tc>
      </w:tr>
      <w:tr w:rsidR="009C313D" w:rsidRPr="00804371" w14:paraId="06CCC71E"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0E61850C"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TAIFEX</w:t>
            </w:r>
          </w:p>
        </w:tc>
        <w:tc>
          <w:tcPr>
            <w:tcW w:w="1170" w:type="dxa"/>
            <w:tcBorders>
              <w:top w:val="nil"/>
              <w:left w:val="single" w:sz="4" w:space="0" w:color="auto"/>
              <w:bottom w:val="nil"/>
              <w:right w:val="single" w:sz="4" w:space="0" w:color="auto"/>
            </w:tcBorders>
            <w:shd w:val="clear" w:color="auto" w:fill="auto"/>
            <w:vAlign w:val="center"/>
            <w:hideMark/>
          </w:tcPr>
          <w:p w14:paraId="4E39D1A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8,286</w:t>
            </w:r>
          </w:p>
        </w:tc>
        <w:tc>
          <w:tcPr>
            <w:tcW w:w="895" w:type="dxa"/>
            <w:tcBorders>
              <w:top w:val="nil"/>
              <w:left w:val="nil"/>
              <w:bottom w:val="nil"/>
              <w:right w:val="single" w:sz="4" w:space="0" w:color="auto"/>
            </w:tcBorders>
            <w:shd w:val="clear" w:color="auto" w:fill="auto"/>
            <w:vAlign w:val="center"/>
            <w:hideMark/>
          </w:tcPr>
          <w:p w14:paraId="1B2D11FE"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235</w:t>
            </w:r>
          </w:p>
        </w:tc>
        <w:tc>
          <w:tcPr>
            <w:tcW w:w="919" w:type="dxa"/>
            <w:tcBorders>
              <w:top w:val="nil"/>
              <w:left w:val="nil"/>
              <w:bottom w:val="nil"/>
              <w:right w:val="nil"/>
            </w:tcBorders>
            <w:shd w:val="clear" w:color="auto" w:fill="auto"/>
            <w:vAlign w:val="center"/>
            <w:hideMark/>
          </w:tcPr>
          <w:p w14:paraId="2B180FB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7,791</w:t>
            </w:r>
          </w:p>
        </w:tc>
        <w:tc>
          <w:tcPr>
            <w:tcW w:w="1193" w:type="dxa"/>
            <w:tcBorders>
              <w:top w:val="nil"/>
              <w:left w:val="single" w:sz="4" w:space="0" w:color="auto"/>
              <w:bottom w:val="nil"/>
              <w:right w:val="single" w:sz="4" w:space="0" w:color="auto"/>
            </w:tcBorders>
            <w:shd w:val="clear" w:color="auto" w:fill="auto"/>
            <w:vAlign w:val="center"/>
            <w:hideMark/>
          </w:tcPr>
          <w:p w14:paraId="551EF20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66,794</w:t>
            </w:r>
          </w:p>
        </w:tc>
        <w:tc>
          <w:tcPr>
            <w:tcW w:w="895" w:type="dxa"/>
            <w:tcBorders>
              <w:top w:val="nil"/>
              <w:left w:val="nil"/>
              <w:bottom w:val="nil"/>
              <w:right w:val="nil"/>
            </w:tcBorders>
            <w:shd w:val="clear" w:color="auto" w:fill="auto"/>
            <w:vAlign w:val="center"/>
            <w:hideMark/>
          </w:tcPr>
          <w:p w14:paraId="1F37287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1,871</w:t>
            </w:r>
          </w:p>
        </w:tc>
        <w:tc>
          <w:tcPr>
            <w:tcW w:w="921" w:type="dxa"/>
            <w:tcBorders>
              <w:top w:val="nil"/>
              <w:left w:val="single" w:sz="4" w:space="0" w:color="auto"/>
              <w:bottom w:val="nil"/>
              <w:right w:val="single" w:sz="4" w:space="0" w:color="auto"/>
            </w:tcBorders>
            <w:shd w:val="clear" w:color="auto" w:fill="auto"/>
            <w:vAlign w:val="center"/>
            <w:hideMark/>
          </w:tcPr>
          <w:p w14:paraId="2218531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11,791</w:t>
            </w:r>
          </w:p>
        </w:tc>
        <w:tc>
          <w:tcPr>
            <w:tcW w:w="835" w:type="dxa"/>
            <w:tcBorders>
              <w:top w:val="nil"/>
              <w:left w:val="nil"/>
              <w:bottom w:val="nil"/>
              <w:right w:val="single" w:sz="4" w:space="0" w:color="auto"/>
            </w:tcBorders>
            <w:shd w:val="clear" w:color="auto" w:fill="auto"/>
            <w:vAlign w:val="center"/>
            <w:hideMark/>
          </w:tcPr>
          <w:p w14:paraId="1A388ED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253E763F"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78FF8AC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Thailand Futures Exchange</w:t>
            </w:r>
          </w:p>
        </w:tc>
        <w:tc>
          <w:tcPr>
            <w:tcW w:w="1170" w:type="dxa"/>
            <w:tcBorders>
              <w:top w:val="nil"/>
              <w:left w:val="single" w:sz="4" w:space="0" w:color="auto"/>
              <w:bottom w:val="nil"/>
              <w:right w:val="single" w:sz="4" w:space="0" w:color="auto"/>
            </w:tcBorders>
            <w:shd w:val="clear" w:color="auto" w:fill="auto"/>
            <w:vAlign w:val="center"/>
            <w:hideMark/>
          </w:tcPr>
          <w:p w14:paraId="7E7C266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95" w:type="dxa"/>
            <w:tcBorders>
              <w:top w:val="nil"/>
              <w:left w:val="nil"/>
              <w:bottom w:val="nil"/>
              <w:right w:val="single" w:sz="4" w:space="0" w:color="auto"/>
            </w:tcBorders>
            <w:shd w:val="clear" w:color="auto" w:fill="auto"/>
            <w:vAlign w:val="center"/>
            <w:hideMark/>
          </w:tcPr>
          <w:p w14:paraId="7BD9E7C0"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19" w:type="dxa"/>
            <w:tcBorders>
              <w:top w:val="nil"/>
              <w:left w:val="nil"/>
              <w:bottom w:val="nil"/>
              <w:right w:val="nil"/>
            </w:tcBorders>
            <w:shd w:val="clear" w:color="auto" w:fill="auto"/>
            <w:vAlign w:val="center"/>
            <w:hideMark/>
          </w:tcPr>
          <w:p w14:paraId="719CA2B7"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1193" w:type="dxa"/>
            <w:tcBorders>
              <w:top w:val="nil"/>
              <w:left w:val="single" w:sz="4" w:space="0" w:color="auto"/>
              <w:bottom w:val="nil"/>
              <w:right w:val="single" w:sz="4" w:space="0" w:color="auto"/>
            </w:tcBorders>
            <w:shd w:val="clear" w:color="auto" w:fill="auto"/>
            <w:vAlign w:val="center"/>
            <w:hideMark/>
          </w:tcPr>
          <w:p w14:paraId="211B2AF6"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71,507</w:t>
            </w:r>
          </w:p>
        </w:tc>
        <w:tc>
          <w:tcPr>
            <w:tcW w:w="895" w:type="dxa"/>
            <w:tcBorders>
              <w:top w:val="nil"/>
              <w:left w:val="nil"/>
              <w:bottom w:val="nil"/>
              <w:right w:val="nil"/>
            </w:tcBorders>
            <w:shd w:val="clear" w:color="auto" w:fill="auto"/>
            <w:vAlign w:val="center"/>
            <w:hideMark/>
          </w:tcPr>
          <w:p w14:paraId="2A4BE92C"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1" w:type="dxa"/>
            <w:tcBorders>
              <w:top w:val="nil"/>
              <w:left w:val="single" w:sz="4" w:space="0" w:color="auto"/>
              <w:bottom w:val="nil"/>
              <w:right w:val="single" w:sz="4" w:space="0" w:color="auto"/>
            </w:tcBorders>
            <w:shd w:val="clear" w:color="auto" w:fill="auto"/>
            <w:vAlign w:val="center"/>
            <w:hideMark/>
          </w:tcPr>
          <w:p w14:paraId="3D3D139A"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21,335</w:t>
            </w:r>
          </w:p>
        </w:tc>
        <w:tc>
          <w:tcPr>
            <w:tcW w:w="835" w:type="dxa"/>
            <w:tcBorders>
              <w:top w:val="nil"/>
              <w:left w:val="nil"/>
              <w:bottom w:val="nil"/>
              <w:right w:val="single" w:sz="4" w:space="0" w:color="auto"/>
            </w:tcBorders>
            <w:shd w:val="clear" w:color="auto" w:fill="auto"/>
            <w:vAlign w:val="center"/>
            <w:hideMark/>
          </w:tcPr>
          <w:p w14:paraId="6B25D3E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804371" w14:paraId="18CEDBAC" w14:textId="77777777" w:rsidTr="00560A50">
        <w:trPr>
          <w:trHeight w:val="238"/>
          <w:jc w:val="center"/>
        </w:trPr>
        <w:tc>
          <w:tcPr>
            <w:tcW w:w="2785" w:type="dxa"/>
            <w:tcBorders>
              <w:top w:val="single" w:sz="4" w:space="0" w:color="auto"/>
              <w:left w:val="single" w:sz="4" w:space="0" w:color="auto"/>
              <w:bottom w:val="single" w:sz="4" w:space="0" w:color="auto"/>
              <w:right w:val="nil"/>
            </w:tcBorders>
            <w:shd w:val="clear" w:color="000000" w:fill="B4C6E7"/>
            <w:vAlign w:val="center"/>
            <w:hideMark/>
          </w:tcPr>
          <w:p w14:paraId="684B0D26"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Total </w:t>
            </w:r>
            <w:r>
              <w:rPr>
                <w:rFonts w:ascii="Garamond" w:eastAsia="Times New Roman" w:hAnsi="Garamond" w:cs="Calibri"/>
                <w:b/>
                <w:bCs/>
                <w:sz w:val="18"/>
                <w:szCs w:val="18"/>
                <w:lang w:eastAsia="en-GB"/>
              </w:rPr>
              <w:t>R</w:t>
            </w:r>
            <w:r w:rsidRPr="00804371">
              <w:rPr>
                <w:rFonts w:ascii="Garamond" w:eastAsia="Times New Roman" w:hAnsi="Garamond" w:cs="Calibri"/>
                <w:b/>
                <w:bCs/>
                <w:sz w:val="18"/>
                <w:szCs w:val="18"/>
                <w:lang w:eastAsia="en-GB"/>
              </w:rPr>
              <w:t>egion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68D6"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109,299,150</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3576A126" w14:textId="77777777" w:rsidR="009C313D" w:rsidRPr="00804371" w:rsidRDefault="009C313D" w:rsidP="00560A50">
            <w:pPr>
              <w:rPr>
                <w:rFonts w:ascii="Garamond" w:eastAsia="Times New Roman" w:hAnsi="Garamond" w:cs="Calibri"/>
                <w:b/>
                <w:bCs/>
                <w:sz w:val="18"/>
                <w:szCs w:val="18"/>
                <w:lang w:eastAsia="en-GB"/>
              </w:rPr>
            </w:pPr>
          </w:p>
        </w:tc>
        <w:tc>
          <w:tcPr>
            <w:tcW w:w="919" w:type="dxa"/>
            <w:tcBorders>
              <w:top w:val="single" w:sz="4" w:space="0" w:color="auto"/>
              <w:left w:val="nil"/>
              <w:bottom w:val="single" w:sz="4" w:space="0" w:color="auto"/>
              <w:right w:val="nil"/>
            </w:tcBorders>
            <w:shd w:val="clear" w:color="auto" w:fill="auto"/>
            <w:vAlign w:val="center"/>
            <w:hideMark/>
          </w:tcPr>
          <w:p w14:paraId="23110C9E" w14:textId="77777777" w:rsidR="009C313D" w:rsidRPr="00804371" w:rsidRDefault="009C313D" w:rsidP="00560A50">
            <w:pPr>
              <w:rPr>
                <w:rFonts w:ascii="Garamond" w:eastAsia="Times New Roman" w:hAnsi="Garamond" w:cs="Calibri"/>
                <w:b/>
                <w:bCs/>
                <w:sz w:val="18"/>
                <w:szCs w:val="18"/>
                <w:lang w:eastAsia="en-GB"/>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CCC2"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102,525,444</w:t>
            </w:r>
          </w:p>
        </w:tc>
        <w:tc>
          <w:tcPr>
            <w:tcW w:w="895" w:type="dxa"/>
            <w:tcBorders>
              <w:top w:val="single" w:sz="4" w:space="0" w:color="auto"/>
              <w:left w:val="nil"/>
              <w:bottom w:val="single" w:sz="4" w:space="0" w:color="auto"/>
              <w:right w:val="nil"/>
            </w:tcBorders>
            <w:shd w:val="clear" w:color="auto" w:fill="auto"/>
            <w:vAlign w:val="center"/>
            <w:hideMark/>
          </w:tcPr>
          <w:p w14:paraId="724513A1" w14:textId="77777777" w:rsidR="009C313D" w:rsidRPr="00804371" w:rsidRDefault="009C313D" w:rsidP="00560A50">
            <w:pPr>
              <w:rPr>
                <w:rFonts w:ascii="Garamond" w:eastAsia="Times New Roman" w:hAnsi="Garamond" w:cs="Calibri"/>
                <w:b/>
                <w:bCs/>
                <w:sz w:val="18"/>
                <w:szCs w:val="18"/>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EE991" w14:textId="77777777" w:rsidR="009C313D" w:rsidRPr="00804371" w:rsidRDefault="009C313D" w:rsidP="00560A50">
            <w:pPr>
              <w:rPr>
                <w:rFonts w:ascii="Garamond" w:eastAsia="Times New Roman" w:hAnsi="Garamond" w:cs="Calibri"/>
                <w:b/>
                <w:bCs/>
                <w:sz w:val="18"/>
                <w:szCs w:val="18"/>
                <w:lang w:eastAsia="en-GB"/>
              </w:rPr>
            </w:pP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5A235709" w14:textId="77777777" w:rsidR="009C313D" w:rsidRPr="00804371" w:rsidRDefault="009C313D" w:rsidP="00560A50">
            <w:pPr>
              <w:rPr>
                <w:rFonts w:ascii="Garamond" w:eastAsia="Times New Roman" w:hAnsi="Garamond" w:cs="Calibri"/>
                <w:b/>
                <w:bCs/>
                <w:sz w:val="18"/>
                <w:szCs w:val="18"/>
                <w:lang w:eastAsia="en-GB"/>
              </w:rPr>
            </w:pPr>
          </w:p>
        </w:tc>
      </w:tr>
      <w:tr w:rsidR="009C313D" w:rsidRPr="00804371" w14:paraId="490BEB11" w14:textId="77777777" w:rsidTr="00560A50">
        <w:trPr>
          <w:trHeight w:val="238"/>
          <w:jc w:val="center"/>
        </w:trPr>
        <w:tc>
          <w:tcPr>
            <w:tcW w:w="9613"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52CE226F"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Europe - Africa - Middle East</w:t>
            </w:r>
          </w:p>
        </w:tc>
      </w:tr>
      <w:tr w:rsidR="009C313D" w:rsidRPr="00804371" w14:paraId="21E8AFD3" w14:textId="77777777" w:rsidTr="00560A50">
        <w:trPr>
          <w:trHeight w:val="238"/>
          <w:jc w:val="center"/>
        </w:trPr>
        <w:tc>
          <w:tcPr>
            <w:tcW w:w="2785" w:type="dxa"/>
            <w:tcBorders>
              <w:top w:val="nil"/>
              <w:left w:val="single" w:sz="4" w:space="0" w:color="auto"/>
              <w:bottom w:val="nil"/>
              <w:right w:val="single" w:sz="4" w:space="0" w:color="auto"/>
            </w:tcBorders>
            <w:shd w:val="clear" w:color="000000" w:fill="B4C6E7"/>
            <w:vAlign w:val="center"/>
            <w:hideMark/>
          </w:tcPr>
          <w:p w14:paraId="6945D6D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Borsa Istanbul</w:t>
            </w:r>
          </w:p>
        </w:tc>
        <w:tc>
          <w:tcPr>
            <w:tcW w:w="1170" w:type="dxa"/>
            <w:tcBorders>
              <w:top w:val="nil"/>
              <w:left w:val="nil"/>
              <w:bottom w:val="nil"/>
              <w:right w:val="single" w:sz="4" w:space="0" w:color="auto"/>
            </w:tcBorders>
            <w:shd w:val="clear" w:color="auto" w:fill="auto"/>
            <w:vAlign w:val="center"/>
            <w:hideMark/>
          </w:tcPr>
          <w:p w14:paraId="37501D5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413,150 </w:t>
            </w:r>
          </w:p>
        </w:tc>
        <w:tc>
          <w:tcPr>
            <w:tcW w:w="895" w:type="dxa"/>
            <w:tcBorders>
              <w:top w:val="nil"/>
              <w:left w:val="nil"/>
              <w:bottom w:val="nil"/>
              <w:right w:val="single" w:sz="4" w:space="0" w:color="auto"/>
            </w:tcBorders>
            <w:shd w:val="clear" w:color="auto" w:fill="auto"/>
            <w:vAlign w:val="center"/>
            <w:hideMark/>
          </w:tcPr>
          <w:p w14:paraId="1782A2FF"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321 </w:t>
            </w:r>
          </w:p>
        </w:tc>
        <w:tc>
          <w:tcPr>
            <w:tcW w:w="919" w:type="dxa"/>
            <w:tcBorders>
              <w:top w:val="nil"/>
              <w:left w:val="nil"/>
              <w:bottom w:val="nil"/>
              <w:right w:val="single" w:sz="4" w:space="0" w:color="auto"/>
            </w:tcBorders>
            <w:shd w:val="clear" w:color="auto" w:fill="auto"/>
            <w:vAlign w:val="center"/>
            <w:hideMark/>
          </w:tcPr>
          <w:p w14:paraId="09B3C4F1"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299,798 </w:t>
            </w:r>
          </w:p>
        </w:tc>
        <w:tc>
          <w:tcPr>
            <w:tcW w:w="1193" w:type="dxa"/>
            <w:tcBorders>
              <w:top w:val="nil"/>
              <w:left w:val="nil"/>
              <w:bottom w:val="nil"/>
              <w:right w:val="single" w:sz="4" w:space="0" w:color="auto"/>
            </w:tcBorders>
            <w:shd w:val="clear" w:color="auto" w:fill="auto"/>
            <w:vAlign w:val="center"/>
            <w:hideMark/>
          </w:tcPr>
          <w:p w14:paraId="5096FCC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9,215,612 </w:t>
            </w:r>
          </w:p>
        </w:tc>
        <w:tc>
          <w:tcPr>
            <w:tcW w:w="895" w:type="dxa"/>
            <w:tcBorders>
              <w:top w:val="nil"/>
              <w:left w:val="nil"/>
              <w:bottom w:val="nil"/>
              <w:right w:val="single" w:sz="4" w:space="0" w:color="auto"/>
            </w:tcBorders>
            <w:shd w:val="clear" w:color="auto" w:fill="auto"/>
            <w:vAlign w:val="center"/>
            <w:hideMark/>
          </w:tcPr>
          <w:p w14:paraId="4B6C7D71"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8,260 </w:t>
            </w:r>
          </w:p>
        </w:tc>
        <w:tc>
          <w:tcPr>
            <w:tcW w:w="921" w:type="dxa"/>
            <w:tcBorders>
              <w:top w:val="nil"/>
              <w:left w:val="nil"/>
              <w:bottom w:val="nil"/>
              <w:right w:val="single" w:sz="4" w:space="0" w:color="auto"/>
            </w:tcBorders>
            <w:shd w:val="clear" w:color="auto" w:fill="auto"/>
            <w:vAlign w:val="center"/>
            <w:hideMark/>
          </w:tcPr>
          <w:p w14:paraId="1C152A66"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442,151 </w:t>
            </w:r>
          </w:p>
        </w:tc>
        <w:tc>
          <w:tcPr>
            <w:tcW w:w="835" w:type="dxa"/>
            <w:tcBorders>
              <w:top w:val="nil"/>
              <w:left w:val="nil"/>
              <w:bottom w:val="nil"/>
              <w:right w:val="single" w:sz="4" w:space="0" w:color="auto"/>
            </w:tcBorders>
            <w:shd w:val="clear" w:color="auto" w:fill="auto"/>
            <w:vAlign w:val="center"/>
            <w:hideMark/>
          </w:tcPr>
          <w:p w14:paraId="7308566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18</w:t>
            </w:r>
          </w:p>
        </w:tc>
      </w:tr>
      <w:tr w:rsidR="009C313D" w:rsidRPr="00804371" w14:paraId="2878D760" w14:textId="77777777" w:rsidTr="00560A50">
        <w:trPr>
          <w:trHeight w:val="238"/>
          <w:jc w:val="center"/>
        </w:trPr>
        <w:tc>
          <w:tcPr>
            <w:tcW w:w="2785" w:type="dxa"/>
            <w:tcBorders>
              <w:top w:val="nil"/>
              <w:left w:val="single" w:sz="4" w:space="0" w:color="auto"/>
              <w:bottom w:val="nil"/>
              <w:right w:val="single" w:sz="4" w:space="0" w:color="auto"/>
            </w:tcBorders>
            <w:shd w:val="clear" w:color="000000" w:fill="B4C6E7"/>
            <w:vAlign w:val="center"/>
            <w:hideMark/>
          </w:tcPr>
          <w:p w14:paraId="76AE00D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Budapest Stock Exchange</w:t>
            </w:r>
          </w:p>
        </w:tc>
        <w:tc>
          <w:tcPr>
            <w:tcW w:w="1170" w:type="dxa"/>
            <w:tcBorders>
              <w:top w:val="nil"/>
              <w:left w:val="nil"/>
              <w:bottom w:val="nil"/>
              <w:right w:val="single" w:sz="4" w:space="0" w:color="auto"/>
            </w:tcBorders>
            <w:shd w:val="clear" w:color="auto" w:fill="auto"/>
            <w:vAlign w:val="center"/>
            <w:hideMark/>
          </w:tcPr>
          <w:p w14:paraId="0C6384D0"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300 </w:t>
            </w:r>
          </w:p>
        </w:tc>
        <w:tc>
          <w:tcPr>
            <w:tcW w:w="895" w:type="dxa"/>
            <w:tcBorders>
              <w:top w:val="nil"/>
              <w:left w:val="nil"/>
              <w:bottom w:val="nil"/>
              <w:right w:val="single" w:sz="4" w:space="0" w:color="auto"/>
            </w:tcBorders>
            <w:shd w:val="clear" w:color="auto" w:fill="auto"/>
            <w:vAlign w:val="center"/>
            <w:hideMark/>
          </w:tcPr>
          <w:p w14:paraId="60EADC54"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0 </w:t>
            </w:r>
          </w:p>
        </w:tc>
        <w:tc>
          <w:tcPr>
            <w:tcW w:w="919" w:type="dxa"/>
            <w:tcBorders>
              <w:top w:val="nil"/>
              <w:left w:val="nil"/>
              <w:bottom w:val="nil"/>
              <w:right w:val="single" w:sz="4" w:space="0" w:color="auto"/>
            </w:tcBorders>
            <w:shd w:val="clear" w:color="auto" w:fill="auto"/>
            <w:vAlign w:val="center"/>
            <w:hideMark/>
          </w:tcPr>
          <w:p w14:paraId="2D13684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14,300 </w:t>
            </w:r>
          </w:p>
        </w:tc>
        <w:tc>
          <w:tcPr>
            <w:tcW w:w="1193" w:type="dxa"/>
            <w:tcBorders>
              <w:top w:val="nil"/>
              <w:left w:val="nil"/>
              <w:bottom w:val="nil"/>
              <w:right w:val="single" w:sz="4" w:space="0" w:color="auto"/>
            </w:tcBorders>
            <w:shd w:val="clear" w:color="auto" w:fill="auto"/>
            <w:vAlign w:val="center"/>
            <w:hideMark/>
          </w:tcPr>
          <w:p w14:paraId="5C93EC2B"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476,082 </w:t>
            </w:r>
          </w:p>
        </w:tc>
        <w:tc>
          <w:tcPr>
            <w:tcW w:w="895" w:type="dxa"/>
            <w:tcBorders>
              <w:top w:val="nil"/>
              <w:left w:val="nil"/>
              <w:bottom w:val="nil"/>
              <w:right w:val="single" w:sz="4" w:space="0" w:color="auto"/>
            </w:tcBorders>
            <w:shd w:val="clear" w:color="auto" w:fill="auto"/>
            <w:vAlign w:val="center"/>
            <w:hideMark/>
          </w:tcPr>
          <w:p w14:paraId="31D803F1"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532 </w:t>
            </w:r>
          </w:p>
        </w:tc>
        <w:tc>
          <w:tcPr>
            <w:tcW w:w="921" w:type="dxa"/>
            <w:tcBorders>
              <w:top w:val="nil"/>
              <w:left w:val="nil"/>
              <w:bottom w:val="nil"/>
              <w:right w:val="single" w:sz="4" w:space="0" w:color="auto"/>
            </w:tcBorders>
            <w:shd w:val="clear" w:color="auto" w:fill="auto"/>
            <w:vAlign w:val="center"/>
            <w:hideMark/>
          </w:tcPr>
          <w:p w14:paraId="471BF19E"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813,951 </w:t>
            </w:r>
          </w:p>
        </w:tc>
        <w:tc>
          <w:tcPr>
            <w:tcW w:w="835" w:type="dxa"/>
            <w:tcBorders>
              <w:top w:val="nil"/>
              <w:left w:val="nil"/>
              <w:bottom w:val="nil"/>
              <w:right w:val="single" w:sz="4" w:space="0" w:color="auto"/>
            </w:tcBorders>
            <w:shd w:val="clear" w:color="auto" w:fill="auto"/>
            <w:vAlign w:val="center"/>
            <w:hideMark/>
          </w:tcPr>
          <w:p w14:paraId="161115A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804371" w14:paraId="16288404"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3EEB55B1"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Dubai Gold &amp; Commodities Exchange</w:t>
            </w:r>
          </w:p>
        </w:tc>
        <w:tc>
          <w:tcPr>
            <w:tcW w:w="1170" w:type="dxa"/>
            <w:tcBorders>
              <w:top w:val="nil"/>
              <w:left w:val="single" w:sz="4" w:space="0" w:color="auto"/>
              <w:bottom w:val="nil"/>
              <w:right w:val="single" w:sz="4" w:space="0" w:color="auto"/>
            </w:tcBorders>
            <w:shd w:val="clear" w:color="auto" w:fill="auto"/>
            <w:vAlign w:val="center"/>
            <w:hideMark/>
          </w:tcPr>
          <w:p w14:paraId="65433CA4"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19,202 </w:t>
            </w:r>
          </w:p>
        </w:tc>
        <w:tc>
          <w:tcPr>
            <w:tcW w:w="895" w:type="dxa"/>
            <w:tcBorders>
              <w:top w:val="nil"/>
              <w:left w:val="nil"/>
              <w:bottom w:val="nil"/>
              <w:right w:val="single" w:sz="4" w:space="0" w:color="auto"/>
            </w:tcBorders>
            <w:shd w:val="clear" w:color="auto" w:fill="auto"/>
            <w:vAlign w:val="center"/>
            <w:hideMark/>
          </w:tcPr>
          <w:p w14:paraId="5F7A5B8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1 </w:t>
            </w:r>
          </w:p>
        </w:tc>
        <w:tc>
          <w:tcPr>
            <w:tcW w:w="919" w:type="dxa"/>
            <w:tcBorders>
              <w:top w:val="nil"/>
              <w:left w:val="nil"/>
              <w:bottom w:val="nil"/>
              <w:right w:val="nil"/>
            </w:tcBorders>
            <w:shd w:val="clear" w:color="auto" w:fill="auto"/>
            <w:vAlign w:val="center"/>
            <w:hideMark/>
          </w:tcPr>
          <w:p w14:paraId="741574B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3,097 </w:t>
            </w:r>
          </w:p>
        </w:tc>
        <w:tc>
          <w:tcPr>
            <w:tcW w:w="1193" w:type="dxa"/>
            <w:tcBorders>
              <w:top w:val="nil"/>
              <w:left w:val="single" w:sz="4" w:space="0" w:color="auto"/>
              <w:bottom w:val="nil"/>
              <w:right w:val="single" w:sz="4" w:space="0" w:color="auto"/>
            </w:tcBorders>
            <w:shd w:val="clear" w:color="auto" w:fill="auto"/>
            <w:vAlign w:val="center"/>
            <w:hideMark/>
          </w:tcPr>
          <w:p w14:paraId="762AD52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1,772,727 </w:t>
            </w:r>
          </w:p>
        </w:tc>
        <w:tc>
          <w:tcPr>
            <w:tcW w:w="895" w:type="dxa"/>
            <w:tcBorders>
              <w:top w:val="nil"/>
              <w:left w:val="nil"/>
              <w:bottom w:val="nil"/>
              <w:right w:val="nil"/>
            </w:tcBorders>
            <w:shd w:val="clear" w:color="auto" w:fill="auto"/>
            <w:vAlign w:val="center"/>
            <w:hideMark/>
          </w:tcPr>
          <w:p w14:paraId="643F7EF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10,188 </w:t>
            </w:r>
          </w:p>
        </w:tc>
        <w:tc>
          <w:tcPr>
            <w:tcW w:w="921" w:type="dxa"/>
            <w:tcBorders>
              <w:top w:val="nil"/>
              <w:left w:val="single" w:sz="4" w:space="0" w:color="auto"/>
              <w:bottom w:val="nil"/>
              <w:right w:val="single" w:sz="4" w:space="0" w:color="auto"/>
            </w:tcBorders>
            <w:shd w:val="clear" w:color="auto" w:fill="auto"/>
            <w:vAlign w:val="center"/>
            <w:hideMark/>
          </w:tcPr>
          <w:p w14:paraId="72F6050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288,440 </w:t>
            </w:r>
          </w:p>
        </w:tc>
        <w:tc>
          <w:tcPr>
            <w:tcW w:w="835" w:type="dxa"/>
            <w:tcBorders>
              <w:top w:val="nil"/>
              <w:left w:val="nil"/>
              <w:bottom w:val="nil"/>
              <w:right w:val="single" w:sz="4" w:space="0" w:color="auto"/>
            </w:tcBorders>
            <w:shd w:val="clear" w:color="auto" w:fill="auto"/>
            <w:vAlign w:val="center"/>
            <w:hideMark/>
          </w:tcPr>
          <w:p w14:paraId="632B7B5D"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22 </w:t>
            </w:r>
          </w:p>
        </w:tc>
      </w:tr>
      <w:tr w:rsidR="009C313D" w:rsidRPr="00804371" w14:paraId="18E1A311"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2B5D5024"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Johannesburg Stock Exchange</w:t>
            </w:r>
          </w:p>
        </w:tc>
        <w:tc>
          <w:tcPr>
            <w:tcW w:w="1170" w:type="dxa"/>
            <w:tcBorders>
              <w:top w:val="nil"/>
              <w:left w:val="single" w:sz="4" w:space="0" w:color="auto"/>
              <w:bottom w:val="nil"/>
              <w:right w:val="single" w:sz="4" w:space="0" w:color="auto"/>
            </w:tcBorders>
            <w:shd w:val="clear" w:color="auto" w:fill="auto"/>
            <w:vAlign w:val="center"/>
            <w:hideMark/>
          </w:tcPr>
          <w:p w14:paraId="35D841E1"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5,070,583 </w:t>
            </w:r>
          </w:p>
        </w:tc>
        <w:tc>
          <w:tcPr>
            <w:tcW w:w="895" w:type="dxa"/>
            <w:tcBorders>
              <w:top w:val="nil"/>
              <w:left w:val="nil"/>
              <w:bottom w:val="nil"/>
              <w:right w:val="single" w:sz="4" w:space="0" w:color="auto"/>
            </w:tcBorders>
            <w:shd w:val="clear" w:color="auto" w:fill="auto"/>
            <w:vAlign w:val="center"/>
            <w:hideMark/>
          </w:tcPr>
          <w:p w14:paraId="4464358C"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5,477 </w:t>
            </w:r>
          </w:p>
        </w:tc>
        <w:tc>
          <w:tcPr>
            <w:tcW w:w="919" w:type="dxa"/>
            <w:tcBorders>
              <w:top w:val="nil"/>
              <w:left w:val="nil"/>
              <w:bottom w:val="nil"/>
              <w:right w:val="nil"/>
            </w:tcBorders>
            <w:shd w:val="clear" w:color="auto" w:fill="auto"/>
            <w:vAlign w:val="center"/>
            <w:hideMark/>
          </w:tcPr>
          <w:p w14:paraId="5367096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5,936,737 </w:t>
            </w:r>
          </w:p>
        </w:tc>
        <w:tc>
          <w:tcPr>
            <w:tcW w:w="1193" w:type="dxa"/>
            <w:tcBorders>
              <w:top w:val="nil"/>
              <w:left w:val="single" w:sz="4" w:space="0" w:color="auto"/>
              <w:bottom w:val="nil"/>
              <w:right w:val="single" w:sz="4" w:space="0" w:color="auto"/>
            </w:tcBorders>
            <w:shd w:val="clear" w:color="auto" w:fill="auto"/>
            <w:vAlign w:val="center"/>
            <w:hideMark/>
          </w:tcPr>
          <w:p w14:paraId="32E0DAE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3,990,412 </w:t>
            </w:r>
          </w:p>
        </w:tc>
        <w:tc>
          <w:tcPr>
            <w:tcW w:w="895" w:type="dxa"/>
            <w:tcBorders>
              <w:top w:val="nil"/>
              <w:left w:val="nil"/>
              <w:bottom w:val="nil"/>
              <w:right w:val="nil"/>
            </w:tcBorders>
            <w:shd w:val="clear" w:color="auto" w:fill="auto"/>
            <w:vAlign w:val="center"/>
            <w:hideMark/>
          </w:tcPr>
          <w:p w14:paraId="773AE75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3,821 </w:t>
            </w:r>
          </w:p>
        </w:tc>
        <w:tc>
          <w:tcPr>
            <w:tcW w:w="921" w:type="dxa"/>
            <w:tcBorders>
              <w:top w:val="nil"/>
              <w:left w:val="single" w:sz="4" w:space="0" w:color="auto"/>
              <w:bottom w:val="nil"/>
              <w:right w:val="single" w:sz="4" w:space="0" w:color="auto"/>
            </w:tcBorders>
            <w:shd w:val="clear" w:color="auto" w:fill="auto"/>
            <w:vAlign w:val="center"/>
            <w:hideMark/>
          </w:tcPr>
          <w:p w14:paraId="29CA1ED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1,664,596 </w:t>
            </w:r>
          </w:p>
        </w:tc>
        <w:tc>
          <w:tcPr>
            <w:tcW w:w="835" w:type="dxa"/>
            <w:tcBorders>
              <w:top w:val="nil"/>
              <w:left w:val="nil"/>
              <w:bottom w:val="nil"/>
              <w:right w:val="single" w:sz="4" w:space="0" w:color="auto"/>
            </w:tcBorders>
            <w:shd w:val="clear" w:color="auto" w:fill="auto"/>
            <w:vAlign w:val="center"/>
            <w:hideMark/>
          </w:tcPr>
          <w:p w14:paraId="4A0E125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22 </w:t>
            </w:r>
          </w:p>
        </w:tc>
      </w:tr>
      <w:tr w:rsidR="009C313D" w:rsidRPr="00804371" w14:paraId="6A0A2F88" w14:textId="77777777" w:rsidTr="00560A50">
        <w:trPr>
          <w:trHeight w:val="238"/>
          <w:jc w:val="center"/>
        </w:trPr>
        <w:tc>
          <w:tcPr>
            <w:tcW w:w="2785" w:type="dxa"/>
            <w:tcBorders>
              <w:top w:val="nil"/>
              <w:left w:val="single" w:sz="4" w:space="0" w:color="auto"/>
              <w:bottom w:val="nil"/>
              <w:right w:val="nil"/>
            </w:tcBorders>
            <w:shd w:val="clear" w:color="000000" w:fill="B4C6E7"/>
            <w:vAlign w:val="center"/>
            <w:hideMark/>
          </w:tcPr>
          <w:p w14:paraId="23397D66"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Tel-Aviv Stock Exchange</w:t>
            </w:r>
          </w:p>
        </w:tc>
        <w:tc>
          <w:tcPr>
            <w:tcW w:w="1170" w:type="dxa"/>
            <w:tcBorders>
              <w:top w:val="nil"/>
              <w:left w:val="single" w:sz="4" w:space="0" w:color="auto"/>
              <w:bottom w:val="nil"/>
              <w:right w:val="single" w:sz="4" w:space="0" w:color="auto"/>
            </w:tcBorders>
            <w:shd w:val="clear" w:color="auto" w:fill="auto"/>
            <w:vAlign w:val="center"/>
            <w:hideMark/>
          </w:tcPr>
          <w:p w14:paraId="6F8C6AB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1,120,146 </w:t>
            </w:r>
          </w:p>
        </w:tc>
        <w:tc>
          <w:tcPr>
            <w:tcW w:w="895" w:type="dxa"/>
            <w:tcBorders>
              <w:top w:val="nil"/>
              <w:left w:val="nil"/>
              <w:bottom w:val="nil"/>
              <w:right w:val="single" w:sz="4" w:space="0" w:color="auto"/>
            </w:tcBorders>
            <w:shd w:val="clear" w:color="auto" w:fill="auto"/>
            <w:vAlign w:val="center"/>
            <w:hideMark/>
          </w:tcPr>
          <w:p w14:paraId="78E63B27"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11,507 </w:t>
            </w:r>
          </w:p>
        </w:tc>
        <w:tc>
          <w:tcPr>
            <w:tcW w:w="919" w:type="dxa"/>
            <w:tcBorders>
              <w:top w:val="nil"/>
              <w:left w:val="nil"/>
              <w:bottom w:val="nil"/>
              <w:right w:val="nil"/>
            </w:tcBorders>
            <w:shd w:val="clear" w:color="auto" w:fill="auto"/>
            <w:vAlign w:val="center"/>
            <w:hideMark/>
          </w:tcPr>
          <w:p w14:paraId="33783730"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600,928 </w:t>
            </w:r>
          </w:p>
        </w:tc>
        <w:tc>
          <w:tcPr>
            <w:tcW w:w="1193" w:type="dxa"/>
            <w:tcBorders>
              <w:top w:val="nil"/>
              <w:left w:val="single" w:sz="4" w:space="0" w:color="auto"/>
              <w:bottom w:val="nil"/>
              <w:right w:val="single" w:sz="4" w:space="0" w:color="auto"/>
            </w:tcBorders>
            <w:shd w:val="clear" w:color="auto" w:fill="auto"/>
            <w:vAlign w:val="center"/>
            <w:hideMark/>
          </w:tcPr>
          <w:p w14:paraId="25E9F53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NA </w:t>
            </w:r>
          </w:p>
        </w:tc>
        <w:tc>
          <w:tcPr>
            <w:tcW w:w="895" w:type="dxa"/>
            <w:tcBorders>
              <w:top w:val="nil"/>
              <w:left w:val="nil"/>
              <w:bottom w:val="nil"/>
              <w:right w:val="nil"/>
            </w:tcBorders>
            <w:shd w:val="clear" w:color="auto" w:fill="auto"/>
            <w:vAlign w:val="center"/>
            <w:hideMark/>
          </w:tcPr>
          <w:p w14:paraId="1B7040F4"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NA </w:t>
            </w:r>
          </w:p>
        </w:tc>
        <w:tc>
          <w:tcPr>
            <w:tcW w:w="921" w:type="dxa"/>
            <w:tcBorders>
              <w:top w:val="nil"/>
              <w:left w:val="single" w:sz="4" w:space="0" w:color="auto"/>
              <w:bottom w:val="nil"/>
              <w:right w:val="single" w:sz="4" w:space="0" w:color="auto"/>
            </w:tcBorders>
            <w:shd w:val="clear" w:color="auto" w:fill="auto"/>
            <w:vAlign w:val="center"/>
            <w:hideMark/>
          </w:tcPr>
          <w:p w14:paraId="3C78968D"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NA </w:t>
            </w:r>
          </w:p>
        </w:tc>
        <w:tc>
          <w:tcPr>
            <w:tcW w:w="835" w:type="dxa"/>
            <w:tcBorders>
              <w:top w:val="nil"/>
              <w:left w:val="nil"/>
              <w:bottom w:val="nil"/>
              <w:right w:val="single" w:sz="4" w:space="0" w:color="auto"/>
            </w:tcBorders>
            <w:shd w:val="clear" w:color="auto" w:fill="auto"/>
            <w:vAlign w:val="center"/>
            <w:hideMark/>
          </w:tcPr>
          <w:p w14:paraId="793464C1"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22 </w:t>
            </w:r>
          </w:p>
        </w:tc>
      </w:tr>
      <w:tr w:rsidR="009C313D" w:rsidRPr="00804371" w14:paraId="4C94CF88" w14:textId="77777777" w:rsidTr="00560A50">
        <w:trPr>
          <w:trHeight w:val="238"/>
          <w:jc w:val="center"/>
        </w:trPr>
        <w:tc>
          <w:tcPr>
            <w:tcW w:w="2785" w:type="dxa"/>
            <w:tcBorders>
              <w:top w:val="single" w:sz="4" w:space="0" w:color="auto"/>
              <w:left w:val="single" w:sz="4" w:space="0" w:color="auto"/>
              <w:bottom w:val="single" w:sz="4" w:space="0" w:color="auto"/>
              <w:right w:val="nil"/>
            </w:tcBorders>
            <w:shd w:val="clear" w:color="000000" w:fill="B4C6E7"/>
            <w:vAlign w:val="center"/>
            <w:hideMark/>
          </w:tcPr>
          <w:p w14:paraId="23CE5225" w14:textId="77777777" w:rsidR="009C313D" w:rsidRPr="00B4578B" w:rsidRDefault="009C313D" w:rsidP="00560A50">
            <w:pPr>
              <w:rPr>
                <w:rFonts w:ascii="Garamond" w:eastAsia="Times New Roman" w:hAnsi="Garamond" w:cs="Calibri"/>
                <w:b/>
                <w:sz w:val="18"/>
                <w:szCs w:val="18"/>
                <w:lang w:eastAsia="en-GB"/>
              </w:rPr>
            </w:pPr>
            <w:r w:rsidRPr="00B4578B">
              <w:rPr>
                <w:rFonts w:ascii="Garamond" w:eastAsia="Times New Roman" w:hAnsi="Garamond" w:cs="Calibri"/>
                <w:b/>
                <w:sz w:val="18"/>
                <w:szCs w:val="18"/>
                <w:lang w:eastAsia="en-GB"/>
              </w:rPr>
              <w:t>Total Region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211D6"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 6,623,381 </w:t>
            </w:r>
          </w:p>
        </w:tc>
        <w:tc>
          <w:tcPr>
            <w:tcW w:w="895" w:type="dxa"/>
            <w:tcBorders>
              <w:top w:val="single" w:sz="4" w:space="0" w:color="auto"/>
              <w:left w:val="nil"/>
              <w:bottom w:val="single" w:sz="4" w:space="0" w:color="auto"/>
              <w:right w:val="single" w:sz="4" w:space="0" w:color="auto"/>
            </w:tcBorders>
            <w:shd w:val="clear" w:color="auto" w:fill="auto"/>
            <w:vAlign w:val="center"/>
            <w:hideMark/>
          </w:tcPr>
          <w:p w14:paraId="44E301A7"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w:t>
            </w:r>
          </w:p>
        </w:tc>
        <w:tc>
          <w:tcPr>
            <w:tcW w:w="919" w:type="dxa"/>
            <w:tcBorders>
              <w:top w:val="single" w:sz="4" w:space="0" w:color="auto"/>
              <w:left w:val="nil"/>
              <w:bottom w:val="single" w:sz="4" w:space="0" w:color="auto"/>
              <w:right w:val="nil"/>
            </w:tcBorders>
            <w:shd w:val="clear" w:color="auto" w:fill="auto"/>
            <w:vAlign w:val="center"/>
            <w:hideMark/>
          </w:tcPr>
          <w:p w14:paraId="53C34560"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485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15,454,833 </w:t>
            </w:r>
          </w:p>
        </w:tc>
        <w:tc>
          <w:tcPr>
            <w:tcW w:w="895" w:type="dxa"/>
            <w:tcBorders>
              <w:top w:val="single" w:sz="4" w:space="0" w:color="auto"/>
              <w:left w:val="nil"/>
              <w:bottom w:val="single" w:sz="4" w:space="0" w:color="auto"/>
              <w:right w:val="nil"/>
            </w:tcBorders>
            <w:shd w:val="clear" w:color="auto" w:fill="auto"/>
            <w:vAlign w:val="center"/>
            <w:hideMark/>
          </w:tcPr>
          <w:p w14:paraId="67684076"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DE46E"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69B1299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w:t>
            </w:r>
          </w:p>
        </w:tc>
      </w:tr>
      <w:tr w:rsidR="009C313D" w:rsidRPr="00804371" w14:paraId="52062379" w14:textId="77777777" w:rsidTr="00560A50">
        <w:trPr>
          <w:trHeight w:val="238"/>
          <w:jc w:val="center"/>
        </w:trPr>
        <w:tc>
          <w:tcPr>
            <w:tcW w:w="2785" w:type="dxa"/>
            <w:tcBorders>
              <w:top w:val="nil"/>
              <w:left w:val="single" w:sz="4" w:space="0" w:color="auto"/>
              <w:bottom w:val="single" w:sz="4" w:space="0" w:color="auto"/>
              <w:right w:val="single" w:sz="4" w:space="0" w:color="auto"/>
            </w:tcBorders>
            <w:shd w:val="clear" w:color="000000" w:fill="B4C6E7"/>
            <w:vAlign w:val="center"/>
            <w:hideMark/>
          </w:tcPr>
          <w:p w14:paraId="03EA7A2A"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Total</w:t>
            </w:r>
          </w:p>
        </w:tc>
        <w:tc>
          <w:tcPr>
            <w:tcW w:w="1170" w:type="dxa"/>
            <w:tcBorders>
              <w:top w:val="nil"/>
              <w:left w:val="nil"/>
              <w:bottom w:val="single" w:sz="4" w:space="0" w:color="auto"/>
              <w:right w:val="single" w:sz="4" w:space="0" w:color="auto"/>
            </w:tcBorders>
            <w:shd w:val="clear" w:color="000000" w:fill="B4C6E7"/>
            <w:vAlign w:val="center"/>
            <w:hideMark/>
          </w:tcPr>
          <w:p w14:paraId="555D43FF"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117,548,863 </w:t>
            </w:r>
          </w:p>
        </w:tc>
        <w:tc>
          <w:tcPr>
            <w:tcW w:w="895" w:type="dxa"/>
            <w:tcBorders>
              <w:top w:val="nil"/>
              <w:left w:val="nil"/>
              <w:bottom w:val="single" w:sz="4" w:space="0" w:color="auto"/>
              <w:right w:val="single" w:sz="4" w:space="0" w:color="auto"/>
            </w:tcBorders>
            <w:shd w:val="clear" w:color="000000" w:fill="B4C6E7"/>
            <w:vAlign w:val="center"/>
            <w:hideMark/>
          </w:tcPr>
          <w:p w14:paraId="760663F3"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w:t>
            </w:r>
          </w:p>
        </w:tc>
        <w:tc>
          <w:tcPr>
            <w:tcW w:w="919" w:type="dxa"/>
            <w:tcBorders>
              <w:top w:val="nil"/>
              <w:left w:val="nil"/>
              <w:bottom w:val="single" w:sz="4" w:space="0" w:color="auto"/>
              <w:right w:val="single" w:sz="4" w:space="0" w:color="auto"/>
            </w:tcBorders>
            <w:shd w:val="clear" w:color="000000" w:fill="B4C6E7"/>
            <w:vAlign w:val="center"/>
            <w:hideMark/>
          </w:tcPr>
          <w:p w14:paraId="6E356B11"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w:t>
            </w:r>
          </w:p>
        </w:tc>
        <w:tc>
          <w:tcPr>
            <w:tcW w:w="1193" w:type="dxa"/>
            <w:tcBorders>
              <w:top w:val="nil"/>
              <w:left w:val="nil"/>
              <w:bottom w:val="single" w:sz="4" w:space="0" w:color="auto"/>
              <w:right w:val="single" w:sz="4" w:space="0" w:color="auto"/>
            </w:tcBorders>
            <w:shd w:val="clear" w:color="000000" w:fill="B4C6E7"/>
            <w:vAlign w:val="center"/>
            <w:hideMark/>
          </w:tcPr>
          <w:p w14:paraId="12596CE1"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137,823,577 </w:t>
            </w:r>
          </w:p>
        </w:tc>
        <w:tc>
          <w:tcPr>
            <w:tcW w:w="895" w:type="dxa"/>
            <w:tcBorders>
              <w:top w:val="nil"/>
              <w:left w:val="nil"/>
              <w:bottom w:val="single" w:sz="4" w:space="0" w:color="auto"/>
              <w:right w:val="single" w:sz="4" w:space="0" w:color="auto"/>
            </w:tcBorders>
            <w:shd w:val="clear" w:color="000000" w:fill="B4C6E7"/>
            <w:vAlign w:val="center"/>
            <w:hideMark/>
          </w:tcPr>
          <w:p w14:paraId="0BB2B767"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w:t>
            </w:r>
          </w:p>
        </w:tc>
        <w:tc>
          <w:tcPr>
            <w:tcW w:w="921" w:type="dxa"/>
            <w:tcBorders>
              <w:top w:val="nil"/>
              <w:left w:val="nil"/>
              <w:bottom w:val="single" w:sz="4" w:space="0" w:color="auto"/>
              <w:right w:val="single" w:sz="4" w:space="0" w:color="auto"/>
            </w:tcBorders>
            <w:shd w:val="clear" w:color="000000" w:fill="B4C6E7"/>
            <w:vAlign w:val="center"/>
            <w:hideMark/>
          </w:tcPr>
          <w:p w14:paraId="62329EB7"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w:t>
            </w:r>
          </w:p>
        </w:tc>
        <w:tc>
          <w:tcPr>
            <w:tcW w:w="835" w:type="dxa"/>
            <w:tcBorders>
              <w:top w:val="nil"/>
              <w:left w:val="nil"/>
              <w:bottom w:val="single" w:sz="4" w:space="0" w:color="auto"/>
              <w:right w:val="single" w:sz="4" w:space="0" w:color="auto"/>
            </w:tcBorders>
            <w:shd w:val="clear" w:color="000000" w:fill="B4C6E7"/>
            <w:vAlign w:val="center"/>
            <w:hideMark/>
          </w:tcPr>
          <w:p w14:paraId="4AFFCA71"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w:t>
            </w:r>
          </w:p>
        </w:tc>
      </w:tr>
    </w:tbl>
    <w:p w14:paraId="508BAB4D" w14:textId="77777777" w:rsidR="009C313D" w:rsidRPr="00804371" w:rsidRDefault="009C313D" w:rsidP="009C313D">
      <w:pPr>
        <w:jc w:val="both"/>
        <w:rPr>
          <w:rFonts w:ascii="Garamond" w:hAnsi="Garamond"/>
          <w:b/>
          <w:sz w:val="20"/>
        </w:rPr>
      </w:pPr>
    </w:p>
    <w:p w14:paraId="19379AB7" w14:textId="77777777" w:rsidR="009C313D" w:rsidRPr="00804371" w:rsidRDefault="009C313D" w:rsidP="009C313D">
      <w:pPr>
        <w:jc w:val="both"/>
        <w:rPr>
          <w:rFonts w:ascii="Garamond" w:hAnsi="Garamond"/>
          <w:b/>
          <w:sz w:val="20"/>
        </w:rPr>
      </w:pPr>
      <w:r w:rsidRPr="00804371">
        <w:rPr>
          <w:rFonts w:ascii="Garamond" w:hAnsi="Garamond"/>
          <w:b/>
          <w:sz w:val="20"/>
        </w:rPr>
        <w:t xml:space="preserve">NA: </w:t>
      </w:r>
      <w:r w:rsidRPr="00804371">
        <w:rPr>
          <w:rFonts w:ascii="Garamond" w:hAnsi="Garamond"/>
          <w:sz w:val="20"/>
        </w:rPr>
        <w:t>Not Available</w:t>
      </w:r>
    </w:p>
    <w:p w14:paraId="05372DFC" w14:textId="77777777" w:rsidR="009C313D" w:rsidRPr="00804371" w:rsidRDefault="009C313D" w:rsidP="009C313D">
      <w:pPr>
        <w:jc w:val="both"/>
        <w:rPr>
          <w:rFonts w:ascii="Garamond" w:hAnsi="Garamond"/>
          <w:sz w:val="20"/>
        </w:rPr>
      </w:pPr>
      <w:r w:rsidRPr="00804371">
        <w:rPr>
          <w:rFonts w:ascii="Garamond" w:hAnsi="Garamond"/>
          <w:b/>
          <w:sz w:val="20"/>
        </w:rPr>
        <w:t xml:space="preserve">Source: </w:t>
      </w:r>
      <w:r w:rsidRPr="00804371">
        <w:rPr>
          <w:rFonts w:ascii="Garamond" w:hAnsi="Garamond"/>
          <w:sz w:val="20"/>
        </w:rPr>
        <w:t>World Federation of Exchanges</w:t>
      </w:r>
    </w:p>
    <w:p w14:paraId="30EBC54F" w14:textId="77777777" w:rsidR="009C313D" w:rsidRPr="00804371" w:rsidRDefault="009C313D" w:rsidP="009C313D">
      <w:pPr>
        <w:jc w:val="both"/>
        <w:rPr>
          <w:rFonts w:ascii="Garamond" w:hAnsi="Garamond"/>
        </w:rPr>
      </w:pPr>
    </w:p>
    <w:p w14:paraId="2DB87FE5" w14:textId="77777777" w:rsidR="009C313D" w:rsidRPr="00804371" w:rsidRDefault="009C313D" w:rsidP="009C313D">
      <w:pPr>
        <w:jc w:val="both"/>
        <w:rPr>
          <w:rFonts w:ascii="Garamond" w:hAnsi="Garamond"/>
          <w:b/>
        </w:rPr>
      </w:pPr>
      <w:r w:rsidRPr="00804371">
        <w:rPr>
          <w:rFonts w:ascii="Garamond" w:hAnsi="Garamond"/>
          <w:b/>
        </w:rPr>
        <w:t>Table A7: Interest Rate Options and Futures Traded in Major Exchanges</w:t>
      </w:r>
    </w:p>
    <w:p w14:paraId="1A0F4B1C" w14:textId="77777777" w:rsidR="009C313D" w:rsidRPr="00804371" w:rsidRDefault="009C313D" w:rsidP="009C313D">
      <w:pPr>
        <w:jc w:val="both"/>
        <w:rPr>
          <w:rFonts w:ascii="Garamond" w:hAnsi="Garamond"/>
          <w:b/>
        </w:rPr>
      </w:pPr>
    </w:p>
    <w:tbl>
      <w:tblPr>
        <w:tblW w:w="9135" w:type="dxa"/>
        <w:tblCellMar>
          <w:left w:w="58" w:type="dxa"/>
          <w:right w:w="58" w:type="dxa"/>
        </w:tblCellMar>
        <w:tblLook w:val="04A0" w:firstRow="1" w:lastRow="0" w:firstColumn="1" w:lastColumn="0" w:noHBand="0" w:noVBand="1"/>
      </w:tblPr>
      <w:tblGrid>
        <w:gridCol w:w="2785"/>
        <w:gridCol w:w="990"/>
        <w:gridCol w:w="900"/>
        <w:gridCol w:w="890"/>
        <w:gridCol w:w="970"/>
        <w:gridCol w:w="870"/>
        <w:gridCol w:w="870"/>
        <w:gridCol w:w="860"/>
      </w:tblGrid>
      <w:tr w:rsidR="009C313D" w:rsidRPr="00804371" w14:paraId="11B76BD7" w14:textId="77777777" w:rsidTr="00560A50">
        <w:trPr>
          <w:trHeight w:val="53"/>
        </w:trPr>
        <w:tc>
          <w:tcPr>
            <w:tcW w:w="278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57C13F9F"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Exchange</w:t>
            </w:r>
          </w:p>
        </w:tc>
        <w:tc>
          <w:tcPr>
            <w:tcW w:w="5490" w:type="dxa"/>
            <w:gridSpan w:val="6"/>
            <w:tcBorders>
              <w:top w:val="single" w:sz="4" w:space="0" w:color="auto"/>
              <w:left w:val="nil"/>
              <w:bottom w:val="single" w:sz="4" w:space="0" w:color="auto"/>
              <w:right w:val="single" w:sz="4" w:space="0" w:color="auto"/>
            </w:tcBorders>
            <w:shd w:val="clear" w:color="000000" w:fill="B4C6E7"/>
            <w:vAlign w:val="center"/>
            <w:hideMark/>
          </w:tcPr>
          <w:p w14:paraId="2BB2976C"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August 2018</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D67C9D8"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Trading </w:t>
            </w:r>
            <w:r>
              <w:rPr>
                <w:rFonts w:ascii="Garamond" w:eastAsia="Times New Roman" w:hAnsi="Garamond" w:cs="Calibri"/>
                <w:b/>
                <w:bCs/>
                <w:sz w:val="18"/>
                <w:szCs w:val="18"/>
                <w:lang w:eastAsia="en-GB"/>
              </w:rPr>
              <w:t>D</w:t>
            </w:r>
            <w:r w:rsidRPr="00804371">
              <w:rPr>
                <w:rFonts w:ascii="Garamond" w:eastAsia="Times New Roman" w:hAnsi="Garamond" w:cs="Calibri"/>
                <w:b/>
                <w:bCs/>
                <w:sz w:val="18"/>
                <w:szCs w:val="18"/>
                <w:lang w:eastAsia="en-GB"/>
              </w:rPr>
              <w:t xml:space="preserve">ays </w:t>
            </w:r>
            <w:r w:rsidRPr="00804371">
              <w:rPr>
                <w:rFonts w:ascii="Garamond" w:eastAsia="Times New Roman" w:hAnsi="Garamond" w:cs="Calibri"/>
                <w:b/>
                <w:bCs/>
                <w:sz w:val="18"/>
                <w:szCs w:val="18"/>
                <w:lang w:eastAsia="en-GB"/>
              </w:rPr>
              <w:br/>
              <w:t>Aug 2018</w:t>
            </w:r>
          </w:p>
        </w:tc>
      </w:tr>
      <w:tr w:rsidR="009C313D" w:rsidRPr="00804371" w14:paraId="2FC8080B" w14:textId="77777777" w:rsidTr="00560A50">
        <w:trPr>
          <w:trHeight w:val="53"/>
        </w:trPr>
        <w:tc>
          <w:tcPr>
            <w:tcW w:w="2785" w:type="dxa"/>
            <w:vMerge/>
            <w:tcBorders>
              <w:top w:val="single" w:sz="4" w:space="0" w:color="auto"/>
              <w:left w:val="single" w:sz="4" w:space="0" w:color="auto"/>
              <w:bottom w:val="single" w:sz="4" w:space="0" w:color="auto"/>
              <w:right w:val="single" w:sz="4" w:space="0" w:color="auto"/>
            </w:tcBorders>
            <w:vAlign w:val="center"/>
            <w:hideMark/>
          </w:tcPr>
          <w:p w14:paraId="44B0E10F" w14:textId="77777777" w:rsidR="009C313D" w:rsidRPr="00804371" w:rsidRDefault="009C313D" w:rsidP="00560A50">
            <w:pPr>
              <w:rPr>
                <w:rFonts w:ascii="Garamond" w:eastAsia="Times New Roman" w:hAnsi="Garamond" w:cs="Calibri"/>
                <w:b/>
                <w:bCs/>
                <w:sz w:val="18"/>
                <w:szCs w:val="18"/>
                <w:lang w:eastAsia="en-GB"/>
              </w:rPr>
            </w:pPr>
          </w:p>
        </w:tc>
        <w:tc>
          <w:tcPr>
            <w:tcW w:w="2780" w:type="dxa"/>
            <w:gridSpan w:val="3"/>
            <w:tcBorders>
              <w:top w:val="single" w:sz="4" w:space="0" w:color="auto"/>
              <w:left w:val="nil"/>
              <w:bottom w:val="single" w:sz="4" w:space="0" w:color="auto"/>
              <w:right w:val="single" w:sz="4" w:space="0" w:color="auto"/>
            </w:tcBorders>
            <w:shd w:val="clear" w:color="000000" w:fill="B4C6E7"/>
            <w:vAlign w:val="center"/>
            <w:hideMark/>
          </w:tcPr>
          <w:p w14:paraId="50B6E101"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Interest rate options</w:t>
            </w:r>
          </w:p>
        </w:tc>
        <w:tc>
          <w:tcPr>
            <w:tcW w:w="2710" w:type="dxa"/>
            <w:gridSpan w:val="3"/>
            <w:tcBorders>
              <w:top w:val="single" w:sz="4" w:space="0" w:color="auto"/>
              <w:left w:val="nil"/>
              <w:bottom w:val="single" w:sz="4" w:space="0" w:color="auto"/>
              <w:right w:val="single" w:sz="4" w:space="0" w:color="auto"/>
            </w:tcBorders>
            <w:shd w:val="clear" w:color="000000" w:fill="B4C6E7"/>
            <w:vAlign w:val="center"/>
            <w:hideMark/>
          </w:tcPr>
          <w:p w14:paraId="12E2B410"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Interest rate futures</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1E229558" w14:textId="77777777" w:rsidR="009C313D" w:rsidRPr="00804371" w:rsidRDefault="009C313D" w:rsidP="00560A50">
            <w:pPr>
              <w:rPr>
                <w:rFonts w:ascii="Garamond" w:eastAsia="Times New Roman" w:hAnsi="Garamond" w:cs="Calibri"/>
                <w:b/>
                <w:bCs/>
                <w:sz w:val="18"/>
                <w:szCs w:val="18"/>
                <w:lang w:eastAsia="en-GB"/>
              </w:rPr>
            </w:pPr>
          </w:p>
        </w:tc>
      </w:tr>
      <w:tr w:rsidR="009C313D" w:rsidRPr="00804371" w14:paraId="67088728" w14:textId="77777777" w:rsidTr="00560A50">
        <w:trPr>
          <w:trHeight w:val="53"/>
        </w:trPr>
        <w:tc>
          <w:tcPr>
            <w:tcW w:w="2785" w:type="dxa"/>
            <w:vMerge/>
            <w:tcBorders>
              <w:top w:val="single" w:sz="4" w:space="0" w:color="auto"/>
              <w:left w:val="single" w:sz="4" w:space="0" w:color="auto"/>
              <w:bottom w:val="single" w:sz="4" w:space="0" w:color="auto"/>
              <w:right w:val="single" w:sz="4" w:space="0" w:color="auto"/>
            </w:tcBorders>
            <w:vAlign w:val="center"/>
            <w:hideMark/>
          </w:tcPr>
          <w:p w14:paraId="27E954E1" w14:textId="77777777" w:rsidR="009C313D" w:rsidRPr="00804371" w:rsidRDefault="009C313D" w:rsidP="00560A50">
            <w:pPr>
              <w:rPr>
                <w:rFonts w:ascii="Garamond" w:eastAsia="Times New Roman" w:hAnsi="Garamond" w:cs="Calibri"/>
                <w:b/>
                <w:bCs/>
                <w:sz w:val="18"/>
                <w:szCs w:val="18"/>
                <w:lang w:eastAsia="en-GB"/>
              </w:rPr>
            </w:pPr>
          </w:p>
        </w:tc>
        <w:tc>
          <w:tcPr>
            <w:tcW w:w="990" w:type="dxa"/>
            <w:tcBorders>
              <w:top w:val="nil"/>
              <w:left w:val="nil"/>
              <w:bottom w:val="single" w:sz="4" w:space="0" w:color="auto"/>
              <w:right w:val="single" w:sz="4" w:space="0" w:color="auto"/>
            </w:tcBorders>
            <w:shd w:val="clear" w:color="000000" w:fill="B4C6E7"/>
            <w:vAlign w:val="center"/>
            <w:hideMark/>
          </w:tcPr>
          <w:p w14:paraId="3D6A0F22"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Number of</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C</w:t>
            </w:r>
            <w:r w:rsidRPr="00804371">
              <w:rPr>
                <w:rFonts w:ascii="Garamond" w:eastAsia="Times New Roman" w:hAnsi="Garamond" w:cs="Calibri"/>
                <w:b/>
                <w:bCs/>
                <w:sz w:val="18"/>
                <w:szCs w:val="18"/>
                <w:lang w:eastAsia="en-GB"/>
              </w:rPr>
              <w:t xml:space="preserve">ontracts </w:t>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raded</w:t>
            </w:r>
          </w:p>
        </w:tc>
        <w:tc>
          <w:tcPr>
            <w:tcW w:w="900" w:type="dxa"/>
            <w:tcBorders>
              <w:top w:val="nil"/>
              <w:left w:val="nil"/>
              <w:bottom w:val="single" w:sz="4" w:space="0" w:color="auto"/>
              <w:right w:val="single" w:sz="4" w:space="0" w:color="auto"/>
            </w:tcBorders>
            <w:shd w:val="clear" w:color="000000" w:fill="B4C6E7"/>
            <w:vAlign w:val="center"/>
            <w:hideMark/>
          </w:tcPr>
          <w:p w14:paraId="28D36B90"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Notional</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urnover</w:t>
            </w:r>
          </w:p>
        </w:tc>
        <w:tc>
          <w:tcPr>
            <w:tcW w:w="890" w:type="dxa"/>
            <w:tcBorders>
              <w:top w:val="nil"/>
              <w:left w:val="nil"/>
              <w:bottom w:val="single" w:sz="4" w:space="0" w:color="auto"/>
              <w:right w:val="single" w:sz="4" w:space="0" w:color="auto"/>
            </w:tcBorders>
            <w:shd w:val="clear" w:color="000000" w:fill="B4C6E7"/>
            <w:vAlign w:val="center"/>
            <w:hideMark/>
          </w:tcPr>
          <w:p w14:paraId="51D22F7B"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Open</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I</w:t>
            </w:r>
            <w:r w:rsidRPr="00804371">
              <w:rPr>
                <w:rFonts w:ascii="Garamond" w:eastAsia="Times New Roman" w:hAnsi="Garamond" w:cs="Calibri"/>
                <w:b/>
                <w:bCs/>
                <w:sz w:val="18"/>
                <w:szCs w:val="18"/>
                <w:lang w:eastAsia="en-GB"/>
              </w:rPr>
              <w:t>nterest</w:t>
            </w:r>
          </w:p>
        </w:tc>
        <w:tc>
          <w:tcPr>
            <w:tcW w:w="970" w:type="dxa"/>
            <w:tcBorders>
              <w:top w:val="nil"/>
              <w:left w:val="nil"/>
              <w:bottom w:val="single" w:sz="4" w:space="0" w:color="auto"/>
              <w:right w:val="single" w:sz="4" w:space="0" w:color="auto"/>
            </w:tcBorders>
            <w:shd w:val="clear" w:color="000000" w:fill="B4C6E7"/>
            <w:vAlign w:val="center"/>
            <w:hideMark/>
          </w:tcPr>
          <w:p w14:paraId="0774560E"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Number of</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C</w:t>
            </w:r>
            <w:r w:rsidRPr="00804371">
              <w:rPr>
                <w:rFonts w:ascii="Garamond" w:eastAsia="Times New Roman" w:hAnsi="Garamond" w:cs="Calibri"/>
                <w:b/>
                <w:bCs/>
                <w:sz w:val="18"/>
                <w:szCs w:val="18"/>
                <w:lang w:eastAsia="en-GB"/>
              </w:rPr>
              <w:t xml:space="preserve">ontracts </w:t>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raded</w:t>
            </w:r>
          </w:p>
        </w:tc>
        <w:tc>
          <w:tcPr>
            <w:tcW w:w="870" w:type="dxa"/>
            <w:tcBorders>
              <w:top w:val="nil"/>
              <w:left w:val="nil"/>
              <w:bottom w:val="single" w:sz="4" w:space="0" w:color="auto"/>
              <w:right w:val="single" w:sz="4" w:space="0" w:color="auto"/>
            </w:tcBorders>
            <w:shd w:val="clear" w:color="000000" w:fill="B4C6E7"/>
            <w:vAlign w:val="center"/>
            <w:hideMark/>
          </w:tcPr>
          <w:p w14:paraId="15161ECC"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Notional</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urnover</w:t>
            </w:r>
          </w:p>
        </w:tc>
        <w:tc>
          <w:tcPr>
            <w:tcW w:w="870" w:type="dxa"/>
            <w:tcBorders>
              <w:top w:val="nil"/>
              <w:left w:val="nil"/>
              <w:bottom w:val="single" w:sz="4" w:space="0" w:color="auto"/>
              <w:right w:val="single" w:sz="4" w:space="0" w:color="auto"/>
            </w:tcBorders>
            <w:shd w:val="clear" w:color="000000" w:fill="B4C6E7"/>
            <w:vAlign w:val="center"/>
            <w:hideMark/>
          </w:tcPr>
          <w:p w14:paraId="0CA82512"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Open</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I</w:t>
            </w:r>
            <w:r w:rsidRPr="00804371">
              <w:rPr>
                <w:rFonts w:ascii="Garamond" w:eastAsia="Times New Roman" w:hAnsi="Garamond" w:cs="Calibri"/>
                <w:b/>
                <w:bCs/>
                <w:sz w:val="18"/>
                <w:szCs w:val="18"/>
                <w:lang w:eastAsia="en-GB"/>
              </w:rPr>
              <w:t>nterest</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29A2D66B" w14:textId="77777777" w:rsidR="009C313D" w:rsidRPr="00804371" w:rsidRDefault="009C313D" w:rsidP="00560A50">
            <w:pPr>
              <w:rPr>
                <w:rFonts w:ascii="Garamond" w:eastAsia="Times New Roman" w:hAnsi="Garamond" w:cs="Calibri"/>
                <w:b/>
                <w:bCs/>
                <w:sz w:val="18"/>
                <w:szCs w:val="18"/>
                <w:lang w:eastAsia="en-GB"/>
              </w:rPr>
            </w:pPr>
          </w:p>
        </w:tc>
      </w:tr>
      <w:tr w:rsidR="009C313D" w:rsidRPr="00804371" w14:paraId="2C400D0F" w14:textId="77777777" w:rsidTr="00560A50">
        <w:trPr>
          <w:trHeight w:val="53"/>
        </w:trPr>
        <w:tc>
          <w:tcPr>
            <w:tcW w:w="9135"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4D3603E3"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Americas</w:t>
            </w:r>
          </w:p>
        </w:tc>
      </w:tr>
      <w:tr w:rsidR="009C313D" w:rsidRPr="00804371" w14:paraId="6995521E" w14:textId="77777777" w:rsidTr="00560A50">
        <w:trPr>
          <w:trHeight w:val="53"/>
        </w:trPr>
        <w:tc>
          <w:tcPr>
            <w:tcW w:w="2785" w:type="dxa"/>
            <w:tcBorders>
              <w:top w:val="nil"/>
              <w:left w:val="single" w:sz="4" w:space="0" w:color="auto"/>
              <w:bottom w:val="nil"/>
              <w:right w:val="nil"/>
            </w:tcBorders>
            <w:shd w:val="clear" w:color="000000" w:fill="B4C6E7"/>
            <w:vAlign w:val="center"/>
            <w:hideMark/>
          </w:tcPr>
          <w:p w14:paraId="3041BA0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Bolsa de Valores de Colombia</w:t>
            </w:r>
          </w:p>
        </w:tc>
        <w:tc>
          <w:tcPr>
            <w:tcW w:w="990" w:type="dxa"/>
            <w:tcBorders>
              <w:top w:val="nil"/>
              <w:left w:val="single" w:sz="4" w:space="0" w:color="auto"/>
              <w:bottom w:val="nil"/>
              <w:right w:val="single" w:sz="4" w:space="0" w:color="auto"/>
            </w:tcBorders>
            <w:shd w:val="clear" w:color="auto" w:fill="auto"/>
            <w:vAlign w:val="center"/>
            <w:hideMark/>
          </w:tcPr>
          <w:p w14:paraId="6489DC7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00" w:type="dxa"/>
            <w:tcBorders>
              <w:top w:val="nil"/>
              <w:left w:val="nil"/>
              <w:bottom w:val="nil"/>
              <w:right w:val="nil"/>
            </w:tcBorders>
            <w:shd w:val="clear" w:color="auto" w:fill="auto"/>
            <w:vAlign w:val="center"/>
            <w:hideMark/>
          </w:tcPr>
          <w:p w14:paraId="17DB466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90" w:type="dxa"/>
            <w:tcBorders>
              <w:top w:val="nil"/>
              <w:left w:val="single" w:sz="4" w:space="0" w:color="auto"/>
              <w:bottom w:val="nil"/>
              <w:right w:val="single" w:sz="4" w:space="0" w:color="auto"/>
            </w:tcBorders>
            <w:shd w:val="clear" w:color="auto" w:fill="auto"/>
            <w:vAlign w:val="center"/>
            <w:hideMark/>
          </w:tcPr>
          <w:p w14:paraId="5228A55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70" w:type="dxa"/>
            <w:tcBorders>
              <w:top w:val="nil"/>
              <w:left w:val="nil"/>
              <w:bottom w:val="nil"/>
              <w:right w:val="nil"/>
            </w:tcBorders>
            <w:shd w:val="clear" w:color="auto" w:fill="auto"/>
            <w:vAlign w:val="center"/>
            <w:hideMark/>
          </w:tcPr>
          <w:p w14:paraId="7C5C2F8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18,205</w:t>
            </w:r>
          </w:p>
        </w:tc>
        <w:tc>
          <w:tcPr>
            <w:tcW w:w="870" w:type="dxa"/>
            <w:tcBorders>
              <w:top w:val="nil"/>
              <w:left w:val="single" w:sz="4" w:space="0" w:color="auto"/>
              <w:bottom w:val="nil"/>
              <w:right w:val="nil"/>
            </w:tcBorders>
            <w:shd w:val="clear" w:color="auto" w:fill="auto"/>
            <w:vAlign w:val="center"/>
            <w:hideMark/>
          </w:tcPr>
          <w:p w14:paraId="77994DD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1,662</w:t>
            </w:r>
          </w:p>
        </w:tc>
        <w:tc>
          <w:tcPr>
            <w:tcW w:w="870" w:type="dxa"/>
            <w:tcBorders>
              <w:top w:val="nil"/>
              <w:left w:val="single" w:sz="4" w:space="0" w:color="auto"/>
              <w:bottom w:val="nil"/>
              <w:right w:val="single" w:sz="4" w:space="0" w:color="auto"/>
            </w:tcBorders>
            <w:shd w:val="clear" w:color="auto" w:fill="auto"/>
            <w:vAlign w:val="center"/>
            <w:hideMark/>
          </w:tcPr>
          <w:p w14:paraId="4F4B7F9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13,981</w:t>
            </w:r>
          </w:p>
        </w:tc>
        <w:tc>
          <w:tcPr>
            <w:tcW w:w="860" w:type="dxa"/>
            <w:tcBorders>
              <w:top w:val="nil"/>
              <w:left w:val="nil"/>
              <w:bottom w:val="nil"/>
              <w:right w:val="single" w:sz="4" w:space="0" w:color="auto"/>
            </w:tcBorders>
            <w:shd w:val="clear" w:color="auto" w:fill="auto"/>
            <w:vAlign w:val="center"/>
            <w:hideMark/>
          </w:tcPr>
          <w:p w14:paraId="1E6A283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w:t>
            </w:r>
          </w:p>
        </w:tc>
      </w:tr>
      <w:tr w:rsidR="009C313D" w:rsidRPr="00804371" w14:paraId="47D8B43D" w14:textId="77777777" w:rsidTr="00560A50">
        <w:trPr>
          <w:trHeight w:val="63"/>
        </w:trPr>
        <w:tc>
          <w:tcPr>
            <w:tcW w:w="2785" w:type="dxa"/>
            <w:tcBorders>
              <w:top w:val="nil"/>
              <w:left w:val="single" w:sz="4" w:space="0" w:color="auto"/>
              <w:bottom w:val="nil"/>
              <w:right w:val="nil"/>
            </w:tcBorders>
            <w:shd w:val="clear" w:color="000000" w:fill="B4C6E7"/>
            <w:vAlign w:val="center"/>
            <w:hideMark/>
          </w:tcPr>
          <w:p w14:paraId="207C331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CME Group</w:t>
            </w:r>
          </w:p>
        </w:tc>
        <w:tc>
          <w:tcPr>
            <w:tcW w:w="990" w:type="dxa"/>
            <w:tcBorders>
              <w:top w:val="nil"/>
              <w:left w:val="single" w:sz="4" w:space="0" w:color="auto"/>
              <w:bottom w:val="nil"/>
              <w:right w:val="single" w:sz="4" w:space="0" w:color="auto"/>
            </w:tcBorders>
            <w:shd w:val="clear" w:color="auto" w:fill="auto"/>
            <w:vAlign w:val="center"/>
            <w:hideMark/>
          </w:tcPr>
          <w:p w14:paraId="57C0222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42,974,033</w:t>
            </w:r>
          </w:p>
        </w:tc>
        <w:tc>
          <w:tcPr>
            <w:tcW w:w="900" w:type="dxa"/>
            <w:tcBorders>
              <w:top w:val="nil"/>
              <w:left w:val="nil"/>
              <w:bottom w:val="nil"/>
              <w:right w:val="nil"/>
            </w:tcBorders>
            <w:shd w:val="clear" w:color="auto" w:fill="auto"/>
            <w:vAlign w:val="center"/>
            <w:hideMark/>
          </w:tcPr>
          <w:p w14:paraId="00EA887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26,205,100</w:t>
            </w:r>
          </w:p>
        </w:tc>
        <w:tc>
          <w:tcPr>
            <w:tcW w:w="890" w:type="dxa"/>
            <w:tcBorders>
              <w:top w:val="nil"/>
              <w:left w:val="single" w:sz="4" w:space="0" w:color="auto"/>
              <w:bottom w:val="nil"/>
              <w:right w:val="single" w:sz="4" w:space="0" w:color="auto"/>
            </w:tcBorders>
            <w:shd w:val="clear" w:color="auto" w:fill="auto"/>
            <w:vAlign w:val="center"/>
            <w:hideMark/>
          </w:tcPr>
          <w:p w14:paraId="4080DD7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50,189,500</w:t>
            </w:r>
          </w:p>
        </w:tc>
        <w:tc>
          <w:tcPr>
            <w:tcW w:w="970" w:type="dxa"/>
            <w:tcBorders>
              <w:top w:val="nil"/>
              <w:left w:val="nil"/>
              <w:bottom w:val="nil"/>
              <w:right w:val="nil"/>
            </w:tcBorders>
            <w:shd w:val="clear" w:color="auto" w:fill="auto"/>
            <w:vAlign w:val="center"/>
            <w:hideMark/>
          </w:tcPr>
          <w:p w14:paraId="2ABE1C7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155,779,241</w:t>
            </w:r>
          </w:p>
        </w:tc>
        <w:tc>
          <w:tcPr>
            <w:tcW w:w="870" w:type="dxa"/>
            <w:tcBorders>
              <w:top w:val="nil"/>
              <w:left w:val="single" w:sz="4" w:space="0" w:color="auto"/>
              <w:bottom w:val="nil"/>
              <w:right w:val="nil"/>
            </w:tcBorders>
            <w:shd w:val="clear" w:color="auto" w:fill="auto"/>
            <w:vAlign w:val="center"/>
            <w:hideMark/>
          </w:tcPr>
          <w:p w14:paraId="5A55EF0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74,355,900</w:t>
            </w:r>
          </w:p>
        </w:tc>
        <w:tc>
          <w:tcPr>
            <w:tcW w:w="870" w:type="dxa"/>
            <w:tcBorders>
              <w:top w:val="nil"/>
              <w:left w:val="single" w:sz="4" w:space="0" w:color="auto"/>
              <w:bottom w:val="nil"/>
              <w:right w:val="single" w:sz="4" w:space="0" w:color="auto"/>
            </w:tcBorders>
            <w:shd w:val="clear" w:color="auto" w:fill="auto"/>
            <w:vAlign w:val="center"/>
            <w:hideMark/>
          </w:tcPr>
          <w:p w14:paraId="2DC06A9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29,329,000</w:t>
            </w:r>
          </w:p>
        </w:tc>
        <w:tc>
          <w:tcPr>
            <w:tcW w:w="860" w:type="dxa"/>
            <w:tcBorders>
              <w:top w:val="nil"/>
              <w:left w:val="nil"/>
              <w:bottom w:val="nil"/>
              <w:right w:val="single" w:sz="4" w:space="0" w:color="auto"/>
            </w:tcBorders>
            <w:shd w:val="clear" w:color="auto" w:fill="auto"/>
            <w:vAlign w:val="center"/>
            <w:hideMark/>
          </w:tcPr>
          <w:p w14:paraId="49C5E46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38684001" w14:textId="77777777" w:rsidTr="00560A50">
        <w:trPr>
          <w:trHeight w:val="255"/>
        </w:trPr>
        <w:tc>
          <w:tcPr>
            <w:tcW w:w="2785" w:type="dxa"/>
            <w:tcBorders>
              <w:top w:val="nil"/>
              <w:left w:val="single" w:sz="4" w:space="0" w:color="auto"/>
              <w:bottom w:val="nil"/>
              <w:right w:val="nil"/>
            </w:tcBorders>
            <w:shd w:val="clear" w:color="000000" w:fill="B4C6E7"/>
            <w:vAlign w:val="center"/>
            <w:hideMark/>
          </w:tcPr>
          <w:p w14:paraId="5F875A0E"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MexDer</w:t>
            </w:r>
          </w:p>
        </w:tc>
        <w:tc>
          <w:tcPr>
            <w:tcW w:w="990" w:type="dxa"/>
            <w:tcBorders>
              <w:top w:val="nil"/>
              <w:left w:val="single" w:sz="4" w:space="0" w:color="auto"/>
              <w:bottom w:val="nil"/>
              <w:right w:val="single" w:sz="4" w:space="0" w:color="auto"/>
            </w:tcBorders>
            <w:shd w:val="clear" w:color="auto" w:fill="auto"/>
            <w:vAlign w:val="center"/>
            <w:hideMark/>
          </w:tcPr>
          <w:p w14:paraId="6696B96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00" w:type="dxa"/>
            <w:tcBorders>
              <w:top w:val="nil"/>
              <w:left w:val="nil"/>
              <w:bottom w:val="nil"/>
              <w:right w:val="nil"/>
            </w:tcBorders>
            <w:shd w:val="clear" w:color="auto" w:fill="auto"/>
            <w:vAlign w:val="center"/>
            <w:hideMark/>
          </w:tcPr>
          <w:p w14:paraId="3F52A67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90" w:type="dxa"/>
            <w:tcBorders>
              <w:top w:val="nil"/>
              <w:left w:val="single" w:sz="4" w:space="0" w:color="auto"/>
              <w:bottom w:val="nil"/>
              <w:right w:val="single" w:sz="4" w:space="0" w:color="auto"/>
            </w:tcBorders>
            <w:shd w:val="clear" w:color="auto" w:fill="auto"/>
            <w:vAlign w:val="center"/>
            <w:hideMark/>
          </w:tcPr>
          <w:p w14:paraId="60C8F01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0" w:type="dxa"/>
            <w:tcBorders>
              <w:top w:val="nil"/>
              <w:left w:val="nil"/>
              <w:bottom w:val="nil"/>
              <w:right w:val="nil"/>
            </w:tcBorders>
            <w:shd w:val="clear" w:color="auto" w:fill="auto"/>
            <w:vAlign w:val="center"/>
            <w:hideMark/>
          </w:tcPr>
          <w:p w14:paraId="17B0239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42,400</w:t>
            </w:r>
          </w:p>
        </w:tc>
        <w:tc>
          <w:tcPr>
            <w:tcW w:w="870" w:type="dxa"/>
            <w:tcBorders>
              <w:top w:val="nil"/>
              <w:left w:val="single" w:sz="4" w:space="0" w:color="auto"/>
              <w:bottom w:val="nil"/>
              <w:right w:val="nil"/>
            </w:tcBorders>
            <w:shd w:val="clear" w:color="auto" w:fill="auto"/>
            <w:vAlign w:val="center"/>
            <w:hideMark/>
          </w:tcPr>
          <w:p w14:paraId="5B51FAE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238</w:t>
            </w:r>
          </w:p>
        </w:tc>
        <w:tc>
          <w:tcPr>
            <w:tcW w:w="870" w:type="dxa"/>
            <w:tcBorders>
              <w:top w:val="nil"/>
              <w:left w:val="single" w:sz="4" w:space="0" w:color="auto"/>
              <w:bottom w:val="nil"/>
              <w:right w:val="single" w:sz="4" w:space="0" w:color="auto"/>
            </w:tcBorders>
            <w:shd w:val="clear" w:color="auto" w:fill="auto"/>
            <w:vAlign w:val="center"/>
            <w:hideMark/>
          </w:tcPr>
          <w:p w14:paraId="731409D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137,046</w:t>
            </w:r>
          </w:p>
        </w:tc>
        <w:tc>
          <w:tcPr>
            <w:tcW w:w="860" w:type="dxa"/>
            <w:tcBorders>
              <w:top w:val="nil"/>
              <w:left w:val="nil"/>
              <w:bottom w:val="nil"/>
              <w:right w:val="single" w:sz="4" w:space="0" w:color="auto"/>
            </w:tcBorders>
            <w:shd w:val="clear" w:color="auto" w:fill="auto"/>
            <w:vAlign w:val="center"/>
            <w:hideMark/>
          </w:tcPr>
          <w:p w14:paraId="62CB9D8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52E0CCD1" w14:textId="77777777" w:rsidTr="00560A50">
        <w:trPr>
          <w:trHeight w:val="53"/>
        </w:trPr>
        <w:tc>
          <w:tcPr>
            <w:tcW w:w="278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126C4407"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Total </w:t>
            </w:r>
            <w:r>
              <w:rPr>
                <w:rFonts w:ascii="Garamond" w:eastAsia="Times New Roman" w:hAnsi="Garamond" w:cs="Calibri"/>
                <w:b/>
                <w:bCs/>
                <w:sz w:val="18"/>
                <w:szCs w:val="18"/>
                <w:lang w:eastAsia="en-GB"/>
              </w:rPr>
              <w:t>R</w:t>
            </w:r>
            <w:r w:rsidRPr="00804371">
              <w:rPr>
                <w:rFonts w:ascii="Garamond" w:eastAsia="Times New Roman" w:hAnsi="Garamond" w:cs="Calibri"/>
                <w:b/>
                <w:bCs/>
                <w:sz w:val="18"/>
                <w:szCs w:val="18"/>
                <w:lang w:eastAsia="en-GB"/>
              </w:rPr>
              <w:t>egion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5E7A75F7"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42,974,033</w:t>
            </w:r>
          </w:p>
        </w:tc>
        <w:tc>
          <w:tcPr>
            <w:tcW w:w="900" w:type="dxa"/>
            <w:tcBorders>
              <w:top w:val="single" w:sz="4" w:space="0" w:color="auto"/>
              <w:left w:val="nil"/>
              <w:bottom w:val="single" w:sz="4" w:space="0" w:color="auto"/>
              <w:right w:val="nil"/>
            </w:tcBorders>
            <w:shd w:val="clear" w:color="auto" w:fill="auto"/>
            <w:vAlign w:val="center"/>
            <w:hideMark/>
          </w:tcPr>
          <w:p w14:paraId="1B0C7221" w14:textId="77777777" w:rsidR="009C313D" w:rsidRPr="00804371" w:rsidRDefault="009C313D" w:rsidP="00560A50">
            <w:pPr>
              <w:jc w:val="right"/>
              <w:rPr>
                <w:rFonts w:ascii="Garamond" w:eastAsia="Times New Roman" w:hAnsi="Garamond" w:cs="Calibri"/>
                <w:b/>
                <w:bCs/>
                <w:sz w:val="18"/>
                <w:szCs w:val="18"/>
                <w:lang w:eastAsia="en-GB"/>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316F5" w14:textId="77777777" w:rsidR="009C313D" w:rsidRPr="00804371" w:rsidRDefault="009C313D" w:rsidP="00560A50">
            <w:pPr>
              <w:jc w:val="right"/>
              <w:rPr>
                <w:rFonts w:ascii="Garamond" w:eastAsia="Times New Roman" w:hAnsi="Garamond" w:cs="Calibri"/>
                <w:b/>
                <w:bCs/>
                <w:sz w:val="18"/>
                <w:szCs w:val="18"/>
                <w:lang w:eastAsia="en-GB"/>
              </w:rPr>
            </w:pP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0B148CF9"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155,839,846</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2E70E960" w14:textId="77777777" w:rsidR="009C313D" w:rsidRPr="00804371" w:rsidRDefault="009C313D" w:rsidP="00560A50">
            <w:pPr>
              <w:jc w:val="right"/>
              <w:rPr>
                <w:rFonts w:ascii="Garamond" w:eastAsia="Times New Roman" w:hAnsi="Garamond" w:cs="Calibri"/>
                <w:b/>
                <w:bCs/>
                <w:sz w:val="18"/>
                <w:szCs w:val="18"/>
                <w:lang w:eastAsia="en-GB"/>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CB5D534" w14:textId="77777777" w:rsidR="009C313D" w:rsidRPr="00804371" w:rsidRDefault="009C313D" w:rsidP="00560A50">
            <w:pPr>
              <w:jc w:val="right"/>
              <w:rPr>
                <w:rFonts w:ascii="Garamond" w:eastAsia="Times New Roman" w:hAnsi="Garamond" w:cs="Calibri"/>
                <w:b/>
                <w:bCs/>
                <w:sz w:val="18"/>
                <w:szCs w:val="18"/>
                <w:lang w:eastAsia="en-GB"/>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6C0F0C0" w14:textId="77777777" w:rsidR="009C313D" w:rsidRPr="00804371" w:rsidRDefault="009C313D" w:rsidP="00560A50">
            <w:pPr>
              <w:jc w:val="right"/>
              <w:rPr>
                <w:rFonts w:ascii="Garamond" w:eastAsia="Times New Roman" w:hAnsi="Garamond" w:cs="Calibri"/>
                <w:b/>
                <w:bCs/>
                <w:sz w:val="18"/>
                <w:szCs w:val="18"/>
                <w:lang w:eastAsia="en-GB"/>
              </w:rPr>
            </w:pPr>
          </w:p>
        </w:tc>
      </w:tr>
      <w:tr w:rsidR="009C313D" w:rsidRPr="00804371" w14:paraId="4615B77A" w14:textId="77777777" w:rsidTr="00560A50">
        <w:trPr>
          <w:trHeight w:val="53"/>
        </w:trPr>
        <w:tc>
          <w:tcPr>
            <w:tcW w:w="9135"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151E4A51"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Asia - Pacific</w:t>
            </w:r>
          </w:p>
        </w:tc>
      </w:tr>
      <w:tr w:rsidR="009C313D" w:rsidRPr="00804371" w14:paraId="315F9870" w14:textId="77777777" w:rsidTr="00560A50">
        <w:trPr>
          <w:trHeight w:val="53"/>
        </w:trPr>
        <w:tc>
          <w:tcPr>
            <w:tcW w:w="2785" w:type="dxa"/>
            <w:tcBorders>
              <w:top w:val="nil"/>
              <w:left w:val="single" w:sz="4" w:space="0" w:color="auto"/>
              <w:bottom w:val="nil"/>
              <w:right w:val="nil"/>
            </w:tcBorders>
            <w:shd w:val="clear" w:color="000000" w:fill="B4C6E7"/>
            <w:vAlign w:val="center"/>
            <w:hideMark/>
          </w:tcPr>
          <w:p w14:paraId="4A2CAA0C"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Australian Securities Exchange</w:t>
            </w:r>
          </w:p>
        </w:tc>
        <w:tc>
          <w:tcPr>
            <w:tcW w:w="990" w:type="dxa"/>
            <w:tcBorders>
              <w:top w:val="nil"/>
              <w:left w:val="single" w:sz="4" w:space="0" w:color="auto"/>
              <w:bottom w:val="nil"/>
              <w:right w:val="nil"/>
            </w:tcBorders>
            <w:shd w:val="clear" w:color="auto" w:fill="auto"/>
            <w:vAlign w:val="center"/>
            <w:hideMark/>
          </w:tcPr>
          <w:p w14:paraId="2E84695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103,869</w:t>
            </w:r>
          </w:p>
        </w:tc>
        <w:tc>
          <w:tcPr>
            <w:tcW w:w="900" w:type="dxa"/>
            <w:tcBorders>
              <w:top w:val="nil"/>
              <w:left w:val="single" w:sz="4" w:space="0" w:color="auto"/>
              <w:bottom w:val="nil"/>
              <w:right w:val="nil"/>
            </w:tcBorders>
            <w:shd w:val="clear" w:color="auto" w:fill="auto"/>
            <w:vAlign w:val="center"/>
            <w:hideMark/>
          </w:tcPr>
          <w:p w14:paraId="28C95C4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7,503</w:t>
            </w:r>
          </w:p>
        </w:tc>
        <w:tc>
          <w:tcPr>
            <w:tcW w:w="890" w:type="dxa"/>
            <w:tcBorders>
              <w:top w:val="nil"/>
              <w:left w:val="single" w:sz="4" w:space="0" w:color="auto"/>
              <w:bottom w:val="nil"/>
              <w:right w:val="single" w:sz="4" w:space="0" w:color="auto"/>
            </w:tcBorders>
            <w:shd w:val="clear" w:color="auto" w:fill="auto"/>
            <w:vAlign w:val="center"/>
            <w:hideMark/>
          </w:tcPr>
          <w:p w14:paraId="4FE5384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65,169</w:t>
            </w:r>
          </w:p>
        </w:tc>
        <w:tc>
          <w:tcPr>
            <w:tcW w:w="970" w:type="dxa"/>
            <w:tcBorders>
              <w:top w:val="nil"/>
              <w:left w:val="nil"/>
              <w:bottom w:val="nil"/>
              <w:right w:val="single" w:sz="4" w:space="0" w:color="auto"/>
            </w:tcBorders>
            <w:shd w:val="clear" w:color="auto" w:fill="auto"/>
            <w:vAlign w:val="center"/>
            <w:hideMark/>
          </w:tcPr>
          <w:p w14:paraId="27ACCFA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9,492,892</w:t>
            </w:r>
          </w:p>
        </w:tc>
        <w:tc>
          <w:tcPr>
            <w:tcW w:w="870" w:type="dxa"/>
            <w:tcBorders>
              <w:top w:val="nil"/>
              <w:left w:val="nil"/>
              <w:bottom w:val="nil"/>
              <w:right w:val="single" w:sz="4" w:space="0" w:color="auto"/>
            </w:tcBorders>
            <w:shd w:val="clear" w:color="auto" w:fill="auto"/>
            <w:vAlign w:val="center"/>
            <w:hideMark/>
          </w:tcPr>
          <w:p w14:paraId="2BA683D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2,879,150</w:t>
            </w:r>
          </w:p>
        </w:tc>
        <w:tc>
          <w:tcPr>
            <w:tcW w:w="870" w:type="dxa"/>
            <w:tcBorders>
              <w:top w:val="nil"/>
              <w:left w:val="nil"/>
              <w:bottom w:val="nil"/>
              <w:right w:val="nil"/>
            </w:tcBorders>
            <w:shd w:val="clear" w:color="auto" w:fill="auto"/>
            <w:vAlign w:val="center"/>
            <w:hideMark/>
          </w:tcPr>
          <w:p w14:paraId="2E1DCBD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4,021,920</w:t>
            </w:r>
          </w:p>
        </w:tc>
        <w:tc>
          <w:tcPr>
            <w:tcW w:w="860" w:type="dxa"/>
            <w:tcBorders>
              <w:top w:val="nil"/>
              <w:left w:val="single" w:sz="4" w:space="0" w:color="auto"/>
              <w:bottom w:val="nil"/>
              <w:right w:val="single" w:sz="4" w:space="0" w:color="auto"/>
            </w:tcBorders>
            <w:shd w:val="clear" w:color="auto" w:fill="auto"/>
            <w:vAlign w:val="center"/>
            <w:hideMark/>
          </w:tcPr>
          <w:p w14:paraId="4820E78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109AB843" w14:textId="77777777" w:rsidTr="00560A50">
        <w:trPr>
          <w:trHeight w:val="63"/>
        </w:trPr>
        <w:tc>
          <w:tcPr>
            <w:tcW w:w="2785" w:type="dxa"/>
            <w:tcBorders>
              <w:top w:val="nil"/>
              <w:left w:val="single" w:sz="4" w:space="0" w:color="auto"/>
              <w:bottom w:val="nil"/>
              <w:right w:val="nil"/>
            </w:tcBorders>
            <w:shd w:val="clear" w:color="000000" w:fill="B4C6E7"/>
            <w:vAlign w:val="center"/>
            <w:hideMark/>
          </w:tcPr>
          <w:p w14:paraId="3B67CB77"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BSE India Limited</w:t>
            </w:r>
          </w:p>
        </w:tc>
        <w:tc>
          <w:tcPr>
            <w:tcW w:w="990" w:type="dxa"/>
            <w:tcBorders>
              <w:top w:val="nil"/>
              <w:left w:val="single" w:sz="4" w:space="0" w:color="auto"/>
              <w:bottom w:val="nil"/>
              <w:right w:val="nil"/>
            </w:tcBorders>
            <w:shd w:val="clear" w:color="auto" w:fill="auto"/>
            <w:vAlign w:val="center"/>
            <w:hideMark/>
          </w:tcPr>
          <w:p w14:paraId="17F578B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00" w:type="dxa"/>
            <w:tcBorders>
              <w:top w:val="nil"/>
              <w:left w:val="single" w:sz="4" w:space="0" w:color="auto"/>
              <w:bottom w:val="nil"/>
              <w:right w:val="nil"/>
            </w:tcBorders>
            <w:shd w:val="clear" w:color="auto" w:fill="auto"/>
            <w:vAlign w:val="center"/>
            <w:hideMark/>
          </w:tcPr>
          <w:p w14:paraId="3F24A7D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90" w:type="dxa"/>
            <w:tcBorders>
              <w:top w:val="nil"/>
              <w:left w:val="single" w:sz="4" w:space="0" w:color="auto"/>
              <w:bottom w:val="nil"/>
              <w:right w:val="single" w:sz="4" w:space="0" w:color="auto"/>
            </w:tcBorders>
            <w:shd w:val="clear" w:color="auto" w:fill="auto"/>
            <w:vAlign w:val="center"/>
            <w:hideMark/>
          </w:tcPr>
          <w:p w14:paraId="7C47FF7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0" w:type="dxa"/>
            <w:tcBorders>
              <w:top w:val="nil"/>
              <w:left w:val="nil"/>
              <w:bottom w:val="nil"/>
              <w:right w:val="single" w:sz="4" w:space="0" w:color="auto"/>
            </w:tcBorders>
            <w:shd w:val="clear" w:color="auto" w:fill="auto"/>
            <w:vAlign w:val="center"/>
            <w:hideMark/>
          </w:tcPr>
          <w:p w14:paraId="7120EEB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565,212</w:t>
            </w:r>
          </w:p>
        </w:tc>
        <w:tc>
          <w:tcPr>
            <w:tcW w:w="870" w:type="dxa"/>
            <w:tcBorders>
              <w:top w:val="nil"/>
              <w:left w:val="nil"/>
              <w:bottom w:val="nil"/>
              <w:right w:val="single" w:sz="4" w:space="0" w:color="auto"/>
            </w:tcBorders>
            <w:shd w:val="clear" w:color="auto" w:fill="auto"/>
            <w:vAlign w:val="center"/>
            <w:hideMark/>
          </w:tcPr>
          <w:p w14:paraId="1773DFF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1,495</w:t>
            </w:r>
          </w:p>
        </w:tc>
        <w:tc>
          <w:tcPr>
            <w:tcW w:w="870" w:type="dxa"/>
            <w:tcBorders>
              <w:top w:val="nil"/>
              <w:left w:val="nil"/>
              <w:bottom w:val="nil"/>
              <w:right w:val="nil"/>
            </w:tcBorders>
            <w:shd w:val="clear" w:color="auto" w:fill="auto"/>
            <w:vAlign w:val="center"/>
            <w:hideMark/>
          </w:tcPr>
          <w:p w14:paraId="5362F03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10,025</w:t>
            </w:r>
          </w:p>
        </w:tc>
        <w:tc>
          <w:tcPr>
            <w:tcW w:w="860" w:type="dxa"/>
            <w:tcBorders>
              <w:top w:val="nil"/>
              <w:left w:val="single" w:sz="4" w:space="0" w:color="auto"/>
              <w:bottom w:val="nil"/>
              <w:right w:val="single" w:sz="4" w:space="0" w:color="auto"/>
            </w:tcBorders>
            <w:shd w:val="clear" w:color="auto" w:fill="auto"/>
            <w:vAlign w:val="center"/>
            <w:hideMark/>
          </w:tcPr>
          <w:p w14:paraId="15A5B19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w:t>
            </w:r>
          </w:p>
        </w:tc>
      </w:tr>
      <w:tr w:rsidR="009C313D" w:rsidRPr="00804371" w14:paraId="518AFCBB" w14:textId="77777777" w:rsidTr="00560A50">
        <w:trPr>
          <w:trHeight w:val="63"/>
        </w:trPr>
        <w:tc>
          <w:tcPr>
            <w:tcW w:w="2785" w:type="dxa"/>
            <w:tcBorders>
              <w:top w:val="nil"/>
              <w:left w:val="single" w:sz="4" w:space="0" w:color="auto"/>
              <w:bottom w:val="nil"/>
              <w:right w:val="nil"/>
            </w:tcBorders>
            <w:shd w:val="clear" w:color="000000" w:fill="B4C6E7"/>
            <w:vAlign w:val="center"/>
            <w:hideMark/>
          </w:tcPr>
          <w:p w14:paraId="1A9BA3FB"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Hong Kong Exchanges and Clearing</w:t>
            </w:r>
          </w:p>
        </w:tc>
        <w:tc>
          <w:tcPr>
            <w:tcW w:w="990" w:type="dxa"/>
            <w:tcBorders>
              <w:top w:val="nil"/>
              <w:left w:val="single" w:sz="4" w:space="0" w:color="auto"/>
              <w:bottom w:val="nil"/>
              <w:right w:val="nil"/>
            </w:tcBorders>
            <w:shd w:val="clear" w:color="auto" w:fill="auto"/>
            <w:vAlign w:val="center"/>
            <w:hideMark/>
          </w:tcPr>
          <w:p w14:paraId="5FEE8C2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00" w:type="dxa"/>
            <w:tcBorders>
              <w:top w:val="nil"/>
              <w:left w:val="single" w:sz="4" w:space="0" w:color="auto"/>
              <w:bottom w:val="nil"/>
              <w:right w:val="nil"/>
            </w:tcBorders>
            <w:shd w:val="clear" w:color="auto" w:fill="auto"/>
            <w:vAlign w:val="center"/>
            <w:hideMark/>
          </w:tcPr>
          <w:p w14:paraId="5D83A84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90" w:type="dxa"/>
            <w:tcBorders>
              <w:top w:val="nil"/>
              <w:left w:val="single" w:sz="4" w:space="0" w:color="auto"/>
              <w:bottom w:val="nil"/>
              <w:right w:val="single" w:sz="4" w:space="0" w:color="auto"/>
            </w:tcBorders>
            <w:shd w:val="clear" w:color="auto" w:fill="auto"/>
            <w:vAlign w:val="center"/>
            <w:hideMark/>
          </w:tcPr>
          <w:p w14:paraId="1EDCA70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0" w:type="dxa"/>
            <w:tcBorders>
              <w:top w:val="nil"/>
              <w:left w:val="nil"/>
              <w:bottom w:val="nil"/>
              <w:right w:val="single" w:sz="4" w:space="0" w:color="auto"/>
            </w:tcBorders>
            <w:shd w:val="clear" w:color="auto" w:fill="auto"/>
            <w:vAlign w:val="center"/>
            <w:hideMark/>
          </w:tcPr>
          <w:p w14:paraId="11FFB61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29</w:t>
            </w:r>
          </w:p>
        </w:tc>
        <w:tc>
          <w:tcPr>
            <w:tcW w:w="870" w:type="dxa"/>
            <w:tcBorders>
              <w:top w:val="nil"/>
              <w:left w:val="nil"/>
              <w:bottom w:val="nil"/>
              <w:right w:val="single" w:sz="4" w:space="0" w:color="auto"/>
            </w:tcBorders>
            <w:shd w:val="clear" w:color="auto" w:fill="auto"/>
            <w:vAlign w:val="center"/>
            <w:hideMark/>
          </w:tcPr>
          <w:p w14:paraId="19F888D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w:t>
            </w:r>
          </w:p>
        </w:tc>
        <w:tc>
          <w:tcPr>
            <w:tcW w:w="870" w:type="dxa"/>
            <w:tcBorders>
              <w:top w:val="nil"/>
              <w:left w:val="nil"/>
              <w:bottom w:val="nil"/>
              <w:right w:val="nil"/>
            </w:tcBorders>
            <w:shd w:val="clear" w:color="auto" w:fill="auto"/>
            <w:vAlign w:val="center"/>
            <w:hideMark/>
          </w:tcPr>
          <w:p w14:paraId="6EA556D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456</w:t>
            </w:r>
          </w:p>
        </w:tc>
        <w:tc>
          <w:tcPr>
            <w:tcW w:w="860" w:type="dxa"/>
            <w:tcBorders>
              <w:top w:val="nil"/>
              <w:left w:val="single" w:sz="4" w:space="0" w:color="auto"/>
              <w:bottom w:val="nil"/>
              <w:right w:val="single" w:sz="4" w:space="0" w:color="auto"/>
            </w:tcBorders>
            <w:shd w:val="clear" w:color="auto" w:fill="auto"/>
            <w:vAlign w:val="center"/>
            <w:hideMark/>
          </w:tcPr>
          <w:p w14:paraId="5801A10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7CA787F4" w14:textId="77777777" w:rsidTr="00560A50">
        <w:trPr>
          <w:trHeight w:val="255"/>
        </w:trPr>
        <w:tc>
          <w:tcPr>
            <w:tcW w:w="2785" w:type="dxa"/>
            <w:tcBorders>
              <w:top w:val="nil"/>
              <w:left w:val="single" w:sz="4" w:space="0" w:color="auto"/>
              <w:bottom w:val="nil"/>
              <w:right w:val="nil"/>
            </w:tcBorders>
            <w:shd w:val="clear" w:color="000000" w:fill="B4C6E7"/>
            <w:vAlign w:val="center"/>
            <w:hideMark/>
          </w:tcPr>
          <w:p w14:paraId="5C0E697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Japan Exchange Group</w:t>
            </w:r>
          </w:p>
        </w:tc>
        <w:tc>
          <w:tcPr>
            <w:tcW w:w="990" w:type="dxa"/>
            <w:tcBorders>
              <w:top w:val="nil"/>
              <w:left w:val="single" w:sz="4" w:space="0" w:color="auto"/>
              <w:bottom w:val="nil"/>
              <w:right w:val="nil"/>
            </w:tcBorders>
            <w:shd w:val="clear" w:color="auto" w:fill="auto"/>
            <w:vAlign w:val="center"/>
            <w:hideMark/>
          </w:tcPr>
          <w:p w14:paraId="2FF0409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80,887</w:t>
            </w:r>
          </w:p>
        </w:tc>
        <w:tc>
          <w:tcPr>
            <w:tcW w:w="900" w:type="dxa"/>
            <w:tcBorders>
              <w:top w:val="nil"/>
              <w:left w:val="single" w:sz="4" w:space="0" w:color="auto"/>
              <w:bottom w:val="nil"/>
              <w:right w:val="nil"/>
            </w:tcBorders>
            <w:shd w:val="clear" w:color="auto" w:fill="auto"/>
            <w:vAlign w:val="center"/>
            <w:hideMark/>
          </w:tcPr>
          <w:p w14:paraId="2EEB86B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90" w:type="dxa"/>
            <w:tcBorders>
              <w:top w:val="nil"/>
              <w:left w:val="single" w:sz="4" w:space="0" w:color="auto"/>
              <w:bottom w:val="nil"/>
              <w:right w:val="single" w:sz="4" w:space="0" w:color="auto"/>
            </w:tcBorders>
            <w:shd w:val="clear" w:color="auto" w:fill="auto"/>
            <w:vAlign w:val="center"/>
            <w:hideMark/>
          </w:tcPr>
          <w:p w14:paraId="1C9C502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12,333</w:t>
            </w:r>
          </w:p>
        </w:tc>
        <w:tc>
          <w:tcPr>
            <w:tcW w:w="970" w:type="dxa"/>
            <w:tcBorders>
              <w:top w:val="nil"/>
              <w:left w:val="nil"/>
              <w:bottom w:val="nil"/>
              <w:right w:val="single" w:sz="4" w:space="0" w:color="auto"/>
            </w:tcBorders>
            <w:shd w:val="clear" w:color="auto" w:fill="auto"/>
            <w:vAlign w:val="center"/>
            <w:hideMark/>
          </w:tcPr>
          <w:p w14:paraId="33BCE0E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897,112</w:t>
            </w:r>
          </w:p>
        </w:tc>
        <w:tc>
          <w:tcPr>
            <w:tcW w:w="870" w:type="dxa"/>
            <w:tcBorders>
              <w:top w:val="nil"/>
              <w:left w:val="nil"/>
              <w:bottom w:val="nil"/>
              <w:right w:val="single" w:sz="4" w:space="0" w:color="auto"/>
            </w:tcBorders>
            <w:shd w:val="clear" w:color="auto" w:fill="auto"/>
            <w:vAlign w:val="center"/>
            <w:hideMark/>
          </w:tcPr>
          <w:p w14:paraId="700D093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70" w:type="dxa"/>
            <w:tcBorders>
              <w:top w:val="nil"/>
              <w:left w:val="nil"/>
              <w:bottom w:val="nil"/>
              <w:right w:val="nil"/>
            </w:tcBorders>
            <w:shd w:val="clear" w:color="auto" w:fill="auto"/>
            <w:vAlign w:val="center"/>
            <w:hideMark/>
          </w:tcPr>
          <w:p w14:paraId="3F2729C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143,014</w:t>
            </w:r>
          </w:p>
        </w:tc>
        <w:tc>
          <w:tcPr>
            <w:tcW w:w="860" w:type="dxa"/>
            <w:tcBorders>
              <w:top w:val="nil"/>
              <w:left w:val="single" w:sz="4" w:space="0" w:color="auto"/>
              <w:bottom w:val="nil"/>
              <w:right w:val="single" w:sz="4" w:space="0" w:color="auto"/>
            </w:tcBorders>
            <w:shd w:val="clear" w:color="auto" w:fill="auto"/>
            <w:vAlign w:val="center"/>
            <w:hideMark/>
          </w:tcPr>
          <w:p w14:paraId="5C7B2E2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62ED21FB" w14:textId="77777777" w:rsidTr="00560A50">
        <w:trPr>
          <w:trHeight w:val="63"/>
        </w:trPr>
        <w:tc>
          <w:tcPr>
            <w:tcW w:w="2785" w:type="dxa"/>
            <w:tcBorders>
              <w:top w:val="nil"/>
              <w:left w:val="single" w:sz="4" w:space="0" w:color="auto"/>
              <w:bottom w:val="nil"/>
              <w:right w:val="nil"/>
            </w:tcBorders>
            <w:shd w:val="clear" w:color="000000" w:fill="B4C6E7"/>
            <w:vAlign w:val="center"/>
            <w:hideMark/>
          </w:tcPr>
          <w:p w14:paraId="42179566"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Korea Exchange</w:t>
            </w:r>
          </w:p>
        </w:tc>
        <w:tc>
          <w:tcPr>
            <w:tcW w:w="990" w:type="dxa"/>
            <w:tcBorders>
              <w:top w:val="nil"/>
              <w:left w:val="single" w:sz="4" w:space="0" w:color="auto"/>
              <w:bottom w:val="nil"/>
              <w:right w:val="nil"/>
            </w:tcBorders>
            <w:shd w:val="clear" w:color="auto" w:fill="auto"/>
            <w:vAlign w:val="center"/>
            <w:hideMark/>
          </w:tcPr>
          <w:p w14:paraId="1DCB4A5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00" w:type="dxa"/>
            <w:tcBorders>
              <w:top w:val="nil"/>
              <w:left w:val="single" w:sz="4" w:space="0" w:color="auto"/>
              <w:bottom w:val="nil"/>
              <w:right w:val="nil"/>
            </w:tcBorders>
            <w:shd w:val="clear" w:color="auto" w:fill="auto"/>
            <w:vAlign w:val="center"/>
            <w:hideMark/>
          </w:tcPr>
          <w:p w14:paraId="1AEFAEB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90" w:type="dxa"/>
            <w:tcBorders>
              <w:top w:val="nil"/>
              <w:left w:val="single" w:sz="4" w:space="0" w:color="auto"/>
              <w:bottom w:val="nil"/>
              <w:right w:val="single" w:sz="4" w:space="0" w:color="auto"/>
            </w:tcBorders>
            <w:shd w:val="clear" w:color="auto" w:fill="auto"/>
            <w:vAlign w:val="center"/>
            <w:hideMark/>
          </w:tcPr>
          <w:p w14:paraId="780F7F4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0" w:type="dxa"/>
            <w:tcBorders>
              <w:top w:val="nil"/>
              <w:left w:val="nil"/>
              <w:bottom w:val="nil"/>
              <w:right w:val="single" w:sz="4" w:space="0" w:color="auto"/>
            </w:tcBorders>
            <w:shd w:val="clear" w:color="auto" w:fill="auto"/>
            <w:vAlign w:val="center"/>
            <w:hideMark/>
          </w:tcPr>
          <w:p w14:paraId="0592688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3,070,266</w:t>
            </w:r>
          </w:p>
        </w:tc>
        <w:tc>
          <w:tcPr>
            <w:tcW w:w="870" w:type="dxa"/>
            <w:tcBorders>
              <w:top w:val="nil"/>
              <w:left w:val="nil"/>
              <w:bottom w:val="nil"/>
              <w:right w:val="single" w:sz="4" w:space="0" w:color="auto"/>
            </w:tcBorders>
            <w:shd w:val="clear" w:color="auto" w:fill="auto"/>
            <w:vAlign w:val="center"/>
            <w:hideMark/>
          </w:tcPr>
          <w:p w14:paraId="5CC0398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315,112</w:t>
            </w:r>
          </w:p>
        </w:tc>
        <w:tc>
          <w:tcPr>
            <w:tcW w:w="870" w:type="dxa"/>
            <w:tcBorders>
              <w:top w:val="nil"/>
              <w:left w:val="nil"/>
              <w:bottom w:val="nil"/>
              <w:right w:val="nil"/>
            </w:tcBorders>
            <w:shd w:val="clear" w:color="auto" w:fill="auto"/>
            <w:vAlign w:val="center"/>
            <w:hideMark/>
          </w:tcPr>
          <w:p w14:paraId="556C35B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467,949</w:t>
            </w:r>
          </w:p>
        </w:tc>
        <w:tc>
          <w:tcPr>
            <w:tcW w:w="860" w:type="dxa"/>
            <w:tcBorders>
              <w:top w:val="nil"/>
              <w:left w:val="single" w:sz="4" w:space="0" w:color="auto"/>
              <w:bottom w:val="nil"/>
              <w:right w:val="single" w:sz="4" w:space="0" w:color="auto"/>
            </w:tcBorders>
            <w:shd w:val="clear" w:color="auto" w:fill="auto"/>
            <w:vAlign w:val="center"/>
            <w:hideMark/>
          </w:tcPr>
          <w:p w14:paraId="33551AA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804371" w14:paraId="0B50CEC5" w14:textId="77777777" w:rsidTr="00560A50">
        <w:trPr>
          <w:trHeight w:val="63"/>
        </w:trPr>
        <w:tc>
          <w:tcPr>
            <w:tcW w:w="2785" w:type="dxa"/>
            <w:tcBorders>
              <w:top w:val="nil"/>
              <w:left w:val="single" w:sz="4" w:space="0" w:color="auto"/>
              <w:bottom w:val="nil"/>
              <w:right w:val="nil"/>
            </w:tcBorders>
            <w:shd w:val="clear" w:color="000000" w:fill="B4C6E7"/>
            <w:vAlign w:val="center"/>
            <w:hideMark/>
          </w:tcPr>
          <w:p w14:paraId="3E3D90CC"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National Stock Exchange of India</w:t>
            </w:r>
          </w:p>
        </w:tc>
        <w:tc>
          <w:tcPr>
            <w:tcW w:w="990" w:type="dxa"/>
            <w:tcBorders>
              <w:top w:val="nil"/>
              <w:left w:val="single" w:sz="4" w:space="0" w:color="auto"/>
              <w:bottom w:val="nil"/>
              <w:right w:val="nil"/>
            </w:tcBorders>
            <w:shd w:val="clear" w:color="auto" w:fill="auto"/>
            <w:vAlign w:val="center"/>
            <w:hideMark/>
          </w:tcPr>
          <w:p w14:paraId="5AE8AA3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00" w:type="dxa"/>
            <w:tcBorders>
              <w:top w:val="nil"/>
              <w:left w:val="single" w:sz="4" w:space="0" w:color="auto"/>
              <w:bottom w:val="nil"/>
              <w:right w:val="nil"/>
            </w:tcBorders>
            <w:shd w:val="clear" w:color="auto" w:fill="auto"/>
            <w:vAlign w:val="center"/>
            <w:hideMark/>
          </w:tcPr>
          <w:p w14:paraId="2AD5E99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90" w:type="dxa"/>
            <w:tcBorders>
              <w:top w:val="nil"/>
              <w:left w:val="single" w:sz="4" w:space="0" w:color="auto"/>
              <w:bottom w:val="nil"/>
              <w:right w:val="single" w:sz="4" w:space="0" w:color="auto"/>
            </w:tcBorders>
            <w:shd w:val="clear" w:color="auto" w:fill="auto"/>
            <w:vAlign w:val="center"/>
            <w:hideMark/>
          </w:tcPr>
          <w:p w14:paraId="6B6F7D9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0" w:type="dxa"/>
            <w:tcBorders>
              <w:top w:val="nil"/>
              <w:left w:val="nil"/>
              <w:bottom w:val="nil"/>
              <w:right w:val="single" w:sz="4" w:space="0" w:color="auto"/>
            </w:tcBorders>
            <w:shd w:val="clear" w:color="auto" w:fill="auto"/>
            <w:vAlign w:val="center"/>
            <w:hideMark/>
          </w:tcPr>
          <w:p w14:paraId="2F317F4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964,141</w:t>
            </w:r>
          </w:p>
        </w:tc>
        <w:tc>
          <w:tcPr>
            <w:tcW w:w="870" w:type="dxa"/>
            <w:tcBorders>
              <w:top w:val="nil"/>
              <w:left w:val="nil"/>
              <w:bottom w:val="nil"/>
              <w:right w:val="single" w:sz="4" w:space="0" w:color="auto"/>
            </w:tcBorders>
            <w:shd w:val="clear" w:color="auto" w:fill="auto"/>
            <w:vAlign w:val="center"/>
            <w:hideMark/>
          </w:tcPr>
          <w:p w14:paraId="18ED22B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2,601</w:t>
            </w:r>
          </w:p>
        </w:tc>
        <w:tc>
          <w:tcPr>
            <w:tcW w:w="870" w:type="dxa"/>
            <w:tcBorders>
              <w:top w:val="nil"/>
              <w:left w:val="nil"/>
              <w:bottom w:val="nil"/>
              <w:right w:val="nil"/>
            </w:tcBorders>
            <w:shd w:val="clear" w:color="auto" w:fill="auto"/>
            <w:vAlign w:val="center"/>
            <w:hideMark/>
          </w:tcPr>
          <w:p w14:paraId="5C59580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93,108</w:t>
            </w:r>
          </w:p>
        </w:tc>
        <w:tc>
          <w:tcPr>
            <w:tcW w:w="860" w:type="dxa"/>
            <w:tcBorders>
              <w:top w:val="nil"/>
              <w:left w:val="single" w:sz="4" w:space="0" w:color="auto"/>
              <w:bottom w:val="nil"/>
              <w:right w:val="single" w:sz="4" w:space="0" w:color="auto"/>
            </w:tcBorders>
            <w:shd w:val="clear" w:color="auto" w:fill="auto"/>
            <w:vAlign w:val="center"/>
            <w:hideMark/>
          </w:tcPr>
          <w:p w14:paraId="6A92584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w:t>
            </w:r>
          </w:p>
        </w:tc>
      </w:tr>
      <w:tr w:rsidR="009C313D" w:rsidRPr="00804371" w14:paraId="31CBDAD6" w14:textId="77777777" w:rsidTr="00560A50">
        <w:trPr>
          <w:trHeight w:val="63"/>
        </w:trPr>
        <w:tc>
          <w:tcPr>
            <w:tcW w:w="2785" w:type="dxa"/>
            <w:tcBorders>
              <w:top w:val="nil"/>
              <w:left w:val="single" w:sz="4" w:space="0" w:color="auto"/>
              <w:bottom w:val="nil"/>
              <w:right w:val="nil"/>
            </w:tcBorders>
            <w:shd w:val="clear" w:color="000000" w:fill="B4C6E7"/>
            <w:vAlign w:val="center"/>
            <w:hideMark/>
          </w:tcPr>
          <w:p w14:paraId="36191988"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Singapore Exchange</w:t>
            </w:r>
          </w:p>
        </w:tc>
        <w:tc>
          <w:tcPr>
            <w:tcW w:w="990" w:type="dxa"/>
            <w:tcBorders>
              <w:top w:val="nil"/>
              <w:left w:val="single" w:sz="4" w:space="0" w:color="auto"/>
              <w:bottom w:val="nil"/>
              <w:right w:val="nil"/>
            </w:tcBorders>
            <w:shd w:val="clear" w:color="auto" w:fill="auto"/>
            <w:vAlign w:val="center"/>
            <w:hideMark/>
          </w:tcPr>
          <w:p w14:paraId="7BF5588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00" w:type="dxa"/>
            <w:tcBorders>
              <w:top w:val="nil"/>
              <w:left w:val="single" w:sz="4" w:space="0" w:color="auto"/>
              <w:bottom w:val="nil"/>
              <w:right w:val="nil"/>
            </w:tcBorders>
            <w:shd w:val="clear" w:color="auto" w:fill="auto"/>
            <w:vAlign w:val="center"/>
            <w:hideMark/>
          </w:tcPr>
          <w:p w14:paraId="0E53643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90" w:type="dxa"/>
            <w:tcBorders>
              <w:top w:val="nil"/>
              <w:left w:val="single" w:sz="4" w:space="0" w:color="auto"/>
              <w:bottom w:val="nil"/>
              <w:right w:val="single" w:sz="4" w:space="0" w:color="auto"/>
            </w:tcBorders>
            <w:shd w:val="clear" w:color="auto" w:fill="auto"/>
            <w:vAlign w:val="center"/>
            <w:hideMark/>
          </w:tcPr>
          <w:p w14:paraId="3037FB4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0" w:type="dxa"/>
            <w:tcBorders>
              <w:top w:val="nil"/>
              <w:left w:val="nil"/>
              <w:bottom w:val="nil"/>
              <w:right w:val="single" w:sz="4" w:space="0" w:color="auto"/>
            </w:tcBorders>
            <w:shd w:val="clear" w:color="auto" w:fill="auto"/>
            <w:vAlign w:val="center"/>
            <w:hideMark/>
          </w:tcPr>
          <w:p w14:paraId="6EAFAB3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28,907</w:t>
            </w:r>
          </w:p>
        </w:tc>
        <w:tc>
          <w:tcPr>
            <w:tcW w:w="870" w:type="dxa"/>
            <w:tcBorders>
              <w:top w:val="nil"/>
              <w:left w:val="nil"/>
              <w:bottom w:val="nil"/>
              <w:right w:val="single" w:sz="4" w:space="0" w:color="auto"/>
            </w:tcBorders>
            <w:shd w:val="clear" w:color="auto" w:fill="auto"/>
            <w:vAlign w:val="center"/>
            <w:hideMark/>
          </w:tcPr>
          <w:p w14:paraId="6447F6F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70" w:type="dxa"/>
            <w:tcBorders>
              <w:top w:val="nil"/>
              <w:left w:val="nil"/>
              <w:bottom w:val="nil"/>
              <w:right w:val="nil"/>
            </w:tcBorders>
            <w:shd w:val="clear" w:color="auto" w:fill="auto"/>
            <w:vAlign w:val="center"/>
            <w:hideMark/>
          </w:tcPr>
          <w:p w14:paraId="37DAD63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22,591</w:t>
            </w:r>
          </w:p>
        </w:tc>
        <w:tc>
          <w:tcPr>
            <w:tcW w:w="860" w:type="dxa"/>
            <w:tcBorders>
              <w:top w:val="nil"/>
              <w:left w:val="single" w:sz="4" w:space="0" w:color="auto"/>
              <w:bottom w:val="nil"/>
              <w:right w:val="single" w:sz="4" w:space="0" w:color="auto"/>
            </w:tcBorders>
            <w:shd w:val="clear" w:color="auto" w:fill="auto"/>
            <w:vAlign w:val="center"/>
            <w:hideMark/>
          </w:tcPr>
          <w:p w14:paraId="615916C8" w14:textId="77777777" w:rsidR="009C313D" w:rsidRPr="00804371" w:rsidRDefault="009C313D" w:rsidP="00560A50">
            <w:pPr>
              <w:jc w:val="right"/>
              <w:rPr>
                <w:rFonts w:ascii="Garamond" w:eastAsia="Times New Roman" w:hAnsi="Garamond" w:cs="Calibri"/>
                <w:sz w:val="18"/>
                <w:szCs w:val="18"/>
                <w:lang w:eastAsia="en-GB"/>
              </w:rPr>
            </w:pPr>
          </w:p>
        </w:tc>
      </w:tr>
      <w:tr w:rsidR="009C313D" w:rsidRPr="00804371" w14:paraId="6DB48472" w14:textId="77777777" w:rsidTr="00560A50">
        <w:trPr>
          <w:trHeight w:val="53"/>
        </w:trPr>
        <w:tc>
          <w:tcPr>
            <w:tcW w:w="278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749717F5"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Total </w:t>
            </w:r>
            <w:r>
              <w:rPr>
                <w:rFonts w:ascii="Garamond" w:eastAsia="Times New Roman" w:hAnsi="Garamond" w:cs="Calibri"/>
                <w:b/>
                <w:bCs/>
                <w:sz w:val="18"/>
                <w:szCs w:val="18"/>
                <w:lang w:eastAsia="en-GB"/>
              </w:rPr>
              <w:t>R</w:t>
            </w:r>
            <w:r w:rsidRPr="00804371">
              <w:rPr>
                <w:rFonts w:ascii="Garamond" w:eastAsia="Times New Roman" w:hAnsi="Garamond" w:cs="Calibri"/>
                <w:b/>
                <w:bCs/>
                <w:sz w:val="18"/>
                <w:szCs w:val="18"/>
                <w:lang w:eastAsia="en-GB"/>
              </w:rPr>
              <w:t>egion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37F1880"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184,756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DDBC224" w14:textId="77777777" w:rsidR="009C313D" w:rsidRPr="00804371" w:rsidRDefault="009C313D" w:rsidP="00560A50">
            <w:pPr>
              <w:jc w:val="right"/>
              <w:rPr>
                <w:rFonts w:ascii="Garamond" w:eastAsia="Times New Roman" w:hAnsi="Garamond" w:cs="Calibri"/>
                <w:b/>
                <w:bCs/>
                <w:sz w:val="18"/>
                <w:szCs w:val="18"/>
                <w:lang w:eastAsia="en-GB"/>
              </w:rPr>
            </w:pPr>
          </w:p>
        </w:tc>
        <w:tc>
          <w:tcPr>
            <w:tcW w:w="890" w:type="dxa"/>
            <w:tcBorders>
              <w:top w:val="single" w:sz="4" w:space="0" w:color="auto"/>
              <w:left w:val="nil"/>
              <w:bottom w:val="single" w:sz="4" w:space="0" w:color="auto"/>
              <w:right w:val="single" w:sz="4" w:space="0" w:color="auto"/>
            </w:tcBorders>
            <w:shd w:val="clear" w:color="auto" w:fill="auto"/>
            <w:vAlign w:val="center"/>
            <w:hideMark/>
          </w:tcPr>
          <w:p w14:paraId="12B3982D" w14:textId="77777777" w:rsidR="009C313D" w:rsidRPr="00804371" w:rsidRDefault="009C313D" w:rsidP="00560A50">
            <w:pPr>
              <w:jc w:val="right"/>
              <w:rPr>
                <w:rFonts w:ascii="Garamond" w:eastAsia="Times New Roman" w:hAnsi="Garamond" w:cs="Calibri"/>
                <w:b/>
                <w:bCs/>
                <w:sz w:val="18"/>
                <w:szCs w:val="18"/>
                <w:lang w:eastAsia="en-GB"/>
              </w:rPr>
            </w:pP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0EE1B990"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15,018,559</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4987A2B" w14:textId="77777777" w:rsidR="009C313D" w:rsidRPr="00804371" w:rsidRDefault="009C313D" w:rsidP="00560A50">
            <w:pPr>
              <w:jc w:val="right"/>
              <w:rPr>
                <w:rFonts w:ascii="Garamond" w:eastAsia="Times New Roman" w:hAnsi="Garamond" w:cs="Calibri"/>
                <w:b/>
                <w:bCs/>
                <w:sz w:val="18"/>
                <w:szCs w:val="18"/>
                <w:lang w:eastAsia="en-GB"/>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68938794" w14:textId="77777777" w:rsidR="009C313D" w:rsidRPr="00804371" w:rsidRDefault="009C313D" w:rsidP="00560A50">
            <w:pPr>
              <w:jc w:val="right"/>
              <w:rPr>
                <w:rFonts w:ascii="Garamond" w:eastAsia="Times New Roman" w:hAnsi="Garamond" w:cs="Calibri"/>
                <w:b/>
                <w:bCs/>
                <w:sz w:val="18"/>
                <w:szCs w:val="18"/>
                <w:lang w:eastAsia="en-GB"/>
              </w:rPr>
            </w:pP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EC52F4C" w14:textId="77777777" w:rsidR="009C313D" w:rsidRPr="00804371" w:rsidRDefault="009C313D" w:rsidP="00560A50">
            <w:pPr>
              <w:jc w:val="right"/>
              <w:rPr>
                <w:rFonts w:ascii="Garamond" w:eastAsia="Times New Roman" w:hAnsi="Garamond" w:cs="Calibri"/>
                <w:b/>
                <w:bCs/>
                <w:sz w:val="18"/>
                <w:szCs w:val="18"/>
                <w:lang w:eastAsia="en-GB"/>
              </w:rPr>
            </w:pPr>
          </w:p>
        </w:tc>
      </w:tr>
      <w:tr w:rsidR="009C313D" w:rsidRPr="00804371" w14:paraId="4F7F8E3B" w14:textId="77777777" w:rsidTr="00560A50">
        <w:trPr>
          <w:trHeight w:val="53"/>
        </w:trPr>
        <w:tc>
          <w:tcPr>
            <w:tcW w:w="9135"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414A03C6"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Europe - Africa - Middle East</w:t>
            </w:r>
          </w:p>
        </w:tc>
      </w:tr>
      <w:tr w:rsidR="009C313D" w:rsidRPr="00804371" w14:paraId="403DA4CB" w14:textId="77777777" w:rsidTr="00560A50">
        <w:trPr>
          <w:trHeight w:val="53"/>
        </w:trPr>
        <w:tc>
          <w:tcPr>
            <w:tcW w:w="2785" w:type="dxa"/>
            <w:tcBorders>
              <w:top w:val="nil"/>
              <w:left w:val="single" w:sz="4" w:space="0" w:color="auto"/>
              <w:bottom w:val="nil"/>
              <w:right w:val="nil"/>
            </w:tcBorders>
            <w:shd w:val="clear" w:color="000000" w:fill="B4C6E7"/>
            <w:vAlign w:val="center"/>
            <w:hideMark/>
          </w:tcPr>
          <w:p w14:paraId="6B805C5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EUREX</w:t>
            </w:r>
          </w:p>
        </w:tc>
        <w:tc>
          <w:tcPr>
            <w:tcW w:w="990" w:type="dxa"/>
            <w:tcBorders>
              <w:top w:val="nil"/>
              <w:left w:val="single" w:sz="4" w:space="0" w:color="auto"/>
              <w:bottom w:val="nil"/>
              <w:right w:val="nil"/>
            </w:tcBorders>
            <w:shd w:val="clear" w:color="auto" w:fill="auto"/>
            <w:vAlign w:val="center"/>
            <w:hideMark/>
          </w:tcPr>
          <w:p w14:paraId="3662D5C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c>
          <w:tcPr>
            <w:tcW w:w="900" w:type="dxa"/>
            <w:tcBorders>
              <w:top w:val="nil"/>
              <w:left w:val="single" w:sz="4" w:space="0" w:color="auto"/>
              <w:bottom w:val="nil"/>
              <w:right w:val="single" w:sz="4" w:space="0" w:color="auto"/>
            </w:tcBorders>
            <w:shd w:val="clear" w:color="auto" w:fill="auto"/>
            <w:vAlign w:val="center"/>
            <w:hideMark/>
          </w:tcPr>
          <w:p w14:paraId="08AF6C3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7,218,370</w:t>
            </w:r>
          </w:p>
        </w:tc>
        <w:tc>
          <w:tcPr>
            <w:tcW w:w="890" w:type="dxa"/>
            <w:tcBorders>
              <w:top w:val="nil"/>
              <w:left w:val="nil"/>
              <w:bottom w:val="nil"/>
              <w:right w:val="single" w:sz="4" w:space="0" w:color="auto"/>
            </w:tcBorders>
            <w:shd w:val="clear" w:color="auto" w:fill="auto"/>
            <w:vAlign w:val="center"/>
            <w:hideMark/>
          </w:tcPr>
          <w:p w14:paraId="4CD638D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875,715</w:t>
            </w:r>
          </w:p>
        </w:tc>
        <w:tc>
          <w:tcPr>
            <w:tcW w:w="970" w:type="dxa"/>
            <w:tcBorders>
              <w:top w:val="nil"/>
              <w:left w:val="nil"/>
              <w:bottom w:val="nil"/>
              <w:right w:val="nil"/>
            </w:tcBorders>
            <w:shd w:val="clear" w:color="auto" w:fill="auto"/>
            <w:vAlign w:val="center"/>
            <w:hideMark/>
          </w:tcPr>
          <w:p w14:paraId="514E796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2,612,628</w:t>
            </w:r>
          </w:p>
        </w:tc>
        <w:tc>
          <w:tcPr>
            <w:tcW w:w="870" w:type="dxa"/>
            <w:tcBorders>
              <w:top w:val="nil"/>
              <w:left w:val="single" w:sz="4" w:space="0" w:color="auto"/>
              <w:bottom w:val="nil"/>
              <w:right w:val="nil"/>
            </w:tcBorders>
            <w:shd w:val="clear" w:color="auto" w:fill="auto"/>
            <w:vAlign w:val="center"/>
            <w:hideMark/>
          </w:tcPr>
          <w:p w14:paraId="4A9519B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47,081,100</w:t>
            </w:r>
          </w:p>
        </w:tc>
        <w:tc>
          <w:tcPr>
            <w:tcW w:w="870" w:type="dxa"/>
            <w:tcBorders>
              <w:top w:val="nil"/>
              <w:left w:val="single" w:sz="4" w:space="0" w:color="auto"/>
              <w:bottom w:val="nil"/>
              <w:right w:val="single" w:sz="4" w:space="0" w:color="auto"/>
            </w:tcBorders>
            <w:shd w:val="clear" w:color="auto" w:fill="auto"/>
            <w:vAlign w:val="center"/>
            <w:hideMark/>
          </w:tcPr>
          <w:p w14:paraId="5508A0D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5,658,090</w:t>
            </w:r>
          </w:p>
        </w:tc>
        <w:tc>
          <w:tcPr>
            <w:tcW w:w="860" w:type="dxa"/>
            <w:tcBorders>
              <w:top w:val="nil"/>
              <w:left w:val="nil"/>
              <w:bottom w:val="nil"/>
              <w:right w:val="single" w:sz="4" w:space="0" w:color="auto"/>
            </w:tcBorders>
            <w:shd w:val="clear" w:color="auto" w:fill="auto"/>
            <w:vAlign w:val="center"/>
            <w:hideMark/>
          </w:tcPr>
          <w:p w14:paraId="470FB27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0</w:t>
            </w:r>
          </w:p>
        </w:tc>
      </w:tr>
      <w:tr w:rsidR="009C313D" w:rsidRPr="00804371" w14:paraId="30FA825F" w14:textId="77777777" w:rsidTr="00560A50">
        <w:trPr>
          <w:trHeight w:val="63"/>
        </w:trPr>
        <w:tc>
          <w:tcPr>
            <w:tcW w:w="2785" w:type="dxa"/>
            <w:tcBorders>
              <w:top w:val="nil"/>
              <w:left w:val="single" w:sz="4" w:space="0" w:color="auto"/>
              <w:bottom w:val="nil"/>
              <w:right w:val="nil"/>
            </w:tcBorders>
            <w:shd w:val="clear" w:color="000000" w:fill="B4C6E7"/>
            <w:vAlign w:val="center"/>
            <w:hideMark/>
          </w:tcPr>
          <w:p w14:paraId="17E7D05F"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Euronext</w:t>
            </w:r>
          </w:p>
        </w:tc>
        <w:tc>
          <w:tcPr>
            <w:tcW w:w="990" w:type="dxa"/>
            <w:tcBorders>
              <w:top w:val="nil"/>
              <w:left w:val="single" w:sz="4" w:space="0" w:color="auto"/>
              <w:bottom w:val="nil"/>
              <w:right w:val="nil"/>
            </w:tcBorders>
            <w:shd w:val="clear" w:color="auto" w:fill="auto"/>
            <w:vAlign w:val="center"/>
            <w:hideMark/>
          </w:tcPr>
          <w:p w14:paraId="3331911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00" w:type="dxa"/>
            <w:tcBorders>
              <w:top w:val="nil"/>
              <w:left w:val="single" w:sz="4" w:space="0" w:color="auto"/>
              <w:bottom w:val="nil"/>
              <w:right w:val="nil"/>
            </w:tcBorders>
            <w:shd w:val="clear" w:color="auto" w:fill="auto"/>
            <w:vAlign w:val="center"/>
            <w:hideMark/>
          </w:tcPr>
          <w:p w14:paraId="0F97411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90" w:type="dxa"/>
            <w:tcBorders>
              <w:top w:val="nil"/>
              <w:left w:val="single" w:sz="4" w:space="0" w:color="auto"/>
              <w:bottom w:val="nil"/>
              <w:right w:val="single" w:sz="4" w:space="0" w:color="auto"/>
            </w:tcBorders>
            <w:shd w:val="clear" w:color="auto" w:fill="auto"/>
            <w:vAlign w:val="center"/>
            <w:hideMark/>
          </w:tcPr>
          <w:p w14:paraId="38A9229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70" w:type="dxa"/>
            <w:tcBorders>
              <w:top w:val="nil"/>
              <w:left w:val="nil"/>
              <w:bottom w:val="nil"/>
              <w:right w:val="single" w:sz="4" w:space="0" w:color="auto"/>
            </w:tcBorders>
            <w:shd w:val="clear" w:color="auto" w:fill="auto"/>
            <w:vAlign w:val="center"/>
            <w:hideMark/>
          </w:tcPr>
          <w:p w14:paraId="4BA0D1C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70" w:type="dxa"/>
            <w:tcBorders>
              <w:top w:val="nil"/>
              <w:left w:val="nil"/>
              <w:bottom w:val="nil"/>
              <w:right w:val="single" w:sz="4" w:space="0" w:color="auto"/>
            </w:tcBorders>
            <w:shd w:val="clear" w:color="auto" w:fill="auto"/>
            <w:vAlign w:val="center"/>
            <w:hideMark/>
          </w:tcPr>
          <w:p w14:paraId="739C676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70" w:type="dxa"/>
            <w:tcBorders>
              <w:top w:val="nil"/>
              <w:left w:val="nil"/>
              <w:bottom w:val="nil"/>
              <w:right w:val="nil"/>
            </w:tcBorders>
            <w:shd w:val="clear" w:color="auto" w:fill="auto"/>
            <w:vAlign w:val="center"/>
            <w:hideMark/>
          </w:tcPr>
          <w:p w14:paraId="5236D4E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60" w:type="dxa"/>
            <w:tcBorders>
              <w:top w:val="nil"/>
              <w:left w:val="single" w:sz="4" w:space="0" w:color="auto"/>
              <w:bottom w:val="nil"/>
              <w:right w:val="single" w:sz="4" w:space="0" w:color="auto"/>
            </w:tcBorders>
            <w:shd w:val="clear" w:color="auto" w:fill="auto"/>
            <w:vAlign w:val="center"/>
            <w:hideMark/>
          </w:tcPr>
          <w:p w14:paraId="1C923B5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18E23221" w14:textId="77777777" w:rsidTr="00560A50">
        <w:trPr>
          <w:trHeight w:val="63"/>
        </w:trPr>
        <w:tc>
          <w:tcPr>
            <w:tcW w:w="2785" w:type="dxa"/>
            <w:tcBorders>
              <w:top w:val="nil"/>
              <w:left w:val="single" w:sz="4" w:space="0" w:color="auto"/>
              <w:bottom w:val="nil"/>
              <w:right w:val="nil"/>
            </w:tcBorders>
            <w:shd w:val="clear" w:color="000000" w:fill="B4C6E7"/>
            <w:vAlign w:val="center"/>
            <w:hideMark/>
          </w:tcPr>
          <w:p w14:paraId="1568383A"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Johannesburg Stock Exchange</w:t>
            </w:r>
          </w:p>
        </w:tc>
        <w:tc>
          <w:tcPr>
            <w:tcW w:w="990" w:type="dxa"/>
            <w:tcBorders>
              <w:top w:val="nil"/>
              <w:left w:val="single" w:sz="4" w:space="0" w:color="auto"/>
              <w:bottom w:val="nil"/>
              <w:right w:val="nil"/>
            </w:tcBorders>
            <w:shd w:val="clear" w:color="auto" w:fill="auto"/>
            <w:vAlign w:val="center"/>
            <w:hideMark/>
          </w:tcPr>
          <w:p w14:paraId="5A41C80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17,260</w:t>
            </w:r>
          </w:p>
        </w:tc>
        <w:tc>
          <w:tcPr>
            <w:tcW w:w="900" w:type="dxa"/>
            <w:tcBorders>
              <w:top w:val="nil"/>
              <w:left w:val="single" w:sz="4" w:space="0" w:color="auto"/>
              <w:bottom w:val="nil"/>
              <w:right w:val="nil"/>
            </w:tcBorders>
            <w:shd w:val="clear" w:color="auto" w:fill="auto"/>
            <w:vAlign w:val="center"/>
            <w:hideMark/>
          </w:tcPr>
          <w:p w14:paraId="28A2E4B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95</w:t>
            </w:r>
          </w:p>
        </w:tc>
        <w:tc>
          <w:tcPr>
            <w:tcW w:w="890" w:type="dxa"/>
            <w:tcBorders>
              <w:top w:val="nil"/>
              <w:left w:val="single" w:sz="4" w:space="0" w:color="auto"/>
              <w:bottom w:val="nil"/>
              <w:right w:val="single" w:sz="4" w:space="0" w:color="auto"/>
            </w:tcBorders>
            <w:shd w:val="clear" w:color="auto" w:fill="auto"/>
            <w:vAlign w:val="center"/>
            <w:hideMark/>
          </w:tcPr>
          <w:p w14:paraId="0C2E3C1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61,660</w:t>
            </w:r>
          </w:p>
        </w:tc>
        <w:tc>
          <w:tcPr>
            <w:tcW w:w="970" w:type="dxa"/>
            <w:tcBorders>
              <w:top w:val="nil"/>
              <w:left w:val="nil"/>
              <w:bottom w:val="nil"/>
              <w:right w:val="single" w:sz="4" w:space="0" w:color="auto"/>
            </w:tcBorders>
            <w:shd w:val="clear" w:color="auto" w:fill="auto"/>
            <w:vAlign w:val="center"/>
            <w:hideMark/>
          </w:tcPr>
          <w:p w14:paraId="64C3395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707,022</w:t>
            </w:r>
          </w:p>
        </w:tc>
        <w:tc>
          <w:tcPr>
            <w:tcW w:w="870" w:type="dxa"/>
            <w:tcBorders>
              <w:top w:val="nil"/>
              <w:left w:val="nil"/>
              <w:bottom w:val="nil"/>
              <w:right w:val="single" w:sz="4" w:space="0" w:color="auto"/>
            </w:tcBorders>
            <w:shd w:val="clear" w:color="auto" w:fill="auto"/>
            <w:vAlign w:val="center"/>
            <w:hideMark/>
          </w:tcPr>
          <w:p w14:paraId="307C487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4,774</w:t>
            </w:r>
          </w:p>
        </w:tc>
        <w:tc>
          <w:tcPr>
            <w:tcW w:w="870" w:type="dxa"/>
            <w:tcBorders>
              <w:top w:val="nil"/>
              <w:left w:val="nil"/>
              <w:bottom w:val="nil"/>
              <w:right w:val="nil"/>
            </w:tcBorders>
            <w:shd w:val="clear" w:color="auto" w:fill="auto"/>
            <w:vAlign w:val="center"/>
            <w:hideMark/>
          </w:tcPr>
          <w:p w14:paraId="2AF44F4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836,037</w:t>
            </w:r>
          </w:p>
        </w:tc>
        <w:tc>
          <w:tcPr>
            <w:tcW w:w="860" w:type="dxa"/>
            <w:tcBorders>
              <w:top w:val="nil"/>
              <w:left w:val="single" w:sz="4" w:space="0" w:color="auto"/>
              <w:bottom w:val="nil"/>
              <w:right w:val="single" w:sz="4" w:space="0" w:color="auto"/>
            </w:tcBorders>
            <w:shd w:val="clear" w:color="auto" w:fill="auto"/>
            <w:vAlign w:val="center"/>
            <w:hideMark/>
          </w:tcPr>
          <w:p w14:paraId="7993098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804371" w14:paraId="11FB71DD" w14:textId="77777777" w:rsidTr="00560A50">
        <w:trPr>
          <w:trHeight w:val="63"/>
        </w:trPr>
        <w:tc>
          <w:tcPr>
            <w:tcW w:w="2785" w:type="dxa"/>
            <w:tcBorders>
              <w:top w:val="nil"/>
              <w:left w:val="single" w:sz="4" w:space="0" w:color="auto"/>
              <w:bottom w:val="nil"/>
              <w:right w:val="nil"/>
            </w:tcBorders>
            <w:shd w:val="clear" w:color="000000" w:fill="B4C6E7"/>
            <w:vAlign w:val="center"/>
            <w:hideMark/>
          </w:tcPr>
          <w:p w14:paraId="38A9CF9D"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Nasdaq Nordic Exchanges</w:t>
            </w:r>
          </w:p>
        </w:tc>
        <w:tc>
          <w:tcPr>
            <w:tcW w:w="990" w:type="dxa"/>
            <w:tcBorders>
              <w:top w:val="nil"/>
              <w:left w:val="single" w:sz="4" w:space="0" w:color="auto"/>
              <w:bottom w:val="nil"/>
              <w:right w:val="nil"/>
            </w:tcBorders>
            <w:shd w:val="clear" w:color="auto" w:fill="auto"/>
            <w:vAlign w:val="center"/>
            <w:hideMark/>
          </w:tcPr>
          <w:p w14:paraId="658E99A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742,317</w:t>
            </w:r>
          </w:p>
        </w:tc>
        <w:tc>
          <w:tcPr>
            <w:tcW w:w="900" w:type="dxa"/>
            <w:tcBorders>
              <w:top w:val="nil"/>
              <w:left w:val="single" w:sz="4" w:space="0" w:color="auto"/>
              <w:bottom w:val="nil"/>
              <w:right w:val="nil"/>
            </w:tcBorders>
            <w:shd w:val="clear" w:color="auto" w:fill="auto"/>
            <w:vAlign w:val="center"/>
            <w:hideMark/>
          </w:tcPr>
          <w:p w14:paraId="2AA9201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81,240</w:t>
            </w:r>
          </w:p>
        </w:tc>
        <w:tc>
          <w:tcPr>
            <w:tcW w:w="890" w:type="dxa"/>
            <w:tcBorders>
              <w:top w:val="nil"/>
              <w:left w:val="single" w:sz="4" w:space="0" w:color="auto"/>
              <w:bottom w:val="nil"/>
              <w:right w:val="single" w:sz="4" w:space="0" w:color="auto"/>
            </w:tcBorders>
            <w:shd w:val="clear" w:color="auto" w:fill="auto"/>
            <w:vAlign w:val="center"/>
            <w:hideMark/>
          </w:tcPr>
          <w:p w14:paraId="3540E15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70" w:type="dxa"/>
            <w:tcBorders>
              <w:top w:val="nil"/>
              <w:left w:val="nil"/>
              <w:bottom w:val="nil"/>
              <w:right w:val="single" w:sz="4" w:space="0" w:color="auto"/>
            </w:tcBorders>
            <w:shd w:val="clear" w:color="auto" w:fill="auto"/>
            <w:vAlign w:val="center"/>
            <w:hideMark/>
          </w:tcPr>
          <w:p w14:paraId="15113E9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845,622</w:t>
            </w:r>
          </w:p>
        </w:tc>
        <w:tc>
          <w:tcPr>
            <w:tcW w:w="870" w:type="dxa"/>
            <w:tcBorders>
              <w:top w:val="nil"/>
              <w:left w:val="nil"/>
              <w:bottom w:val="nil"/>
              <w:right w:val="single" w:sz="4" w:space="0" w:color="auto"/>
            </w:tcBorders>
            <w:shd w:val="clear" w:color="auto" w:fill="auto"/>
            <w:vAlign w:val="center"/>
            <w:hideMark/>
          </w:tcPr>
          <w:p w14:paraId="519AEFF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92,546</w:t>
            </w:r>
          </w:p>
        </w:tc>
        <w:tc>
          <w:tcPr>
            <w:tcW w:w="870" w:type="dxa"/>
            <w:tcBorders>
              <w:top w:val="nil"/>
              <w:left w:val="nil"/>
              <w:bottom w:val="nil"/>
              <w:right w:val="nil"/>
            </w:tcBorders>
            <w:shd w:val="clear" w:color="auto" w:fill="auto"/>
            <w:vAlign w:val="center"/>
            <w:hideMark/>
          </w:tcPr>
          <w:p w14:paraId="3FF57B2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2,024,360</w:t>
            </w:r>
          </w:p>
        </w:tc>
        <w:tc>
          <w:tcPr>
            <w:tcW w:w="860" w:type="dxa"/>
            <w:tcBorders>
              <w:top w:val="nil"/>
              <w:left w:val="single" w:sz="4" w:space="0" w:color="auto"/>
              <w:bottom w:val="nil"/>
              <w:right w:val="single" w:sz="4" w:space="0" w:color="auto"/>
            </w:tcBorders>
            <w:shd w:val="clear" w:color="auto" w:fill="auto"/>
            <w:vAlign w:val="center"/>
            <w:hideMark/>
          </w:tcPr>
          <w:p w14:paraId="4783450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804371" w14:paraId="6CD1B8A6" w14:textId="77777777" w:rsidTr="00560A50">
        <w:trPr>
          <w:trHeight w:val="255"/>
        </w:trPr>
        <w:tc>
          <w:tcPr>
            <w:tcW w:w="2785" w:type="dxa"/>
            <w:tcBorders>
              <w:top w:val="nil"/>
              <w:left w:val="single" w:sz="4" w:space="0" w:color="auto"/>
              <w:bottom w:val="nil"/>
              <w:right w:val="nil"/>
            </w:tcBorders>
            <w:shd w:val="clear" w:color="000000" w:fill="B4C6E7"/>
            <w:vAlign w:val="center"/>
            <w:hideMark/>
          </w:tcPr>
          <w:p w14:paraId="764BE2BB"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Warsaw Stock Exchange</w:t>
            </w:r>
          </w:p>
        </w:tc>
        <w:tc>
          <w:tcPr>
            <w:tcW w:w="990" w:type="dxa"/>
            <w:tcBorders>
              <w:top w:val="nil"/>
              <w:left w:val="single" w:sz="4" w:space="0" w:color="auto"/>
              <w:bottom w:val="single" w:sz="4" w:space="0" w:color="auto"/>
              <w:right w:val="nil"/>
            </w:tcBorders>
            <w:shd w:val="clear" w:color="auto" w:fill="auto"/>
            <w:vAlign w:val="center"/>
            <w:hideMark/>
          </w:tcPr>
          <w:p w14:paraId="584609A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00" w:type="dxa"/>
            <w:tcBorders>
              <w:top w:val="nil"/>
              <w:left w:val="single" w:sz="4" w:space="0" w:color="auto"/>
              <w:bottom w:val="single" w:sz="4" w:space="0" w:color="auto"/>
              <w:right w:val="nil"/>
            </w:tcBorders>
            <w:shd w:val="clear" w:color="auto" w:fill="auto"/>
            <w:vAlign w:val="center"/>
            <w:hideMark/>
          </w:tcPr>
          <w:p w14:paraId="11ED574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90" w:type="dxa"/>
            <w:tcBorders>
              <w:top w:val="nil"/>
              <w:left w:val="single" w:sz="4" w:space="0" w:color="auto"/>
              <w:bottom w:val="single" w:sz="4" w:space="0" w:color="auto"/>
              <w:right w:val="single" w:sz="4" w:space="0" w:color="auto"/>
            </w:tcBorders>
            <w:shd w:val="clear" w:color="auto" w:fill="auto"/>
            <w:vAlign w:val="center"/>
            <w:hideMark/>
          </w:tcPr>
          <w:p w14:paraId="5939680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w:t>
            </w:r>
          </w:p>
        </w:tc>
        <w:tc>
          <w:tcPr>
            <w:tcW w:w="970" w:type="dxa"/>
            <w:tcBorders>
              <w:top w:val="nil"/>
              <w:left w:val="nil"/>
              <w:bottom w:val="single" w:sz="4" w:space="0" w:color="auto"/>
              <w:right w:val="single" w:sz="4" w:space="0" w:color="auto"/>
            </w:tcBorders>
            <w:shd w:val="clear" w:color="auto" w:fill="auto"/>
            <w:vAlign w:val="center"/>
            <w:hideMark/>
          </w:tcPr>
          <w:p w14:paraId="0A58A15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70" w:type="dxa"/>
            <w:tcBorders>
              <w:top w:val="nil"/>
              <w:left w:val="nil"/>
              <w:bottom w:val="single" w:sz="4" w:space="0" w:color="auto"/>
              <w:right w:val="single" w:sz="4" w:space="0" w:color="auto"/>
            </w:tcBorders>
            <w:shd w:val="clear" w:color="auto" w:fill="auto"/>
            <w:vAlign w:val="center"/>
            <w:hideMark/>
          </w:tcPr>
          <w:p w14:paraId="05328DC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70" w:type="dxa"/>
            <w:tcBorders>
              <w:top w:val="nil"/>
              <w:left w:val="nil"/>
              <w:bottom w:val="nil"/>
              <w:right w:val="nil"/>
            </w:tcBorders>
            <w:shd w:val="clear" w:color="auto" w:fill="auto"/>
            <w:vAlign w:val="center"/>
            <w:hideMark/>
          </w:tcPr>
          <w:p w14:paraId="7F75D8D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101</w:t>
            </w:r>
          </w:p>
        </w:tc>
        <w:tc>
          <w:tcPr>
            <w:tcW w:w="860" w:type="dxa"/>
            <w:tcBorders>
              <w:top w:val="nil"/>
              <w:left w:val="single" w:sz="4" w:space="0" w:color="auto"/>
              <w:bottom w:val="single" w:sz="4" w:space="0" w:color="auto"/>
              <w:right w:val="single" w:sz="4" w:space="0" w:color="auto"/>
            </w:tcBorders>
            <w:shd w:val="clear" w:color="auto" w:fill="auto"/>
            <w:vAlign w:val="center"/>
            <w:hideMark/>
          </w:tcPr>
          <w:p w14:paraId="670CB03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804371" w14:paraId="115F0967" w14:textId="77777777" w:rsidTr="00560A50">
        <w:trPr>
          <w:trHeight w:val="53"/>
        </w:trPr>
        <w:tc>
          <w:tcPr>
            <w:tcW w:w="2785"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44A5A3C0"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Total </w:t>
            </w:r>
            <w:r>
              <w:rPr>
                <w:rFonts w:ascii="Garamond" w:eastAsia="Times New Roman" w:hAnsi="Garamond" w:cs="Calibri"/>
                <w:b/>
                <w:bCs/>
                <w:sz w:val="18"/>
                <w:szCs w:val="18"/>
                <w:lang w:eastAsia="en-GB"/>
              </w:rPr>
              <w:t>R</w:t>
            </w:r>
            <w:r w:rsidRPr="00804371">
              <w:rPr>
                <w:rFonts w:ascii="Garamond" w:eastAsia="Times New Roman" w:hAnsi="Garamond" w:cs="Calibri"/>
                <w:b/>
                <w:bCs/>
                <w:sz w:val="18"/>
                <w:szCs w:val="18"/>
                <w:lang w:eastAsia="en-GB"/>
              </w:rPr>
              <w:t>egion</w:t>
            </w:r>
          </w:p>
        </w:tc>
        <w:tc>
          <w:tcPr>
            <w:tcW w:w="990" w:type="dxa"/>
            <w:tcBorders>
              <w:top w:val="nil"/>
              <w:left w:val="nil"/>
              <w:bottom w:val="single" w:sz="4" w:space="0" w:color="auto"/>
              <w:right w:val="single" w:sz="4" w:space="0" w:color="auto"/>
            </w:tcBorders>
            <w:shd w:val="clear" w:color="auto" w:fill="auto"/>
            <w:vAlign w:val="center"/>
            <w:hideMark/>
          </w:tcPr>
          <w:p w14:paraId="2187E8E0"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759,600</w:t>
            </w:r>
          </w:p>
        </w:tc>
        <w:tc>
          <w:tcPr>
            <w:tcW w:w="900" w:type="dxa"/>
            <w:tcBorders>
              <w:top w:val="nil"/>
              <w:left w:val="nil"/>
              <w:bottom w:val="single" w:sz="4" w:space="0" w:color="auto"/>
              <w:right w:val="single" w:sz="4" w:space="0" w:color="auto"/>
            </w:tcBorders>
            <w:shd w:val="clear" w:color="auto" w:fill="auto"/>
            <w:vAlign w:val="center"/>
            <w:hideMark/>
          </w:tcPr>
          <w:p w14:paraId="75FD90F8" w14:textId="77777777" w:rsidR="009C313D" w:rsidRPr="00804371" w:rsidRDefault="009C313D" w:rsidP="00560A50">
            <w:pPr>
              <w:jc w:val="right"/>
              <w:rPr>
                <w:rFonts w:ascii="Garamond" w:eastAsia="Times New Roman" w:hAnsi="Garamond" w:cs="Calibri"/>
                <w:b/>
                <w:bCs/>
                <w:sz w:val="18"/>
                <w:szCs w:val="18"/>
                <w:lang w:eastAsia="en-GB"/>
              </w:rPr>
            </w:pPr>
          </w:p>
        </w:tc>
        <w:tc>
          <w:tcPr>
            <w:tcW w:w="890" w:type="dxa"/>
            <w:tcBorders>
              <w:top w:val="nil"/>
              <w:left w:val="nil"/>
              <w:bottom w:val="single" w:sz="4" w:space="0" w:color="auto"/>
              <w:right w:val="single" w:sz="4" w:space="0" w:color="auto"/>
            </w:tcBorders>
            <w:shd w:val="clear" w:color="auto" w:fill="auto"/>
            <w:vAlign w:val="center"/>
            <w:hideMark/>
          </w:tcPr>
          <w:p w14:paraId="1BAF71C2" w14:textId="77777777" w:rsidR="009C313D" w:rsidRPr="00804371" w:rsidRDefault="009C313D" w:rsidP="00560A50">
            <w:pPr>
              <w:jc w:val="right"/>
              <w:rPr>
                <w:rFonts w:ascii="Garamond" w:eastAsia="Times New Roman" w:hAnsi="Garamond" w:cs="Calibri"/>
                <w:b/>
                <w:bCs/>
                <w:sz w:val="18"/>
                <w:szCs w:val="18"/>
                <w:lang w:eastAsia="en-GB"/>
              </w:rPr>
            </w:pPr>
          </w:p>
        </w:tc>
        <w:tc>
          <w:tcPr>
            <w:tcW w:w="970" w:type="dxa"/>
            <w:tcBorders>
              <w:top w:val="nil"/>
              <w:left w:val="nil"/>
              <w:bottom w:val="single" w:sz="4" w:space="0" w:color="auto"/>
              <w:right w:val="single" w:sz="4" w:space="0" w:color="auto"/>
            </w:tcBorders>
            <w:shd w:val="clear" w:color="auto" w:fill="auto"/>
            <w:vAlign w:val="center"/>
            <w:hideMark/>
          </w:tcPr>
          <w:p w14:paraId="34ABD61A"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4,165,272</w:t>
            </w:r>
          </w:p>
        </w:tc>
        <w:tc>
          <w:tcPr>
            <w:tcW w:w="870" w:type="dxa"/>
            <w:tcBorders>
              <w:top w:val="nil"/>
              <w:left w:val="nil"/>
              <w:bottom w:val="single" w:sz="4" w:space="0" w:color="auto"/>
              <w:right w:val="single" w:sz="4" w:space="0" w:color="auto"/>
            </w:tcBorders>
            <w:shd w:val="clear" w:color="auto" w:fill="auto"/>
            <w:vAlign w:val="center"/>
            <w:hideMark/>
          </w:tcPr>
          <w:p w14:paraId="3F4166E2" w14:textId="77777777" w:rsidR="009C313D" w:rsidRPr="00804371" w:rsidRDefault="009C313D" w:rsidP="00560A50">
            <w:pPr>
              <w:jc w:val="right"/>
              <w:rPr>
                <w:rFonts w:ascii="Garamond" w:eastAsia="Times New Roman" w:hAnsi="Garamond" w:cs="Calibri"/>
                <w:b/>
                <w:bCs/>
                <w:sz w:val="18"/>
                <w:szCs w:val="18"/>
                <w:lang w:eastAsia="en-GB"/>
              </w:rPr>
            </w:pP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4B14B1DC" w14:textId="77777777" w:rsidR="009C313D" w:rsidRPr="00804371" w:rsidRDefault="009C313D" w:rsidP="00560A50">
            <w:pPr>
              <w:jc w:val="right"/>
              <w:rPr>
                <w:rFonts w:ascii="Garamond" w:eastAsia="Times New Roman" w:hAnsi="Garamond" w:cs="Calibri"/>
                <w:b/>
                <w:bCs/>
                <w:sz w:val="18"/>
                <w:szCs w:val="18"/>
                <w:lang w:eastAsia="en-GB"/>
              </w:rPr>
            </w:pPr>
          </w:p>
        </w:tc>
        <w:tc>
          <w:tcPr>
            <w:tcW w:w="860" w:type="dxa"/>
            <w:tcBorders>
              <w:top w:val="nil"/>
              <w:left w:val="nil"/>
              <w:bottom w:val="single" w:sz="4" w:space="0" w:color="auto"/>
              <w:right w:val="single" w:sz="4" w:space="0" w:color="auto"/>
            </w:tcBorders>
            <w:shd w:val="clear" w:color="auto" w:fill="auto"/>
            <w:vAlign w:val="center"/>
            <w:hideMark/>
          </w:tcPr>
          <w:p w14:paraId="73F822E1" w14:textId="77777777" w:rsidR="009C313D" w:rsidRPr="00804371" w:rsidRDefault="009C313D" w:rsidP="00560A50">
            <w:pPr>
              <w:jc w:val="right"/>
              <w:rPr>
                <w:rFonts w:ascii="Garamond" w:eastAsia="Times New Roman" w:hAnsi="Garamond" w:cs="Calibri"/>
                <w:b/>
                <w:bCs/>
                <w:sz w:val="18"/>
                <w:szCs w:val="18"/>
                <w:lang w:eastAsia="en-GB"/>
              </w:rPr>
            </w:pPr>
          </w:p>
        </w:tc>
      </w:tr>
      <w:tr w:rsidR="009C313D" w:rsidRPr="00804371" w14:paraId="1E9F4FA8" w14:textId="77777777" w:rsidTr="00560A50">
        <w:trPr>
          <w:trHeight w:val="53"/>
        </w:trPr>
        <w:tc>
          <w:tcPr>
            <w:tcW w:w="2785" w:type="dxa"/>
            <w:tcBorders>
              <w:top w:val="nil"/>
              <w:left w:val="single" w:sz="4" w:space="0" w:color="auto"/>
              <w:bottom w:val="single" w:sz="4" w:space="0" w:color="auto"/>
              <w:right w:val="single" w:sz="4" w:space="0" w:color="auto"/>
            </w:tcBorders>
            <w:shd w:val="clear" w:color="000000" w:fill="B4C6E7"/>
            <w:vAlign w:val="center"/>
            <w:hideMark/>
          </w:tcPr>
          <w:p w14:paraId="05F86B0B"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Total</w:t>
            </w:r>
          </w:p>
        </w:tc>
        <w:tc>
          <w:tcPr>
            <w:tcW w:w="990" w:type="dxa"/>
            <w:tcBorders>
              <w:top w:val="nil"/>
              <w:left w:val="nil"/>
              <w:bottom w:val="single" w:sz="4" w:space="0" w:color="auto"/>
              <w:right w:val="single" w:sz="4" w:space="0" w:color="auto"/>
            </w:tcBorders>
            <w:shd w:val="clear" w:color="000000" w:fill="B4C6E7"/>
            <w:vAlign w:val="center"/>
            <w:hideMark/>
          </w:tcPr>
          <w:p w14:paraId="262F486F"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43,918,389</w:t>
            </w:r>
          </w:p>
        </w:tc>
        <w:tc>
          <w:tcPr>
            <w:tcW w:w="900" w:type="dxa"/>
            <w:tcBorders>
              <w:top w:val="nil"/>
              <w:left w:val="nil"/>
              <w:bottom w:val="single" w:sz="4" w:space="0" w:color="auto"/>
              <w:right w:val="single" w:sz="4" w:space="0" w:color="auto"/>
            </w:tcBorders>
            <w:shd w:val="clear" w:color="000000" w:fill="B4C6E7"/>
            <w:vAlign w:val="center"/>
            <w:hideMark/>
          </w:tcPr>
          <w:p w14:paraId="7EFA9014" w14:textId="77777777" w:rsidR="009C313D" w:rsidRPr="00804371" w:rsidRDefault="009C313D" w:rsidP="00560A50">
            <w:pPr>
              <w:jc w:val="right"/>
              <w:rPr>
                <w:rFonts w:ascii="Garamond" w:eastAsia="Times New Roman" w:hAnsi="Garamond" w:cs="Calibri"/>
                <w:sz w:val="18"/>
                <w:szCs w:val="18"/>
                <w:lang w:eastAsia="en-GB"/>
              </w:rPr>
            </w:pPr>
          </w:p>
        </w:tc>
        <w:tc>
          <w:tcPr>
            <w:tcW w:w="890" w:type="dxa"/>
            <w:tcBorders>
              <w:top w:val="nil"/>
              <w:left w:val="nil"/>
              <w:bottom w:val="single" w:sz="4" w:space="0" w:color="auto"/>
              <w:right w:val="single" w:sz="4" w:space="0" w:color="auto"/>
            </w:tcBorders>
            <w:shd w:val="clear" w:color="000000" w:fill="B4C6E7"/>
            <w:vAlign w:val="center"/>
            <w:hideMark/>
          </w:tcPr>
          <w:p w14:paraId="6D765396" w14:textId="77777777" w:rsidR="009C313D" w:rsidRPr="00804371" w:rsidRDefault="009C313D" w:rsidP="00560A50">
            <w:pPr>
              <w:jc w:val="right"/>
              <w:rPr>
                <w:rFonts w:ascii="Garamond" w:eastAsia="Times New Roman" w:hAnsi="Garamond" w:cs="Calibri"/>
                <w:sz w:val="18"/>
                <w:szCs w:val="18"/>
                <w:lang w:eastAsia="en-GB"/>
              </w:rPr>
            </w:pPr>
          </w:p>
        </w:tc>
        <w:tc>
          <w:tcPr>
            <w:tcW w:w="970" w:type="dxa"/>
            <w:tcBorders>
              <w:top w:val="nil"/>
              <w:left w:val="nil"/>
              <w:bottom w:val="single" w:sz="4" w:space="0" w:color="auto"/>
              <w:right w:val="single" w:sz="4" w:space="0" w:color="auto"/>
            </w:tcBorders>
            <w:shd w:val="clear" w:color="000000" w:fill="B4C6E7"/>
            <w:vAlign w:val="center"/>
            <w:hideMark/>
          </w:tcPr>
          <w:p w14:paraId="6F71994D"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175,023,677</w:t>
            </w:r>
          </w:p>
        </w:tc>
        <w:tc>
          <w:tcPr>
            <w:tcW w:w="870" w:type="dxa"/>
            <w:tcBorders>
              <w:top w:val="nil"/>
              <w:left w:val="nil"/>
              <w:bottom w:val="single" w:sz="4" w:space="0" w:color="auto"/>
              <w:right w:val="single" w:sz="4" w:space="0" w:color="auto"/>
            </w:tcBorders>
            <w:shd w:val="clear" w:color="000000" w:fill="B4C6E7"/>
            <w:vAlign w:val="center"/>
            <w:hideMark/>
          </w:tcPr>
          <w:p w14:paraId="741309E4" w14:textId="77777777" w:rsidR="009C313D" w:rsidRPr="00804371" w:rsidRDefault="009C313D" w:rsidP="00560A50">
            <w:pPr>
              <w:jc w:val="right"/>
              <w:rPr>
                <w:rFonts w:ascii="Garamond" w:eastAsia="Times New Roman" w:hAnsi="Garamond" w:cs="Calibri"/>
                <w:sz w:val="18"/>
                <w:szCs w:val="18"/>
                <w:lang w:eastAsia="en-GB"/>
              </w:rPr>
            </w:pPr>
          </w:p>
        </w:tc>
        <w:tc>
          <w:tcPr>
            <w:tcW w:w="870" w:type="dxa"/>
            <w:tcBorders>
              <w:top w:val="nil"/>
              <w:left w:val="nil"/>
              <w:bottom w:val="single" w:sz="4" w:space="0" w:color="auto"/>
              <w:right w:val="single" w:sz="4" w:space="0" w:color="auto"/>
            </w:tcBorders>
            <w:shd w:val="clear" w:color="000000" w:fill="B4C6E7"/>
            <w:vAlign w:val="center"/>
            <w:hideMark/>
          </w:tcPr>
          <w:p w14:paraId="196F77D3" w14:textId="77777777" w:rsidR="009C313D" w:rsidRPr="00804371" w:rsidRDefault="009C313D" w:rsidP="00560A50">
            <w:pPr>
              <w:jc w:val="right"/>
              <w:rPr>
                <w:rFonts w:ascii="Garamond" w:eastAsia="Times New Roman" w:hAnsi="Garamond" w:cs="Calibri"/>
                <w:sz w:val="18"/>
                <w:szCs w:val="18"/>
                <w:lang w:eastAsia="en-GB"/>
              </w:rPr>
            </w:pPr>
          </w:p>
        </w:tc>
        <w:tc>
          <w:tcPr>
            <w:tcW w:w="860" w:type="dxa"/>
            <w:tcBorders>
              <w:top w:val="nil"/>
              <w:left w:val="nil"/>
              <w:bottom w:val="single" w:sz="4" w:space="0" w:color="auto"/>
              <w:right w:val="single" w:sz="4" w:space="0" w:color="auto"/>
            </w:tcBorders>
            <w:shd w:val="clear" w:color="000000" w:fill="B4C6E7"/>
            <w:vAlign w:val="center"/>
            <w:hideMark/>
          </w:tcPr>
          <w:p w14:paraId="6454A734" w14:textId="77777777" w:rsidR="009C313D" w:rsidRPr="00804371" w:rsidRDefault="009C313D" w:rsidP="00560A50">
            <w:pPr>
              <w:jc w:val="right"/>
              <w:rPr>
                <w:rFonts w:ascii="Garamond" w:eastAsia="Times New Roman" w:hAnsi="Garamond" w:cs="Calibri"/>
                <w:sz w:val="18"/>
                <w:szCs w:val="18"/>
                <w:lang w:eastAsia="en-GB"/>
              </w:rPr>
            </w:pPr>
          </w:p>
        </w:tc>
      </w:tr>
    </w:tbl>
    <w:p w14:paraId="60BFAABC" w14:textId="77777777" w:rsidR="009C313D" w:rsidRPr="00804371" w:rsidRDefault="009C313D" w:rsidP="009C313D">
      <w:pPr>
        <w:jc w:val="both"/>
        <w:rPr>
          <w:rFonts w:ascii="Garamond" w:hAnsi="Garamond"/>
          <w:b/>
          <w:sz w:val="20"/>
        </w:rPr>
      </w:pPr>
    </w:p>
    <w:p w14:paraId="3405CBCF" w14:textId="77777777" w:rsidR="009C313D" w:rsidRPr="00804371" w:rsidRDefault="009C313D" w:rsidP="009C313D">
      <w:pPr>
        <w:jc w:val="both"/>
        <w:rPr>
          <w:rFonts w:ascii="Garamond" w:hAnsi="Garamond"/>
          <w:b/>
          <w:sz w:val="20"/>
        </w:rPr>
      </w:pPr>
      <w:r w:rsidRPr="00804371">
        <w:rPr>
          <w:rFonts w:ascii="Garamond" w:hAnsi="Garamond"/>
          <w:b/>
          <w:sz w:val="20"/>
        </w:rPr>
        <w:t xml:space="preserve">NA: </w:t>
      </w:r>
      <w:r w:rsidRPr="00804371">
        <w:rPr>
          <w:rFonts w:ascii="Garamond" w:hAnsi="Garamond"/>
          <w:sz w:val="20"/>
        </w:rPr>
        <w:t>Not Available</w:t>
      </w:r>
    </w:p>
    <w:p w14:paraId="5D68920C" w14:textId="77777777" w:rsidR="009C313D" w:rsidRPr="00804371" w:rsidRDefault="009C313D" w:rsidP="009C313D">
      <w:pPr>
        <w:jc w:val="both"/>
        <w:rPr>
          <w:rFonts w:ascii="Garamond" w:hAnsi="Garamond"/>
          <w:sz w:val="20"/>
        </w:rPr>
      </w:pPr>
      <w:r w:rsidRPr="00804371">
        <w:rPr>
          <w:rFonts w:ascii="Garamond" w:hAnsi="Garamond"/>
          <w:b/>
          <w:sz w:val="20"/>
        </w:rPr>
        <w:t xml:space="preserve">Source: </w:t>
      </w:r>
      <w:r w:rsidRPr="00804371">
        <w:rPr>
          <w:rFonts w:ascii="Garamond" w:hAnsi="Garamond"/>
          <w:sz w:val="20"/>
        </w:rPr>
        <w:t>World Federation of Exchanges</w:t>
      </w:r>
    </w:p>
    <w:p w14:paraId="0FB7CC00" w14:textId="77777777" w:rsidR="009C313D" w:rsidRPr="00F50D17" w:rsidRDefault="009C313D" w:rsidP="009C313D">
      <w:pPr>
        <w:jc w:val="both"/>
        <w:rPr>
          <w:rFonts w:ascii="Garamond" w:hAnsi="Garamond"/>
          <w:b/>
        </w:rPr>
      </w:pPr>
    </w:p>
    <w:p w14:paraId="1919D639" w14:textId="77777777" w:rsidR="009C313D" w:rsidRPr="00F50D17" w:rsidRDefault="009C313D" w:rsidP="009C313D">
      <w:pPr>
        <w:rPr>
          <w:rFonts w:ascii="Garamond" w:hAnsi="Garamond"/>
          <w:b/>
        </w:rPr>
      </w:pPr>
      <w:r w:rsidRPr="00F50D17">
        <w:rPr>
          <w:rFonts w:ascii="Garamond" w:hAnsi="Garamond"/>
          <w:b/>
        </w:rPr>
        <w:br w:type="page"/>
      </w:r>
    </w:p>
    <w:p w14:paraId="0F3C015B" w14:textId="77777777" w:rsidR="009C313D" w:rsidRPr="00F50D17" w:rsidRDefault="009C313D" w:rsidP="009C313D">
      <w:pPr>
        <w:jc w:val="both"/>
        <w:rPr>
          <w:rFonts w:ascii="Garamond" w:hAnsi="Garamond"/>
          <w:b/>
        </w:rPr>
      </w:pPr>
      <w:r w:rsidRPr="00F50D17">
        <w:rPr>
          <w:rFonts w:ascii="Garamond" w:hAnsi="Garamond"/>
          <w:b/>
        </w:rPr>
        <w:t>Table A8: Commodity Options and Futures Traded in Major Exchanges</w:t>
      </w:r>
    </w:p>
    <w:p w14:paraId="0C0CBFD3" w14:textId="77777777" w:rsidR="009C313D" w:rsidRPr="00F50D17" w:rsidRDefault="009C313D" w:rsidP="009C313D">
      <w:pPr>
        <w:jc w:val="both"/>
        <w:rPr>
          <w:rFonts w:ascii="Garamond" w:hAnsi="Garamond"/>
          <w:b/>
        </w:rPr>
      </w:pPr>
    </w:p>
    <w:tbl>
      <w:tblPr>
        <w:tblW w:w="9775" w:type="dxa"/>
        <w:jc w:val="center"/>
        <w:tblLayout w:type="fixed"/>
        <w:tblCellMar>
          <w:left w:w="58" w:type="dxa"/>
          <w:right w:w="58" w:type="dxa"/>
        </w:tblCellMar>
        <w:tblLook w:val="04A0" w:firstRow="1" w:lastRow="0" w:firstColumn="1" w:lastColumn="0" w:noHBand="0" w:noVBand="1"/>
      </w:tblPr>
      <w:tblGrid>
        <w:gridCol w:w="3595"/>
        <w:gridCol w:w="990"/>
        <w:gridCol w:w="810"/>
        <w:gridCol w:w="920"/>
        <w:gridCol w:w="975"/>
        <w:gridCol w:w="805"/>
        <w:gridCol w:w="900"/>
        <w:gridCol w:w="780"/>
      </w:tblGrid>
      <w:tr w:rsidR="009C313D" w:rsidRPr="00F50D17" w14:paraId="5F98F90F" w14:textId="77777777" w:rsidTr="00560A50">
        <w:trPr>
          <w:trHeight w:val="53"/>
          <w:jc w:val="center"/>
        </w:trPr>
        <w:tc>
          <w:tcPr>
            <w:tcW w:w="3595"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027CB3B"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Exchange</w:t>
            </w:r>
          </w:p>
        </w:tc>
        <w:tc>
          <w:tcPr>
            <w:tcW w:w="5400" w:type="dxa"/>
            <w:gridSpan w:val="6"/>
            <w:tcBorders>
              <w:top w:val="single" w:sz="4" w:space="0" w:color="auto"/>
              <w:left w:val="nil"/>
              <w:bottom w:val="single" w:sz="4" w:space="0" w:color="auto"/>
              <w:right w:val="single" w:sz="4" w:space="0" w:color="auto"/>
            </w:tcBorders>
            <w:shd w:val="clear" w:color="000000" w:fill="B4C6E7"/>
            <w:vAlign w:val="center"/>
            <w:hideMark/>
          </w:tcPr>
          <w:p w14:paraId="71AC7E82"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August 2018</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17E2689"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Trading </w:t>
            </w:r>
            <w:r>
              <w:rPr>
                <w:rFonts w:ascii="Garamond" w:eastAsia="Times New Roman" w:hAnsi="Garamond" w:cs="Calibri"/>
                <w:b/>
                <w:bCs/>
                <w:sz w:val="18"/>
                <w:szCs w:val="18"/>
                <w:lang w:eastAsia="en-GB"/>
              </w:rPr>
              <w:t>D</w:t>
            </w:r>
            <w:r w:rsidRPr="00804371">
              <w:rPr>
                <w:rFonts w:ascii="Garamond" w:eastAsia="Times New Roman" w:hAnsi="Garamond" w:cs="Calibri"/>
                <w:b/>
                <w:bCs/>
                <w:sz w:val="18"/>
                <w:szCs w:val="18"/>
                <w:lang w:eastAsia="en-GB"/>
              </w:rPr>
              <w:t xml:space="preserve">ays </w:t>
            </w:r>
            <w:r w:rsidRPr="00804371">
              <w:rPr>
                <w:rFonts w:ascii="Garamond" w:eastAsia="Times New Roman" w:hAnsi="Garamond" w:cs="Calibri"/>
                <w:b/>
                <w:bCs/>
                <w:sz w:val="18"/>
                <w:szCs w:val="18"/>
                <w:lang w:eastAsia="en-GB"/>
              </w:rPr>
              <w:br/>
              <w:t>Aug 2018</w:t>
            </w:r>
          </w:p>
        </w:tc>
      </w:tr>
      <w:tr w:rsidR="009C313D" w:rsidRPr="00F50D17" w14:paraId="6AFC236E" w14:textId="77777777" w:rsidTr="00560A50">
        <w:trPr>
          <w:trHeight w:val="53"/>
          <w:jc w:val="center"/>
        </w:trPr>
        <w:tc>
          <w:tcPr>
            <w:tcW w:w="3595" w:type="dxa"/>
            <w:vMerge/>
            <w:tcBorders>
              <w:top w:val="single" w:sz="4" w:space="0" w:color="auto"/>
              <w:left w:val="single" w:sz="4" w:space="0" w:color="auto"/>
              <w:bottom w:val="single" w:sz="4" w:space="0" w:color="auto"/>
              <w:right w:val="single" w:sz="4" w:space="0" w:color="auto"/>
            </w:tcBorders>
            <w:vAlign w:val="center"/>
            <w:hideMark/>
          </w:tcPr>
          <w:p w14:paraId="0A97A37F" w14:textId="77777777" w:rsidR="009C313D" w:rsidRPr="00804371" w:rsidRDefault="009C313D" w:rsidP="00560A50">
            <w:pPr>
              <w:rPr>
                <w:rFonts w:ascii="Garamond" w:eastAsia="Times New Roman" w:hAnsi="Garamond" w:cs="Calibri"/>
                <w:b/>
                <w:bCs/>
                <w:sz w:val="18"/>
                <w:szCs w:val="18"/>
                <w:lang w:eastAsia="en-GB"/>
              </w:rPr>
            </w:pPr>
          </w:p>
        </w:tc>
        <w:tc>
          <w:tcPr>
            <w:tcW w:w="2720" w:type="dxa"/>
            <w:gridSpan w:val="3"/>
            <w:tcBorders>
              <w:top w:val="single" w:sz="4" w:space="0" w:color="auto"/>
              <w:left w:val="nil"/>
              <w:bottom w:val="single" w:sz="4" w:space="0" w:color="auto"/>
              <w:right w:val="single" w:sz="4" w:space="0" w:color="auto"/>
            </w:tcBorders>
            <w:shd w:val="clear" w:color="000000" w:fill="B4C6E7"/>
            <w:vAlign w:val="center"/>
            <w:hideMark/>
          </w:tcPr>
          <w:p w14:paraId="7668056B"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Commodit</w:t>
            </w:r>
            <w:r>
              <w:rPr>
                <w:rFonts w:ascii="Garamond" w:eastAsia="Times New Roman" w:hAnsi="Garamond" w:cs="Calibri"/>
                <w:b/>
                <w:bCs/>
                <w:sz w:val="18"/>
                <w:szCs w:val="18"/>
                <w:lang w:eastAsia="en-GB"/>
              </w:rPr>
              <w:t>y</w:t>
            </w:r>
            <w:r w:rsidRPr="00804371">
              <w:rPr>
                <w:rFonts w:ascii="Garamond" w:eastAsia="Times New Roman" w:hAnsi="Garamond" w:cs="Calibri"/>
                <w:b/>
                <w:bCs/>
                <w:sz w:val="18"/>
                <w:szCs w:val="18"/>
                <w:lang w:eastAsia="en-GB"/>
              </w:rPr>
              <w:t xml:space="preserve"> </w:t>
            </w:r>
            <w:r>
              <w:rPr>
                <w:rFonts w:ascii="Garamond" w:eastAsia="Times New Roman" w:hAnsi="Garamond" w:cs="Calibri"/>
                <w:b/>
                <w:bCs/>
                <w:sz w:val="18"/>
                <w:szCs w:val="18"/>
                <w:lang w:eastAsia="en-GB"/>
              </w:rPr>
              <w:t>O</w:t>
            </w:r>
            <w:r w:rsidRPr="00804371">
              <w:rPr>
                <w:rFonts w:ascii="Garamond" w:eastAsia="Times New Roman" w:hAnsi="Garamond" w:cs="Calibri"/>
                <w:b/>
                <w:bCs/>
                <w:sz w:val="18"/>
                <w:szCs w:val="18"/>
                <w:lang w:eastAsia="en-GB"/>
              </w:rPr>
              <w:t>ptions</w:t>
            </w:r>
          </w:p>
        </w:tc>
        <w:tc>
          <w:tcPr>
            <w:tcW w:w="2680" w:type="dxa"/>
            <w:gridSpan w:val="3"/>
            <w:tcBorders>
              <w:top w:val="single" w:sz="4" w:space="0" w:color="auto"/>
              <w:left w:val="nil"/>
              <w:bottom w:val="single" w:sz="4" w:space="0" w:color="auto"/>
              <w:right w:val="single" w:sz="4" w:space="0" w:color="auto"/>
            </w:tcBorders>
            <w:shd w:val="clear" w:color="000000" w:fill="B4C6E7"/>
            <w:vAlign w:val="center"/>
            <w:hideMark/>
          </w:tcPr>
          <w:p w14:paraId="0FA4C240" w14:textId="77777777" w:rsidR="009C313D" w:rsidRPr="00804371" w:rsidRDefault="009C313D" w:rsidP="00560A50">
            <w:pPr>
              <w:jc w:val="cente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Commodit</w:t>
            </w:r>
            <w:r>
              <w:rPr>
                <w:rFonts w:ascii="Garamond" w:eastAsia="Times New Roman" w:hAnsi="Garamond" w:cs="Calibri"/>
                <w:b/>
                <w:bCs/>
                <w:sz w:val="18"/>
                <w:szCs w:val="18"/>
                <w:lang w:eastAsia="en-GB"/>
              </w:rPr>
              <w:t>y</w:t>
            </w:r>
            <w:r w:rsidRPr="00804371">
              <w:rPr>
                <w:rFonts w:ascii="Garamond" w:eastAsia="Times New Roman" w:hAnsi="Garamond" w:cs="Calibri"/>
                <w:b/>
                <w:bCs/>
                <w:sz w:val="18"/>
                <w:szCs w:val="18"/>
                <w:lang w:eastAsia="en-GB"/>
              </w:rPr>
              <w:t xml:space="preserve"> </w:t>
            </w:r>
            <w:r>
              <w:rPr>
                <w:rFonts w:ascii="Garamond" w:eastAsia="Times New Roman" w:hAnsi="Garamond" w:cs="Calibri"/>
                <w:b/>
                <w:bCs/>
                <w:sz w:val="18"/>
                <w:szCs w:val="18"/>
                <w:lang w:eastAsia="en-GB"/>
              </w:rPr>
              <w:t>F</w:t>
            </w:r>
            <w:r w:rsidRPr="00804371">
              <w:rPr>
                <w:rFonts w:ascii="Garamond" w:eastAsia="Times New Roman" w:hAnsi="Garamond" w:cs="Calibri"/>
                <w:b/>
                <w:bCs/>
                <w:sz w:val="18"/>
                <w:szCs w:val="18"/>
                <w:lang w:eastAsia="en-GB"/>
              </w:rPr>
              <w:t>utures</w:t>
            </w: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3EBCC5C6" w14:textId="77777777" w:rsidR="009C313D" w:rsidRPr="00804371" w:rsidRDefault="009C313D" w:rsidP="00560A50">
            <w:pPr>
              <w:rPr>
                <w:rFonts w:ascii="Garamond" w:eastAsia="Times New Roman" w:hAnsi="Garamond" w:cs="Calibri"/>
                <w:b/>
                <w:bCs/>
                <w:sz w:val="18"/>
                <w:szCs w:val="18"/>
                <w:lang w:eastAsia="en-GB"/>
              </w:rPr>
            </w:pPr>
          </w:p>
        </w:tc>
      </w:tr>
      <w:tr w:rsidR="009C313D" w:rsidRPr="00F50D17" w14:paraId="7B1B1422" w14:textId="77777777" w:rsidTr="00560A50">
        <w:trPr>
          <w:trHeight w:val="53"/>
          <w:jc w:val="center"/>
        </w:trPr>
        <w:tc>
          <w:tcPr>
            <w:tcW w:w="3595" w:type="dxa"/>
            <w:vMerge/>
            <w:tcBorders>
              <w:top w:val="single" w:sz="4" w:space="0" w:color="auto"/>
              <w:left w:val="single" w:sz="4" w:space="0" w:color="auto"/>
              <w:bottom w:val="single" w:sz="4" w:space="0" w:color="auto"/>
              <w:right w:val="single" w:sz="4" w:space="0" w:color="auto"/>
            </w:tcBorders>
            <w:vAlign w:val="center"/>
            <w:hideMark/>
          </w:tcPr>
          <w:p w14:paraId="65E81F61" w14:textId="77777777" w:rsidR="009C313D" w:rsidRPr="00804371" w:rsidRDefault="009C313D" w:rsidP="00560A50">
            <w:pPr>
              <w:rPr>
                <w:rFonts w:ascii="Garamond" w:eastAsia="Times New Roman" w:hAnsi="Garamond" w:cs="Calibri"/>
                <w:b/>
                <w:bCs/>
                <w:sz w:val="18"/>
                <w:szCs w:val="18"/>
                <w:lang w:eastAsia="en-GB"/>
              </w:rPr>
            </w:pPr>
          </w:p>
        </w:tc>
        <w:tc>
          <w:tcPr>
            <w:tcW w:w="990" w:type="dxa"/>
            <w:tcBorders>
              <w:top w:val="nil"/>
              <w:left w:val="nil"/>
              <w:bottom w:val="single" w:sz="4" w:space="0" w:color="auto"/>
              <w:right w:val="single" w:sz="4" w:space="0" w:color="auto"/>
            </w:tcBorders>
            <w:shd w:val="clear" w:color="000000" w:fill="B4C6E7"/>
            <w:vAlign w:val="center"/>
            <w:hideMark/>
          </w:tcPr>
          <w:p w14:paraId="1508C626"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Number of</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C</w:t>
            </w:r>
            <w:r w:rsidRPr="00804371">
              <w:rPr>
                <w:rFonts w:ascii="Garamond" w:eastAsia="Times New Roman" w:hAnsi="Garamond" w:cs="Calibri"/>
                <w:b/>
                <w:bCs/>
                <w:sz w:val="18"/>
                <w:szCs w:val="18"/>
                <w:lang w:eastAsia="en-GB"/>
              </w:rPr>
              <w:t xml:space="preserve">ontracts </w:t>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raded</w:t>
            </w:r>
          </w:p>
        </w:tc>
        <w:tc>
          <w:tcPr>
            <w:tcW w:w="810" w:type="dxa"/>
            <w:tcBorders>
              <w:top w:val="nil"/>
              <w:left w:val="nil"/>
              <w:bottom w:val="single" w:sz="4" w:space="0" w:color="auto"/>
              <w:right w:val="single" w:sz="4" w:space="0" w:color="auto"/>
            </w:tcBorders>
            <w:shd w:val="clear" w:color="000000" w:fill="B4C6E7"/>
            <w:vAlign w:val="center"/>
            <w:hideMark/>
          </w:tcPr>
          <w:p w14:paraId="0CA66797"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Notional</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urnover</w:t>
            </w:r>
          </w:p>
        </w:tc>
        <w:tc>
          <w:tcPr>
            <w:tcW w:w="920" w:type="dxa"/>
            <w:tcBorders>
              <w:top w:val="nil"/>
              <w:left w:val="nil"/>
              <w:bottom w:val="single" w:sz="4" w:space="0" w:color="auto"/>
              <w:right w:val="single" w:sz="4" w:space="0" w:color="auto"/>
            </w:tcBorders>
            <w:shd w:val="clear" w:color="000000" w:fill="B4C6E7"/>
            <w:vAlign w:val="center"/>
            <w:hideMark/>
          </w:tcPr>
          <w:p w14:paraId="66E0BFC7"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Open</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I</w:t>
            </w:r>
            <w:r w:rsidRPr="00804371">
              <w:rPr>
                <w:rFonts w:ascii="Garamond" w:eastAsia="Times New Roman" w:hAnsi="Garamond" w:cs="Calibri"/>
                <w:b/>
                <w:bCs/>
                <w:sz w:val="18"/>
                <w:szCs w:val="18"/>
                <w:lang w:eastAsia="en-GB"/>
              </w:rPr>
              <w:t>nterest</w:t>
            </w:r>
          </w:p>
        </w:tc>
        <w:tc>
          <w:tcPr>
            <w:tcW w:w="975" w:type="dxa"/>
            <w:tcBorders>
              <w:top w:val="nil"/>
              <w:left w:val="nil"/>
              <w:bottom w:val="single" w:sz="4" w:space="0" w:color="auto"/>
              <w:right w:val="single" w:sz="4" w:space="0" w:color="auto"/>
            </w:tcBorders>
            <w:shd w:val="clear" w:color="000000" w:fill="B4C6E7"/>
            <w:vAlign w:val="center"/>
            <w:hideMark/>
          </w:tcPr>
          <w:p w14:paraId="572A30C6"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Number of</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C</w:t>
            </w:r>
            <w:r w:rsidRPr="00804371">
              <w:rPr>
                <w:rFonts w:ascii="Garamond" w:eastAsia="Times New Roman" w:hAnsi="Garamond" w:cs="Calibri"/>
                <w:b/>
                <w:bCs/>
                <w:sz w:val="18"/>
                <w:szCs w:val="18"/>
                <w:lang w:eastAsia="en-GB"/>
              </w:rPr>
              <w:t xml:space="preserve">ontracts </w:t>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raded</w:t>
            </w:r>
          </w:p>
        </w:tc>
        <w:tc>
          <w:tcPr>
            <w:tcW w:w="805" w:type="dxa"/>
            <w:tcBorders>
              <w:top w:val="nil"/>
              <w:left w:val="nil"/>
              <w:bottom w:val="single" w:sz="4" w:space="0" w:color="auto"/>
              <w:right w:val="single" w:sz="4" w:space="0" w:color="auto"/>
            </w:tcBorders>
            <w:shd w:val="clear" w:color="000000" w:fill="B4C6E7"/>
            <w:vAlign w:val="center"/>
            <w:hideMark/>
          </w:tcPr>
          <w:p w14:paraId="089E02F6"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Notional</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T</w:t>
            </w:r>
            <w:r w:rsidRPr="00804371">
              <w:rPr>
                <w:rFonts w:ascii="Garamond" w:eastAsia="Times New Roman" w:hAnsi="Garamond" w:cs="Calibri"/>
                <w:b/>
                <w:bCs/>
                <w:sz w:val="18"/>
                <w:szCs w:val="18"/>
                <w:lang w:eastAsia="en-GB"/>
              </w:rPr>
              <w:t>urnover</w:t>
            </w:r>
          </w:p>
        </w:tc>
        <w:tc>
          <w:tcPr>
            <w:tcW w:w="900" w:type="dxa"/>
            <w:tcBorders>
              <w:top w:val="nil"/>
              <w:left w:val="nil"/>
              <w:bottom w:val="single" w:sz="4" w:space="0" w:color="auto"/>
              <w:right w:val="single" w:sz="4" w:space="0" w:color="auto"/>
            </w:tcBorders>
            <w:shd w:val="clear" w:color="000000" w:fill="B4C6E7"/>
            <w:vAlign w:val="center"/>
            <w:hideMark/>
          </w:tcPr>
          <w:p w14:paraId="30E4417A"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Open</w:t>
            </w:r>
            <w:r w:rsidRPr="00804371">
              <w:rPr>
                <w:rFonts w:ascii="Garamond" w:eastAsia="Times New Roman" w:hAnsi="Garamond" w:cs="Calibri"/>
                <w:b/>
                <w:bCs/>
                <w:sz w:val="18"/>
                <w:szCs w:val="18"/>
                <w:lang w:eastAsia="en-GB"/>
              </w:rPr>
              <w:br/>
            </w:r>
            <w:r>
              <w:rPr>
                <w:rFonts w:ascii="Garamond" w:eastAsia="Times New Roman" w:hAnsi="Garamond" w:cs="Calibri"/>
                <w:b/>
                <w:bCs/>
                <w:sz w:val="18"/>
                <w:szCs w:val="18"/>
                <w:lang w:eastAsia="en-GB"/>
              </w:rPr>
              <w:t>I</w:t>
            </w:r>
            <w:r w:rsidRPr="00804371">
              <w:rPr>
                <w:rFonts w:ascii="Garamond" w:eastAsia="Times New Roman" w:hAnsi="Garamond" w:cs="Calibri"/>
                <w:b/>
                <w:bCs/>
                <w:sz w:val="18"/>
                <w:szCs w:val="18"/>
                <w:lang w:eastAsia="en-GB"/>
              </w:rPr>
              <w:t>nterest</w:t>
            </w: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3FB0C24F" w14:textId="77777777" w:rsidR="009C313D" w:rsidRPr="00804371" w:rsidRDefault="009C313D" w:rsidP="00560A50">
            <w:pPr>
              <w:rPr>
                <w:rFonts w:ascii="Garamond" w:eastAsia="Times New Roman" w:hAnsi="Garamond" w:cs="Calibri"/>
                <w:b/>
                <w:bCs/>
                <w:sz w:val="18"/>
                <w:szCs w:val="18"/>
                <w:lang w:eastAsia="en-GB"/>
              </w:rPr>
            </w:pPr>
          </w:p>
        </w:tc>
      </w:tr>
      <w:tr w:rsidR="009C313D" w:rsidRPr="00804371" w14:paraId="2F4927FE" w14:textId="77777777" w:rsidTr="00560A50">
        <w:trPr>
          <w:trHeight w:val="53"/>
          <w:jc w:val="center"/>
        </w:trPr>
        <w:tc>
          <w:tcPr>
            <w:tcW w:w="9775"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58E04879"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Americas</w:t>
            </w:r>
          </w:p>
        </w:tc>
      </w:tr>
      <w:tr w:rsidR="009C313D" w:rsidRPr="00F50D17" w14:paraId="58EEA9E8" w14:textId="77777777" w:rsidTr="00560A50">
        <w:trPr>
          <w:trHeight w:val="53"/>
          <w:jc w:val="center"/>
        </w:trPr>
        <w:tc>
          <w:tcPr>
            <w:tcW w:w="3595" w:type="dxa"/>
            <w:tcBorders>
              <w:top w:val="nil"/>
              <w:left w:val="single" w:sz="4" w:space="0" w:color="auto"/>
              <w:bottom w:val="nil"/>
              <w:right w:val="nil"/>
            </w:tcBorders>
            <w:shd w:val="clear" w:color="000000" w:fill="B4C6E7"/>
            <w:vAlign w:val="center"/>
            <w:hideMark/>
          </w:tcPr>
          <w:p w14:paraId="2490138A"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Bolsa de Valores de Colombia</w:t>
            </w:r>
          </w:p>
        </w:tc>
        <w:tc>
          <w:tcPr>
            <w:tcW w:w="990" w:type="dxa"/>
            <w:tcBorders>
              <w:top w:val="nil"/>
              <w:left w:val="single" w:sz="4" w:space="0" w:color="auto"/>
              <w:bottom w:val="nil"/>
              <w:right w:val="single" w:sz="4" w:space="0" w:color="auto"/>
            </w:tcBorders>
            <w:shd w:val="clear" w:color="auto" w:fill="auto"/>
            <w:vAlign w:val="center"/>
            <w:hideMark/>
          </w:tcPr>
          <w:p w14:paraId="464A6DE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10" w:type="dxa"/>
            <w:tcBorders>
              <w:top w:val="nil"/>
              <w:left w:val="nil"/>
              <w:bottom w:val="nil"/>
              <w:right w:val="nil"/>
            </w:tcBorders>
            <w:shd w:val="clear" w:color="auto" w:fill="auto"/>
            <w:vAlign w:val="center"/>
            <w:hideMark/>
          </w:tcPr>
          <w:p w14:paraId="3067D9F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single" w:sz="4" w:space="0" w:color="auto"/>
              <w:bottom w:val="nil"/>
              <w:right w:val="single" w:sz="4" w:space="0" w:color="auto"/>
            </w:tcBorders>
            <w:shd w:val="clear" w:color="auto" w:fill="auto"/>
            <w:vAlign w:val="center"/>
            <w:hideMark/>
          </w:tcPr>
          <w:p w14:paraId="1B20B8E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5" w:type="dxa"/>
            <w:tcBorders>
              <w:top w:val="nil"/>
              <w:left w:val="nil"/>
              <w:bottom w:val="nil"/>
              <w:right w:val="nil"/>
            </w:tcBorders>
            <w:shd w:val="clear" w:color="auto" w:fill="auto"/>
            <w:vAlign w:val="center"/>
            <w:hideMark/>
          </w:tcPr>
          <w:p w14:paraId="51628BA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108</w:t>
            </w:r>
          </w:p>
        </w:tc>
        <w:tc>
          <w:tcPr>
            <w:tcW w:w="805" w:type="dxa"/>
            <w:tcBorders>
              <w:top w:val="nil"/>
              <w:left w:val="single" w:sz="4" w:space="0" w:color="auto"/>
              <w:bottom w:val="nil"/>
              <w:right w:val="nil"/>
            </w:tcBorders>
            <w:shd w:val="clear" w:color="auto" w:fill="auto"/>
            <w:vAlign w:val="center"/>
            <w:hideMark/>
          </w:tcPr>
          <w:p w14:paraId="4C934FD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0</w:t>
            </w:r>
          </w:p>
        </w:tc>
        <w:tc>
          <w:tcPr>
            <w:tcW w:w="900" w:type="dxa"/>
            <w:tcBorders>
              <w:top w:val="nil"/>
              <w:left w:val="single" w:sz="4" w:space="0" w:color="auto"/>
              <w:bottom w:val="nil"/>
              <w:right w:val="single" w:sz="4" w:space="0" w:color="auto"/>
            </w:tcBorders>
            <w:shd w:val="clear" w:color="auto" w:fill="auto"/>
            <w:vAlign w:val="center"/>
            <w:hideMark/>
          </w:tcPr>
          <w:p w14:paraId="4A69E4D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381</w:t>
            </w:r>
          </w:p>
        </w:tc>
        <w:tc>
          <w:tcPr>
            <w:tcW w:w="780" w:type="dxa"/>
            <w:tcBorders>
              <w:top w:val="nil"/>
              <w:left w:val="nil"/>
              <w:bottom w:val="nil"/>
              <w:right w:val="single" w:sz="4" w:space="0" w:color="auto"/>
            </w:tcBorders>
            <w:shd w:val="clear" w:color="auto" w:fill="auto"/>
            <w:vAlign w:val="center"/>
            <w:hideMark/>
          </w:tcPr>
          <w:p w14:paraId="5B7CAC6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w:t>
            </w:r>
          </w:p>
        </w:tc>
      </w:tr>
      <w:tr w:rsidR="009C313D" w:rsidRPr="00F50D17" w14:paraId="5CCA2C40"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56F915DA"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CME Group</w:t>
            </w:r>
          </w:p>
        </w:tc>
        <w:tc>
          <w:tcPr>
            <w:tcW w:w="990" w:type="dxa"/>
            <w:tcBorders>
              <w:top w:val="nil"/>
              <w:left w:val="single" w:sz="4" w:space="0" w:color="auto"/>
              <w:bottom w:val="nil"/>
              <w:right w:val="single" w:sz="4" w:space="0" w:color="auto"/>
            </w:tcBorders>
            <w:shd w:val="clear" w:color="auto" w:fill="auto"/>
            <w:vAlign w:val="center"/>
            <w:hideMark/>
          </w:tcPr>
          <w:p w14:paraId="2CC82D9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12,925,004</w:t>
            </w:r>
          </w:p>
        </w:tc>
        <w:tc>
          <w:tcPr>
            <w:tcW w:w="810" w:type="dxa"/>
            <w:tcBorders>
              <w:top w:val="nil"/>
              <w:left w:val="nil"/>
              <w:bottom w:val="nil"/>
              <w:right w:val="nil"/>
            </w:tcBorders>
            <w:shd w:val="clear" w:color="auto" w:fill="auto"/>
            <w:vAlign w:val="center"/>
            <w:hideMark/>
          </w:tcPr>
          <w:p w14:paraId="168A4BE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619,415</w:t>
            </w:r>
          </w:p>
        </w:tc>
        <w:tc>
          <w:tcPr>
            <w:tcW w:w="920" w:type="dxa"/>
            <w:tcBorders>
              <w:top w:val="nil"/>
              <w:left w:val="single" w:sz="4" w:space="0" w:color="auto"/>
              <w:bottom w:val="nil"/>
              <w:right w:val="single" w:sz="4" w:space="0" w:color="auto"/>
            </w:tcBorders>
            <w:shd w:val="clear" w:color="auto" w:fill="auto"/>
            <w:vAlign w:val="center"/>
            <w:hideMark/>
          </w:tcPr>
          <w:p w14:paraId="528DD5E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11,395,200</w:t>
            </w:r>
          </w:p>
        </w:tc>
        <w:tc>
          <w:tcPr>
            <w:tcW w:w="975" w:type="dxa"/>
            <w:tcBorders>
              <w:top w:val="nil"/>
              <w:left w:val="nil"/>
              <w:bottom w:val="nil"/>
              <w:right w:val="nil"/>
            </w:tcBorders>
            <w:shd w:val="clear" w:color="auto" w:fill="auto"/>
            <w:vAlign w:val="center"/>
            <w:hideMark/>
          </w:tcPr>
          <w:p w14:paraId="2653A64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79,095,635</w:t>
            </w:r>
          </w:p>
        </w:tc>
        <w:tc>
          <w:tcPr>
            <w:tcW w:w="805" w:type="dxa"/>
            <w:tcBorders>
              <w:top w:val="nil"/>
              <w:left w:val="single" w:sz="4" w:space="0" w:color="auto"/>
              <w:bottom w:val="nil"/>
              <w:right w:val="nil"/>
            </w:tcBorders>
            <w:shd w:val="clear" w:color="auto" w:fill="auto"/>
            <w:vAlign w:val="center"/>
            <w:hideMark/>
          </w:tcPr>
          <w:p w14:paraId="721DF35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4,391,720</w:t>
            </w:r>
          </w:p>
        </w:tc>
        <w:tc>
          <w:tcPr>
            <w:tcW w:w="900" w:type="dxa"/>
            <w:tcBorders>
              <w:top w:val="nil"/>
              <w:left w:val="single" w:sz="4" w:space="0" w:color="auto"/>
              <w:bottom w:val="nil"/>
              <w:right w:val="single" w:sz="4" w:space="0" w:color="auto"/>
            </w:tcBorders>
            <w:shd w:val="clear" w:color="auto" w:fill="auto"/>
            <w:vAlign w:val="center"/>
            <w:hideMark/>
          </w:tcPr>
          <w:p w14:paraId="020C2CE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19,525,200</w:t>
            </w:r>
          </w:p>
        </w:tc>
        <w:tc>
          <w:tcPr>
            <w:tcW w:w="780" w:type="dxa"/>
            <w:tcBorders>
              <w:top w:val="nil"/>
              <w:left w:val="nil"/>
              <w:bottom w:val="nil"/>
              <w:right w:val="single" w:sz="4" w:space="0" w:color="auto"/>
            </w:tcBorders>
            <w:shd w:val="clear" w:color="auto" w:fill="auto"/>
            <w:vAlign w:val="center"/>
            <w:hideMark/>
          </w:tcPr>
          <w:p w14:paraId="2822DEC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F50D17" w14:paraId="368B065F"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5310728F"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ICE Futures US</w:t>
            </w:r>
          </w:p>
        </w:tc>
        <w:tc>
          <w:tcPr>
            <w:tcW w:w="990" w:type="dxa"/>
            <w:tcBorders>
              <w:top w:val="nil"/>
              <w:left w:val="single" w:sz="4" w:space="0" w:color="auto"/>
              <w:bottom w:val="nil"/>
              <w:right w:val="single" w:sz="4" w:space="0" w:color="auto"/>
            </w:tcBorders>
            <w:shd w:val="clear" w:color="auto" w:fill="auto"/>
            <w:vAlign w:val="center"/>
            <w:hideMark/>
          </w:tcPr>
          <w:p w14:paraId="3907B39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1,077,357</w:t>
            </w:r>
          </w:p>
        </w:tc>
        <w:tc>
          <w:tcPr>
            <w:tcW w:w="810" w:type="dxa"/>
            <w:tcBorders>
              <w:top w:val="nil"/>
              <w:left w:val="nil"/>
              <w:bottom w:val="nil"/>
              <w:right w:val="nil"/>
            </w:tcBorders>
            <w:shd w:val="clear" w:color="auto" w:fill="auto"/>
            <w:vAlign w:val="center"/>
            <w:hideMark/>
          </w:tcPr>
          <w:p w14:paraId="778160F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28,407</w:t>
            </w:r>
          </w:p>
        </w:tc>
        <w:tc>
          <w:tcPr>
            <w:tcW w:w="920" w:type="dxa"/>
            <w:tcBorders>
              <w:top w:val="nil"/>
              <w:left w:val="single" w:sz="4" w:space="0" w:color="auto"/>
              <w:bottom w:val="nil"/>
              <w:right w:val="single" w:sz="4" w:space="0" w:color="auto"/>
            </w:tcBorders>
            <w:shd w:val="clear" w:color="auto" w:fill="auto"/>
            <w:vAlign w:val="center"/>
            <w:hideMark/>
          </w:tcPr>
          <w:p w14:paraId="397133D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1,294,260</w:t>
            </w:r>
          </w:p>
        </w:tc>
        <w:tc>
          <w:tcPr>
            <w:tcW w:w="975" w:type="dxa"/>
            <w:tcBorders>
              <w:top w:val="nil"/>
              <w:left w:val="nil"/>
              <w:bottom w:val="nil"/>
              <w:right w:val="nil"/>
            </w:tcBorders>
            <w:shd w:val="clear" w:color="auto" w:fill="auto"/>
            <w:vAlign w:val="center"/>
            <w:hideMark/>
          </w:tcPr>
          <w:p w14:paraId="46DF097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6,500,508</w:t>
            </w:r>
          </w:p>
        </w:tc>
        <w:tc>
          <w:tcPr>
            <w:tcW w:w="805" w:type="dxa"/>
            <w:tcBorders>
              <w:top w:val="nil"/>
              <w:left w:val="single" w:sz="4" w:space="0" w:color="auto"/>
              <w:bottom w:val="nil"/>
              <w:right w:val="nil"/>
            </w:tcBorders>
            <w:shd w:val="clear" w:color="auto" w:fill="auto"/>
            <w:vAlign w:val="center"/>
            <w:hideMark/>
          </w:tcPr>
          <w:p w14:paraId="757BCB5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147,834</w:t>
            </w:r>
          </w:p>
        </w:tc>
        <w:tc>
          <w:tcPr>
            <w:tcW w:w="900" w:type="dxa"/>
            <w:tcBorders>
              <w:top w:val="nil"/>
              <w:left w:val="single" w:sz="4" w:space="0" w:color="auto"/>
              <w:bottom w:val="nil"/>
              <w:right w:val="single" w:sz="4" w:space="0" w:color="auto"/>
            </w:tcBorders>
            <w:shd w:val="clear" w:color="auto" w:fill="auto"/>
            <w:vAlign w:val="center"/>
            <w:hideMark/>
          </w:tcPr>
          <w:p w14:paraId="293494A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2,009,240</w:t>
            </w:r>
          </w:p>
        </w:tc>
        <w:tc>
          <w:tcPr>
            <w:tcW w:w="780" w:type="dxa"/>
            <w:tcBorders>
              <w:top w:val="nil"/>
              <w:left w:val="nil"/>
              <w:bottom w:val="nil"/>
              <w:right w:val="single" w:sz="4" w:space="0" w:color="auto"/>
            </w:tcBorders>
            <w:shd w:val="clear" w:color="auto" w:fill="auto"/>
            <w:vAlign w:val="center"/>
            <w:hideMark/>
          </w:tcPr>
          <w:p w14:paraId="6137D8F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F50D17" w14:paraId="423B30DD" w14:textId="77777777" w:rsidTr="00560A50">
        <w:trPr>
          <w:trHeight w:val="53"/>
          <w:jc w:val="center"/>
        </w:trPr>
        <w:tc>
          <w:tcPr>
            <w:tcW w:w="3595" w:type="dxa"/>
            <w:tcBorders>
              <w:top w:val="single" w:sz="4" w:space="0" w:color="auto"/>
              <w:left w:val="single" w:sz="4" w:space="0" w:color="auto"/>
              <w:bottom w:val="single" w:sz="4" w:space="0" w:color="auto"/>
              <w:right w:val="nil"/>
            </w:tcBorders>
            <w:shd w:val="clear" w:color="000000" w:fill="B4C6E7"/>
            <w:vAlign w:val="center"/>
            <w:hideMark/>
          </w:tcPr>
          <w:p w14:paraId="0E803C69"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Total </w:t>
            </w:r>
            <w:r>
              <w:rPr>
                <w:rFonts w:ascii="Garamond" w:eastAsia="Times New Roman" w:hAnsi="Garamond" w:cs="Calibri"/>
                <w:b/>
                <w:bCs/>
                <w:sz w:val="18"/>
                <w:szCs w:val="18"/>
                <w:lang w:eastAsia="en-GB"/>
              </w:rPr>
              <w:t>R</w:t>
            </w:r>
            <w:r w:rsidRPr="00804371">
              <w:rPr>
                <w:rFonts w:ascii="Garamond" w:eastAsia="Times New Roman" w:hAnsi="Garamond" w:cs="Calibri"/>
                <w:b/>
                <w:bCs/>
                <w:sz w:val="18"/>
                <w:szCs w:val="18"/>
                <w:lang w:eastAsia="en-GB"/>
              </w:rPr>
              <w:t>egion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A5013"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14,002,361</w:t>
            </w:r>
          </w:p>
        </w:tc>
        <w:tc>
          <w:tcPr>
            <w:tcW w:w="810" w:type="dxa"/>
            <w:tcBorders>
              <w:top w:val="single" w:sz="4" w:space="0" w:color="auto"/>
              <w:left w:val="nil"/>
              <w:bottom w:val="single" w:sz="4" w:space="0" w:color="auto"/>
              <w:right w:val="nil"/>
            </w:tcBorders>
            <w:shd w:val="clear" w:color="auto" w:fill="auto"/>
            <w:vAlign w:val="center"/>
            <w:hideMark/>
          </w:tcPr>
          <w:p w14:paraId="02FED122" w14:textId="77777777" w:rsidR="009C313D" w:rsidRPr="00804371" w:rsidRDefault="009C313D" w:rsidP="00560A50">
            <w:pPr>
              <w:jc w:val="right"/>
              <w:rPr>
                <w:rFonts w:ascii="Garamond" w:eastAsia="Times New Roman" w:hAnsi="Garamond" w:cs="Calibri"/>
                <w:b/>
                <w:bCs/>
                <w:sz w:val="18"/>
                <w:szCs w:val="18"/>
                <w:lang w:eastAsia="en-GB"/>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9ABDE" w14:textId="77777777" w:rsidR="009C313D" w:rsidRPr="00804371" w:rsidRDefault="009C313D" w:rsidP="00560A50">
            <w:pPr>
              <w:jc w:val="right"/>
              <w:rPr>
                <w:rFonts w:ascii="Garamond" w:eastAsia="Times New Roman" w:hAnsi="Garamond" w:cs="Calibri"/>
                <w:b/>
                <w:bCs/>
                <w:sz w:val="18"/>
                <w:szCs w:val="18"/>
                <w:lang w:eastAsia="en-GB"/>
              </w:rPr>
            </w:pPr>
          </w:p>
        </w:tc>
        <w:tc>
          <w:tcPr>
            <w:tcW w:w="975" w:type="dxa"/>
            <w:tcBorders>
              <w:top w:val="single" w:sz="4" w:space="0" w:color="auto"/>
              <w:left w:val="nil"/>
              <w:bottom w:val="single" w:sz="4" w:space="0" w:color="auto"/>
              <w:right w:val="nil"/>
            </w:tcBorders>
            <w:shd w:val="clear" w:color="auto" w:fill="auto"/>
            <w:vAlign w:val="center"/>
            <w:hideMark/>
          </w:tcPr>
          <w:p w14:paraId="7C33250F"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85,596,251</w:t>
            </w:r>
          </w:p>
        </w:tc>
        <w:tc>
          <w:tcPr>
            <w:tcW w:w="805" w:type="dxa"/>
            <w:tcBorders>
              <w:top w:val="single" w:sz="4" w:space="0" w:color="auto"/>
              <w:left w:val="single" w:sz="4" w:space="0" w:color="auto"/>
              <w:bottom w:val="single" w:sz="4" w:space="0" w:color="auto"/>
              <w:right w:val="nil"/>
            </w:tcBorders>
            <w:shd w:val="clear" w:color="auto" w:fill="auto"/>
            <w:vAlign w:val="center"/>
            <w:hideMark/>
          </w:tcPr>
          <w:p w14:paraId="5121B73C" w14:textId="77777777" w:rsidR="009C313D" w:rsidRPr="00804371" w:rsidRDefault="009C313D" w:rsidP="00560A50">
            <w:pPr>
              <w:jc w:val="right"/>
              <w:rPr>
                <w:rFonts w:ascii="Garamond" w:eastAsia="Times New Roman" w:hAnsi="Garamond" w:cs="Calibri"/>
                <w:b/>
                <w:bCs/>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F6106" w14:textId="77777777" w:rsidR="009C313D" w:rsidRPr="00804371" w:rsidRDefault="009C313D" w:rsidP="00560A50">
            <w:pPr>
              <w:jc w:val="right"/>
              <w:rPr>
                <w:rFonts w:ascii="Garamond" w:eastAsia="Times New Roman" w:hAnsi="Garamond" w:cs="Calibri"/>
                <w:b/>
                <w:bCs/>
                <w:sz w:val="18"/>
                <w:szCs w:val="18"/>
                <w:lang w:eastAsia="en-GB"/>
              </w:rPr>
            </w:pP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52B9F00E" w14:textId="77777777" w:rsidR="009C313D" w:rsidRPr="00804371" w:rsidRDefault="009C313D" w:rsidP="00560A50">
            <w:pPr>
              <w:jc w:val="right"/>
              <w:rPr>
                <w:rFonts w:ascii="Garamond" w:eastAsia="Times New Roman" w:hAnsi="Garamond" w:cs="Calibri"/>
                <w:b/>
                <w:bCs/>
                <w:sz w:val="18"/>
                <w:szCs w:val="18"/>
                <w:lang w:eastAsia="en-GB"/>
              </w:rPr>
            </w:pPr>
          </w:p>
        </w:tc>
      </w:tr>
      <w:tr w:rsidR="009C313D" w:rsidRPr="00804371" w14:paraId="4E07E19E" w14:textId="77777777" w:rsidTr="00560A50">
        <w:trPr>
          <w:trHeight w:val="53"/>
          <w:jc w:val="center"/>
        </w:trPr>
        <w:tc>
          <w:tcPr>
            <w:tcW w:w="9775"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73CE57B6"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Asia - Pacific</w:t>
            </w:r>
          </w:p>
        </w:tc>
      </w:tr>
      <w:tr w:rsidR="009C313D" w:rsidRPr="00F50D17" w14:paraId="0B92216B" w14:textId="77777777" w:rsidTr="00560A50">
        <w:trPr>
          <w:trHeight w:val="53"/>
          <w:jc w:val="center"/>
        </w:trPr>
        <w:tc>
          <w:tcPr>
            <w:tcW w:w="3595" w:type="dxa"/>
            <w:tcBorders>
              <w:top w:val="nil"/>
              <w:left w:val="single" w:sz="4" w:space="0" w:color="auto"/>
              <w:bottom w:val="nil"/>
              <w:right w:val="nil"/>
            </w:tcBorders>
            <w:shd w:val="clear" w:color="000000" w:fill="B4C6E7"/>
            <w:vAlign w:val="center"/>
            <w:hideMark/>
          </w:tcPr>
          <w:p w14:paraId="1F67580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Australian Securities Exchange</w:t>
            </w:r>
          </w:p>
        </w:tc>
        <w:tc>
          <w:tcPr>
            <w:tcW w:w="990" w:type="dxa"/>
            <w:tcBorders>
              <w:top w:val="nil"/>
              <w:left w:val="single" w:sz="4" w:space="0" w:color="auto"/>
              <w:bottom w:val="nil"/>
              <w:right w:val="nil"/>
            </w:tcBorders>
            <w:shd w:val="clear" w:color="auto" w:fill="auto"/>
            <w:vAlign w:val="center"/>
            <w:hideMark/>
          </w:tcPr>
          <w:p w14:paraId="5AA887B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3,475</w:t>
            </w:r>
          </w:p>
        </w:tc>
        <w:tc>
          <w:tcPr>
            <w:tcW w:w="810" w:type="dxa"/>
            <w:tcBorders>
              <w:top w:val="nil"/>
              <w:left w:val="single" w:sz="4" w:space="0" w:color="auto"/>
              <w:bottom w:val="nil"/>
              <w:right w:val="single" w:sz="4" w:space="0" w:color="auto"/>
            </w:tcBorders>
            <w:shd w:val="clear" w:color="auto" w:fill="auto"/>
            <w:vAlign w:val="center"/>
            <w:hideMark/>
          </w:tcPr>
          <w:p w14:paraId="0E6A5CE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322</w:t>
            </w:r>
          </w:p>
        </w:tc>
        <w:tc>
          <w:tcPr>
            <w:tcW w:w="920" w:type="dxa"/>
            <w:tcBorders>
              <w:top w:val="nil"/>
              <w:left w:val="nil"/>
              <w:bottom w:val="nil"/>
              <w:right w:val="nil"/>
            </w:tcBorders>
            <w:shd w:val="clear" w:color="auto" w:fill="auto"/>
            <w:vAlign w:val="center"/>
            <w:hideMark/>
          </w:tcPr>
          <w:p w14:paraId="217AEE5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21,669</w:t>
            </w:r>
          </w:p>
        </w:tc>
        <w:tc>
          <w:tcPr>
            <w:tcW w:w="975" w:type="dxa"/>
            <w:tcBorders>
              <w:top w:val="nil"/>
              <w:left w:val="single" w:sz="4" w:space="0" w:color="auto"/>
              <w:bottom w:val="nil"/>
              <w:right w:val="single" w:sz="4" w:space="0" w:color="auto"/>
            </w:tcBorders>
            <w:shd w:val="clear" w:color="auto" w:fill="auto"/>
            <w:vAlign w:val="center"/>
            <w:hideMark/>
          </w:tcPr>
          <w:p w14:paraId="0415A8E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47,094</w:t>
            </w:r>
          </w:p>
        </w:tc>
        <w:tc>
          <w:tcPr>
            <w:tcW w:w="805" w:type="dxa"/>
            <w:tcBorders>
              <w:top w:val="nil"/>
              <w:left w:val="nil"/>
              <w:bottom w:val="nil"/>
              <w:right w:val="single" w:sz="4" w:space="0" w:color="auto"/>
            </w:tcBorders>
            <w:shd w:val="clear" w:color="auto" w:fill="auto"/>
            <w:vAlign w:val="center"/>
            <w:hideMark/>
          </w:tcPr>
          <w:p w14:paraId="4DFDECC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2,279</w:t>
            </w:r>
          </w:p>
        </w:tc>
        <w:tc>
          <w:tcPr>
            <w:tcW w:w="900" w:type="dxa"/>
            <w:tcBorders>
              <w:top w:val="nil"/>
              <w:left w:val="nil"/>
              <w:bottom w:val="nil"/>
              <w:right w:val="single" w:sz="4" w:space="0" w:color="auto"/>
            </w:tcBorders>
            <w:shd w:val="clear" w:color="auto" w:fill="auto"/>
            <w:vAlign w:val="center"/>
            <w:hideMark/>
          </w:tcPr>
          <w:p w14:paraId="21716AF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89,706</w:t>
            </w:r>
          </w:p>
        </w:tc>
        <w:tc>
          <w:tcPr>
            <w:tcW w:w="780" w:type="dxa"/>
            <w:tcBorders>
              <w:top w:val="nil"/>
              <w:left w:val="nil"/>
              <w:bottom w:val="nil"/>
              <w:right w:val="single" w:sz="4" w:space="0" w:color="auto"/>
            </w:tcBorders>
            <w:shd w:val="clear" w:color="auto" w:fill="auto"/>
            <w:vAlign w:val="center"/>
            <w:hideMark/>
          </w:tcPr>
          <w:p w14:paraId="1721ED1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F50D17" w14:paraId="5E582908"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0018BBF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Bursa Malaysia Derivatives</w:t>
            </w:r>
          </w:p>
        </w:tc>
        <w:tc>
          <w:tcPr>
            <w:tcW w:w="990" w:type="dxa"/>
            <w:tcBorders>
              <w:top w:val="nil"/>
              <w:left w:val="single" w:sz="4" w:space="0" w:color="auto"/>
              <w:bottom w:val="nil"/>
              <w:right w:val="nil"/>
            </w:tcBorders>
            <w:shd w:val="clear" w:color="auto" w:fill="auto"/>
            <w:vAlign w:val="center"/>
            <w:hideMark/>
          </w:tcPr>
          <w:p w14:paraId="4FEFF87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3,950</w:t>
            </w:r>
          </w:p>
        </w:tc>
        <w:tc>
          <w:tcPr>
            <w:tcW w:w="810" w:type="dxa"/>
            <w:tcBorders>
              <w:top w:val="nil"/>
              <w:left w:val="single" w:sz="4" w:space="0" w:color="auto"/>
              <w:bottom w:val="nil"/>
              <w:right w:val="single" w:sz="4" w:space="0" w:color="auto"/>
            </w:tcBorders>
            <w:shd w:val="clear" w:color="auto" w:fill="auto"/>
            <w:vAlign w:val="center"/>
            <w:hideMark/>
          </w:tcPr>
          <w:p w14:paraId="441C42E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nil"/>
              <w:bottom w:val="nil"/>
              <w:right w:val="nil"/>
            </w:tcBorders>
            <w:shd w:val="clear" w:color="auto" w:fill="auto"/>
            <w:vAlign w:val="center"/>
            <w:hideMark/>
          </w:tcPr>
          <w:p w14:paraId="0B40671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14,225</w:t>
            </w:r>
          </w:p>
        </w:tc>
        <w:tc>
          <w:tcPr>
            <w:tcW w:w="975" w:type="dxa"/>
            <w:tcBorders>
              <w:top w:val="nil"/>
              <w:left w:val="single" w:sz="4" w:space="0" w:color="auto"/>
              <w:bottom w:val="nil"/>
              <w:right w:val="single" w:sz="4" w:space="0" w:color="auto"/>
            </w:tcBorders>
            <w:shd w:val="clear" w:color="auto" w:fill="auto"/>
            <w:vAlign w:val="center"/>
            <w:hideMark/>
          </w:tcPr>
          <w:p w14:paraId="40BF09B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852,195</w:t>
            </w:r>
          </w:p>
        </w:tc>
        <w:tc>
          <w:tcPr>
            <w:tcW w:w="805" w:type="dxa"/>
            <w:tcBorders>
              <w:top w:val="nil"/>
              <w:left w:val="nil"/>
              <w:bottom w:val="nil"/>
              <w:right w:val="single" w:sz="4" w:space="0" w:color="auto"/>
            </w:tcBorders>
            <w:shd w:val="clear" w:color="auto" w:fill="auto"/>
            <w:vAlign w:val="center"/>
            <w:hideMark/>
          </w:tcPr>
          <w:p w14:paraId="7BE5563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11,740</w:t>
            </w:r>
          </w:p>
        </w:tc>
        <w:tc>
          <w:tcPr>
            <w:tcW w:w="900" w:type="dxa"/>
            <w:tcBorders>
              <w:top w:val="nil"/>
              <w:left w:val="nil"/>
              <w:bottom w:val="nil"/>
              <w:right w:val="single" w:sz="4" w:space="0" w:color="auto"/>
            </w:tcBorders>
            <w:shd w:val="clear" w:color="auto" w:fill="auto"/>
            <w:vAlign w:val="center"/>
            <w:hideMark/>
          </w:tcPr>
          <w:p w14:paraId="2829BC4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263,933</w:t>
            </w:r>
          </w:p>
        </w:tc>
        <w:tc>
          <w:tcPr>
            <w:tcW w:w="780" w:type="dxa"/>
            <w:tcBorders>
              <w:top w:val="nil"/>
              <w:left w:val="nil"/>
              <w:bottom w:val="nil"/>
              <w:right w:val="single" w:sz="4" w:space="0" w:color="auto"/>
            </w:tcBorders>
            <w:shd w:val="clear" w:color="auto" w:fill="auto"/>
            <w:vAlign w:val="center"/>
            <w:hideMark/>
          </w:tcPr>
          <w:p w14:paraId="64279A5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w:t>
            </w:r>
          </w:p>
        </w:tc>
      </w:tr>
      <w:tr w:rsidR="009C313D" w:rsidRPr="00F50D17" w14:paraId="5303726C"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772B11A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Hong Kong Exchanges and Clearing</w:t>
            </w:r>
          </w:p>
        </w:tc>
        <w:tc>
          <w:tcPr>
            <w:tcW w:w="990" w:type="dxa"/>
            <w:tcBorders>
              <w:top w:val="nil"/>
              <w:left w:val="single" w:sz="4" w:space="0" w:color="auto"/>
              <w:bottom w:val="nil"/>
              <w:right w:val="nil"/>
            </w:tcBorders>
            <w:shd w:val="clear" w:color="auto" w:fill="auto"/>
            <w:vAlign w:val="center"/>
            <w:hideMark/>
          </w:tcPr>
          <w:p w14:paraId="4A5186F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10" w:type="dxa"/>
            <w:tcBorders>
              <w:top w:val="nil"/>
              <w:left w:val="single" w:sz="4" w:space="0" w:color="auto"/>
              <w:bottom w:val="nil"/>
              <w:right w:val="single" w:sz="4" w:space="0" w:color="auto"/>
            </w:tcBorders>
            <w:shd w:val="clear" w:color="auto" w:fill="auto"/>
            <w:vAlign w:val="center"/>
            <w:hideMark/>
          </w:tcPr>
          <w:p w14:paraId="34B3944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nil"/>
              <w:bottom w:val="nil"/>
              <w:right w:val="nil"/>
            </w:tcBorders>
            <w:shd w:val="clear" w:color="auto" w:fill="auto"/>
            <w:vAlign w:val="center"/>
            <w:hideMark/>
          </w:tcPr>
          <w:p w14:paraId="684BA2B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5" w:type="dxa"/>
            <w:tcBorders>
              <w:top w:val="nil"/>
              <w:left w:val="single" w:sz="4" w:space="0" w:color="auto"/>
              <w:bottom w:val="nil"/>
              <w:right w:val="single" w:sz="4" w:space="0" w:color="auto"/>
            </w:tcBorders>
            <w:shd w:val="clear" w:color="auto" w:fill="auto"/>
            <w:vAlign w:val="center"/>
            <w:hideMark/>
          </w:tcPr>
          <w:p w14:paraId="38ADE7D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32,203</w:t>
            </w:r>
          </w:p>
        </w:tc>
        <w:tc>
          <w:tcPr>
            <w:tcW w:w="805" w:type="dxa"/>
            <w:tcBorders>
              <w:top w:val="nil"/>
              <w:left w:val="nil"/>
              <w:bottom w:val="nil"/>
              <w:right w:val="single" w:sz="4" w:space="0" w:color="auto"/>
            </w:tcBorders>
            <w:shd w:val="clear" w:color="auto" w:fill="auto"/>
            <w:vAlign w:val="center"/>
            <w:hideMark/>
          </w:tcPr>
          <w:p w14:paraId="02A35CF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1,217</w:t>
            </w:r>
          </w:p>
        </w:tc>
        <w:tc>
          <w:tcPr>
            <w:tcW w:w="900" w:type="dxa"/>
            <w:tcBorders>
              <w:top w:val="nil"/>
              <w:left w:val="nil"/>
              <w:bottom w:val="nil"/>
              <w:right w:val="single" w:sz="4" w:space="0" w:color="auto"/>
            </w:tcBorders>
            <w:shd w:val="clear" w:color="auto" w:fill="auto"/>
            <w:vAlign w:val="center"/>
            <w:hideMark/>
          </w:tcPr>
          <w:p w14:paraId="503295B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706</w:t>
            </w:r>
          </w:p>
        </w:tc>
        <w:tc>
          <w:tcPr>
            <w:tcW w:w="780" w:type="dxa"/>
            <w:tcBorders>
              <w:top w:val="nil"/>
              <w:left w:val="nil"/>
              <w:bottom w:val="nil"/>
              <w:right w:val="single" w:sz="4" w:space="0" w:color="auto"/>
            </w:tcBorders>
            <w:shd w:val="clear" w:color="auto" w:fill="auto"/>
            <w:vAlign w:val="center"/>
            <w:hideMark/>
          </w:tcPr>
          <w:p w14:paraId="3FA5B45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F50D17" w14:paraId="110F1BC0"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464981C2"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Indonesia Commodity and Derivatives Exchange</w:t>
            </w:r>
          </w:p>
        </w:tc>
        <w:tc>
          <w:tcPr>
            <w:tcW w:w="990" w:type="dxa"/>
            <w:tcBorders>
              <w:top w:val="nil"/>
              <w:left w:val="single" w:sz="4" w:space="0" w:color="auto"/>
              <w:bottom w:val="nil"/>
              <w:right w:val="nil"/>
            </w:tcBorders>
            <w:shd w:val="clear" w:color="auto" w:fill="auto"/>
            <w:vAlign w:val="center"/>
            <w:hideMark/>
          </w:tcPr>
          <w:p w14:paraId="0D03D83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10" w:type="dxa"/>
            <w:tcBorders>
              <w:top w:val="nil"/>
              <w:left w:val="single" w:sz="4" w:space="0" w:color="auto"/>
              <w:bottom w:val="nil"/>
              <w:right w:val="single" w:sz="4" w:space="0" w:color="auto"/>
            </w:tcBorders>
            <w:shd w:val="clear" w:color="auto" w:fill="auto"/>
            <w:vAlign w:val="center"/>
            <w:hideMark/>
          </w:tcPr>
          <w:p w14:paraId="678B005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nil"/>
              <w:bottom w:val="nil"/>
              <w:right w:val="nil"/>
            </w:tcBorders>
            <w:shd w:val="clear" w:color="auto" w:fill="auto"/>
            <w:vAlign w:val="center"/>
            <w:hideMark/>
          </w:tcPr>
          <w:p w14:paraId="5A99BAB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5" w:type="dxa"/>
            <w:tcBorders>
              <w:top w:val="nil"/>
              <w:left w:val="single" w:sz="4" w:space="0" w:color="auto"/>
              <w:bottom w:val="nil"/>
              <w:right w:val="single" w:sz="4" w:space="0" w:color="auto"/>
            </w:tcBorders>
            <w:shd w:val="clear" w:color="auto" w:fill="auto"/>
            <w:vAlign w:val="center"/>
            <w:hideMark/>
          </w:tcPr>
          <w:p w14:paraId="569CCA8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13,255</w:t>
            </w:r>
          </w:p>
        </w:tc>
        <w:tc>
          <w:tcPr>
            <w:tcW w:w="805" w:type="dxa"/>
            <w:tcBorders>
              <w:top w:val="nil"/>
              <w:left w:val="nil"/>
              <w:bottom w:val="nil"/>
              <w:right w:val="single" w:sz="4" w:space="0" w:color="auto"/>
            </w:tcBorders>
            <w:shd w:val="clear" w:color="auto" w:fill="auto"/>
            <w:vAlign w:val="center"/>
            <w:hideMark/>
          </w:tcPr>
          <w:p w14:paraId="5812AB4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00" w:type="dxa"/>
            <w:tcBorders>
              <w:top w:val="nil"/>
              <w:left w:val="nil"/>
              <w:bottom w:val="nil"/>
              <w:right w:val="single" w:sz="4" w:space="0" w:color="auto"/>
            </w:tcBorders>
            <w:shd w:val="clear" w:color="auto" w:fill="auto"/>
            <w:vAlign w:val="center"/>
            <w:hideMark/>
          </w:tcPr>
          <w:p w14:paraId="5F40D35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129</w:t>
            </w:r>
          </w:p>
        </w:tc>
        <w:tc>
          <w:tcPr>
            <w:tcW w:w="780" w:type="dxa"/>
            <w:tcBorders>
              <w:top w:val="nil"/>
              <w:left w:val="nil"/>
              <w:bottom w:val="nil"/>
              <w:right w:val="single" w:sz="4" w:space="0" w:color="auto"/>
            </w:tcBorders>
            <w:shd w:val="clear" w:color="auto" w:fill="auto"/>
            <w:vAlign w:val="center"/>
            <w:hideMark/>
          </w:tcPr>
          <w:p w14:paraId="54F9DFE4" w14:textId="77777777" w:rsidR="009C313D" w:rsidRPr="00804371" w:rsidRDefault="009C313D" w:rsidP="00560A50">
            <w:pPr>
              <w:jc w:val="right"/>
              <w:rPr>
                <w:rFonts w:ascii="Garamond" w:eastAsia="Times New Roman" w:hAnsi="Garamond" w:cs="Calibri"/>
                <w:sz w:val="18"/>
                <w:szCs w:val="18"/>
                <w:lang w:eastAsia="en-GB"/>
              </w:rPr>
            </w:pPr>
          </w:p>
        </w:tc>
      </w:tr>
      <w:tr w:rsidR="009C313D" w:rsidRPr="00F50D17" w14:paraId="20B5AA96"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0BA85A2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 xml:space="preserve">Multi Commodity Exchange of India </w:t>
            </w:r>
          </w:p>
        </w:tc>
        <w:tc>
          <w:tcPr>
            <w:tcW w:w="990" w:type="dxa"/>
            <w:tcBorders>
              <w:top w:val="nil"/>
              <w:left w:val="single" w:sz="4" w:space="0" w:color="auto"/>
              <w:bottom w:val="nil"/>
              <w:right w:val="nil"/>
            </w:tcBorders>
            <w:shd w:val="clear" w:color="auto" w:fill="auto"/>
            <w:vAlign w:val="center"/>
            <w:hideMark/>
          </w:tcPr>
          <w:p w14:paraId="5496ABD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102,578</w:t>
            </w:r>
          </w:p>
        </w:tc>
        <w:tc>
          <w:tcPr>
            <w:tcW w:w="810" w:type="dxa"/>
            <w:tcBorders>
              <w:top w:val="nil"/>
              <w:left w:val="single" w:sz="4" w:space="0" w:color="auto"/>
              <w:bottom w:val="nil"/>
              <w:right w:val="single" w:sz="4" w:space="0" w:color="auto"/>
            </w:tcBorders>
            <w:shd w:val="clear" w:color="auto" w:fill="auto"/>
            <w:vAlign w:val="center"/>
            <w:hideMark/>
          </w:tcPr>
          <w:p w14:paraId="334AF04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1,559</w:t>
            </w:r>
          </w:p>
        </w:tc>
        <w:tc>
          <w:tcPr>
            <w:tcW w:w="920" w:type="dxa"/>
            <w:tcBorders>
              <w:top w:val="nil"/>
              <w:left w:val="nil"/>
              <w:bottom w:val="nil"/>
              <w:right w:val="nil"/>
            </w:tcBorders>
            <w:shd w:val="clear" w:color="auto" w:fill="auto"/>
            <w:vAlign w:val="center"/>
            <w:hideMark/>
          </w:tcPr>
          <w:p w14:paraId="5CF0D53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5,735</w:t>
            </w:r>
          </w:p>
        </w:tc>
        <w:tc>
          <w:tcPr>
            <w:tcW w:w="975" w:type="dxa"/>
            <w:tcBorders>
              <w:top w:val="nil"/>
              <w:left w:val="single" w:sz="4" w:space="0" w:color="auto"/>
              <w:bottom w:val="nil"/>
              <w:right w:val="single" w:sz="4" w:space="0" w:color="auto"/>
            </w:tcBorders>
            <w:shd w:val="clear" w:color="auto" w:fill="auto"/>
            <w:vAlign w:val="center"/>
            <w:hideMark/>
          </w:tcPr>
          <w:p w14:paraId="1E2FAD3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18,047,650</w:t>
            </w:r>
          </w:p>
        </w:tc>
        <w:tc>
          <w:tcPr>
            <w:tcW w:w="805" w:type="dxa"/>
            <w:tcBorders>
              <w:top w:val="nil"/>
              <w:left w:val="nil"/>
              <w:bottom w:val="nil"/>
              <w:right w:val="single" w:sz="4" w:space="0" w:color="auto"/>
            </w:tcBorders>
            <w:shd w:val="clear" w:color="auto" w:fill="auto"/>
            <w:vAlign w:val="center"/>
            <w:hideMark/>
          </w:tcPr>
          <w:p w14:paraId="2615E15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72,154</w:t>
            </w:r>
          </w:p>
        </w:tc>
        <w:tc>
          <w:tcPr>
            <w:tcW w:w="900" w:type="dxa"/>
            <w:tcBorders>
              <w:top w:val="nil"/>
              <w:left w:val="nil"/>
              <w:bottom w:val="nil"/>
              <w:right w:val="single" w:sz="4" w:space="0" w:color="auto"/>
            </w:tcBorders>
            <w:shd w:val="clear" w:color="auto" w:fill="auto"/>
            <w:vAlign w:val="center"/>
            <w:hideMark/>
          </w:tcPr>
          <w:p w14:paraId="30729AD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337,203</w:t>
            </w:r>
          </w:p>
        </w:tc>
        <w:tc>
          <w:tcPr>
            <w:tcW w:w="780" w:type="dxa"/>
            <w:tcBorders>
              <w:top w:val="nil"/>
              <w:left w:val="nil"/>
              <w:bottom w:val="nil"/>
              <w:right w:val="single" w:sz="4" w:space="0" w:color="auto"/>
            </w:tcBorders>
            <w:shd w:val="clear" w:color="auto" w:fill="auto"/>
            <w:vAlign w:val="center"/>
            <w:hideMark/>
          </w:tcPr>
          <w:p w14:paraId="37AA70C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F50D17" w14:paraId="1E47C709"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745DEE9E"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NZX Limited</w:t>
            </w:r>
          </w:p>
        </w:tc>
        <w:tc>
          <w:tcPr>
            <w:tcW w:w="990" w:type="dxa"/>
            <w:tcBorders>
              <w:top w:val="nil"/>
              <w:left w:val="single" w:sz="4" w:space="0" w:color="auto"/>
              <w:bottom w:val="nil"/>
              <w:right w:val="nil"/>
            </w:tcBorders>
            <w:shd w:val="clear" w:color="auto" w:fill="auto"/>
            <w:vAlign w:val="center"/>
            <w:hideMark/>
          </w:tcPr>
          <w:p w14:paraId="5298111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8,610</w:t>
            </w:r>
          </w:p>
        </w:tc>
        <w:tc>
          <w:tcPr>
            <w:tcW w:w="810" w:type="dxa"/>
            <w:tcBorders>
              <w:top w:val="nil"/>
              <w:left w:val="single" w:sz="4" w:space="0" w:color="auto"/>
              <w:bottom w:val="nil"/>
              <w:right w:val="single" w:sz="4" w:space="0" w:color="auto"/>
            </w:tcBorders>
            <w:shd w:val="clear" w:color="auto" w:fill="auto"/>
            <w:vAlign w:val="center"/>
            <w:hideMark/>
          </w:tcPr>
          <w:p w14:paraId="2ED49C9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25</w:t>
            </w:r>
          </w:p>
        </w:tc>
        <w:tc>
          <w:tcPr>
            <w:tcW w:w="920" w:type="dxa"/>
            <w:tcBorders>
              <w:top w:val="nil"/>
              <w:left w:val="nil"/>
              <w:bottom w:val="nil"/>
              <w:right w:val="nil"/>
            </w:tcBorders>
            <w:shd w:val="clear" w:color="auto" w:fill="auto"/>
            <w:vAlign w:val="center"/>
            <w:hideMark/>
          </w:tcPr>
          <w:p w14:paraId="2D8707C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21,828</w:t>
            </w:r>
          </w:p>
        </w:tc>
        <w:tc>
          <w:tcPr>
            <w:tcW w:w="975" w:type="dxa"/>
            <w:tcBorders>
              <w:top w:val="nil"/>
              <w:left w:val="single" w:sz="4" w:space="0" w:color="auto"/>
              <w:bottom w:val="nil"/>
              <w:right w:val="single" w:sz="4" w:space="0" w:color="auto"/>
            </w:tcBorders>
            <w:shd w:val="clear" w:color="auto" w:fill="auto"/>
            <w:vAlign w:val="center"/>
            <w:hideMark/>
          </w:tcPr>
          <w:p w14:paraId="3042DB8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22,317</w:t>
            </w:r>
          </w:p>
        </w:tc>
        <w:tc>
          <w:tcPr>
            <w:tcW w:w="805" w:type="dxa"/>
            <w:tcBorders>
              <w:top w:val="nil"/>
              <w:left w:val="nil"/>
              <w:bottom w:val="nil"/>
              <w:right w:val="single" w:sz="4" w:space="0" w:color="auto"/>
            </w:tcBorders>
            <w:shd w:val="clear" w:color="auto" w:fill="auto"/>
            <w:vAlign w:val="center"/>
            <w:hideMark/>
          </w:tcPr>
          <w:p w14:paraId="0FEC894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90</w:t>
            </w:r>
          </w:p>
        </w:tc>
        <w:tc>
          <w:tcPr>
            <w:tcW w:w="900" w:type="dxa"/>
            <w:tcBorders>
              <w:top w:val="nil"/>
              <w:left w:val="nil"/>
              <w:bottom w:val="nil"/>
              <w:right w:val="single" w:sz="4" w:space="0" w:color="auto"/>
            </w:tcBorders>
            <w:shd w:val="clear" w:color="auto" w:fill="auto"/>
            <w:vAlign w:val="center"/>
            <w:hideMark/>
          </w:tcPr>
          <w:p w14:paraId="005B74B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43,429</w:t>
            </w:r>
          </w:p>
        </w:tc>
        <w:tc>
          <w:tcPr>
            <w:tcW w:w="780" w:type="dxa"/>
            <w:tcBorders>
              <w:top w:val="nil"/>
              <w:left w:val="nil"/>
              <w:bottom w:val="nil"/>
              <w:right w:val="single" w:sz="4" w:space="0" w:color="auto"/>
            </w:tcBorders>
            <w:shd w:val="clear" w:color="auto" w:fill="auto"/>
            <w:vAlign w:val="center"/>
            <w:hideMark/>
          </w:tcPr>
          <w:p w14:paraId="4F983C22" w14:textId="77777777" w:rsidR="009C313D" w:rsidRPr="00804371" w:rsidRDefault="009C313D" w:rsidP="00560A50">
            <w:pPr>
              <w:jc w:val="right"/>
              <w:rPr>
                <w:rFonts w:ascii="Garamond" w:eastAsia="Times New Roman" w:hAnsi="Garamond" w:cs="Calibri"/>
                <w:sz w:val="18"/>
                <w:szCs w:val="18"/>
                <w:lang w:eastAsia="en-GB"/>
              </w:rPr>
            </w:pPr>
          </w:p>
        </w:tc>
      </w:tr>
      <w:tr w:rsidR="009C313D" w:rsidRPr="00F50D17" w14:paraId="16EAE3E3"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42AB6E9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Shanghai Futures Exchange</w:t>
            </w:r>
          </w:p>
        </w:tc>
        <w:tc>
          <w:tcPr>
            <w:tcW w:w="990" w:type="dxa"/>
            <w:tcBorders>
              <w:top w:val="nil"/>
              <w:left w:val="single" w:sz="4" w:space="0" w:color="auto"/>
              <w:bottom w:val="nil"/>
              <w:right w:val="nil"/>
            </w:tcBorders>
            <w:shd w:val="clear" w:color="auto" w:fill="auto"/>
            <w:vAlign w:val="center"/>
            <w:hideMark/>
          </w:tcPr>
          <w:p w14:paraId="45BEC49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10" w:type="dxa"/>
            <w:tcBorders>
              <w:top w:val="nil"/>
              <w:left w:val="single" w:sz="4" w:space="0" w:color="auto"/>
              <w:bottom w:val="nil"/>
              <w:right w:val="single" w:sz="4" w:space="0" w:color="auto"/>
            </w:tcBorders>
            <w:shd w:val="clear" w:color="auto" w:fill="auto"/>
            <w:vAlign w:val="center"/>
            <w:hideMark/>
          </w:tcPr>
          <w:p w14:paraId="42899D7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nil"/>
              <w:bottom w:val="nil"/>
              <w:right w:val="nil"/>
            </w:tcBorders>
            <w:shd w:val="clear" w:color="auto" w:fill="auto"/>
            <w:vAlign w:val="center"/>
            <w:hideMark/>
          </w:tcPr>
          <w:p w14:paraId="346BB82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5" w:type="dxa"/>
            <w:tcBorders>
              <w:top w:val="nil"/>
              <w:left w:val="single" w:sz="4" w:space="0" w:color="auto"/>
              <w:bottom w:val="nil"/>
              <w:right w:val="single" w:sz="4" w:space="0" w:color="auto"/>
            </w:tcBorders>
            <w:shd w:val="clear" w:color="auto" w:fill="auto"/>
            <w:vAlign w:val="center"/>
            <w:hideMark/>
          </w:tcPr>
          <w:p w14:paraId="2385622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119,978,851</w:t>
            </w:r>
          </w:p>
        </w:tc>
        <w:tc>
          <w:tcPr>
            <w:tcW w:w="805" w:type="dxa"/>
            <w:tcBorders>
              <w:top w:val="nil"/>
              <w:left w:val="nil"/>
              <w:bottom w:val="nil"/>
              <w:right w:val="single" w:sz="4" w:space="0" w:color="auto"/>
            </w:tcBorders>
            <w:shd w:val="clear" w:color="auto" w:fill="auto"/>
            <w:vAlign w:val="center"/>
            <w:hideMark/>
          </w:tcPr>
          <w:p w14:paraId="4F142B4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12,200</w:t>
            </w:r>
          </w:p>
        </w:tc>
        <w:tc>
          <w:tcPr>
            <w:tcW w:w="900" w:type="dxa"/>
            <w:tcBorders>
              <w:top w:val="nil"/>
              <w:left w:val="nil"/>
              <w:bottom w:val="nil"/>
              <w:right w:val="single" w:sz="4" w:space="0" w:color="auto"/>
            </w:tcBorders>
            <w:shd w:val="clear" w:color="auto" w:fill="auto"/>
            <w:vAlign w:val="center"/>
            <w:hideMark/>
          </w:tcPr>
          <w:p w14:paraId="53CDB90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4,477,330</w:t>
            </w:r>
          </w:p>
        </w:tc>
        <w:tc>
          <w:tcPr>
            <w:tcW w:w="780" w:type="dxa"/>
            <w:tcBorders>
              <w:top w:val="nil"/>
              <w:left w:val="nil"/>
              <w:bottom w:val="nil"/>
              <w:right w:val="single" w:sz="4" w:space="0" w:color="auto"/>
            </w:tcBorders>
            <w:shd w:val="clear" w:color="auto" w:fill="auto"/>
            <w:vAlign w:val="center"/>
            <w:hideMark/>
          </w:tcPr>
          <w:p w14:paraId="163F56A0" w14:textId="77777777" w:rsidR="009C313D" w:rsidRPr="00804371" w:rsidRDefault="009C313D" w:rsidP="00560A50">
            <w:pPr>
              <w:jc w:val="right"/>
              <w:rPr>
                <w:rFonts w:ascii="Garamond" w:eastAsia="Times New Roman" w:hAnsi="Garamond" w:cs="Calibri"/>
                <w:sz w:val="18"/>
                <w:szCs w:val="18"/>
                <w:lang w:eastAsia="en-GB"/>
              </w:rPr>
            </w:pPr>
          </w:p>
        </w:tc>
      </w:tr>
      <w:tr w:rsidR="009C313D" w:rsidRPr="00F50D17" w14:paraId="0A6589E8"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4C3531F0"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Singapore Exchange</w:t>
            </w:r>
          </w:p>
        </w:tc>
        <w:tc>
          <w:tcPr>
            <w:tcW w:w="990" w:type="dxa"/>
            <w:tcBorders>
              <w:top w:val="nil"/>
              <w:left w:val="single" w:sz="4" w:space="0" w:color="auto"/>
              <w:bottom w:val="nil"/>
              <w:right w:val="nil"/>
            </w:tcBorders>
            <w:shd w:val="clear" w:color="auto" w:fill="auto"/>
            <w:vAlign w:val="center"/>
            <w:hideMark/>
          </w:tcPr>
          <w:p w14:paraId="2FC9A00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274,585</w:t>
            </w:r>
          </w:p>
        </w:tc>
        <w:tc>
          <w:tcPr>
            <w:tcW w:w="810" w:type="dxa"/>
            <w:tcBorders>
              <w:top w:val="nil"/>
              <w:left w:val="single" w:sz="4" w:space="0" w:color="auto"/>
              <w:bottom w:val="nil"/>
              <w:right w:val="single" w:sz="4" w:space="0" w:color="auto"/>
            </w:tcBorders>
            <w:shd w:val="clear" w:color="auto" w:fill="auto"/>
            <w:vAlign w:val="center"/>
            <w:hideMark/>
          </w:tcPr>
          <w:p w14:paraId="650DE0B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nil"/>
              <w:bottom w:val="nil"/>
              <w:right w:val="nil"/>
            </w:tcBorders>
            <w:shd w:val="clear" w:color="auto" w:fill="auto"/>
            <w:vAlign w:val="center"/>
            <w:hideMark/>
          </w:tcPr>
          <w:p w14:paraId="6072F66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699,854</w:t>
            </w:r>
          </w:p>
        </w:tc>
        <w:tc>
          <w:tcPr>
            <w:tcW w:w="975" w:type="dxa"/>
            <w:tcBorders>
              <w:top w:val="nil"/>
              <w:left w:val="single" w:sz="4" w:space="0" w:color="auto"/>
              <w:bottom w:val="nil"/>
              <w:right w:val="single" w:sz="4" w:space="0" w:color="auto"/>
            </w:tcBorders>
            <w:shd w:val="clear" w:color="auto" w:fill="auto"/>
            <w:vAlign w:val="center"/>
            <w:hideMark/>
          </w:tcPr>
          <w:p w14:paraId="35643F3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1,159,269</w:t>
            </w:r>
          </w:p>
        </w:tc>
        <w:tc>
          <w:tcPr>
            <w:tcW w:w="805" w:type="dxa"/>
            <w:tcBorders>
              <w:top w:val="nil"/>
              <w:left w:val="nil"/>
              <w:bottom w:val="nil"/>
              <w:right w:val="single" w:sz="4" w:space="0" w:color="auto"/>
            </w:tcBorders>
            <w:shd w:val="clear" w:color="auto" w:fill="auto"/>
            <w:vAlign w:val="center"/>
            <w:hideMark/>
          </w:tcPr>
          <w:p w14:paraId="61D9DA6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00" w:type="dxa"/>
            <w:tcBorders>
              <w:top w:val="nil"/>
              <w:left w:val="nil"/>
              <w:bottom w:val="nil"/>
              <w:right w:val="single" w:sz="4" w:space="0" w:color="auto"/>
            </w:tcBorders>
            <w:shd w:val="clear" w:color="auto" w:fill="auto"/>
            <w:vAlign w:val="center"/>
            <w:hideMark/>
          </w:tcPr>
          <w:p w14:paraId="7D9B73F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695,565</w:t>
            </w:r>
          </w:p>
        </w:tc>
        <w:tc>
          <w:tcPr>
            <w:tcW w:w="780" w:type="dxa"/>
            <w:tcBorders>
              <w:top w:val="nil"/>
              <w:left w:val="nil"/>
              <w:bottom w:val="nil"/>
              <w:right w:val="single" w:sz="4" w:space="0" w:color="auto"/>
            </w:tcBorders>
            <w:shd w:val="clear" w:color="auto" w:fill="auto"/>
            <w:vAlign w:val="center"/>
            <w:hideMark/>
          </w:tcPr>
          <w:p w14:paraId="4FBC6B19" w14:textId="77777777" w:rsidR="009C313D" w:rsidRPr="00804371" w:rsidRDefault="009C313D" w:rsidP="00560A50">
            <w:pPr>
              <w:jc w:val="right"/>
              <w:rPr>
                <w:rFonts w:ascii="Garamond" w:eastAsia="Times New Roman" w:hAnsi="Garamond" w:cs="Calibri"/>
                <w:sz w:val="18"/>
                <w:szCs w:val="18"/>
                <w:lang w:eastAsia="en-GB"/>
              </w:rPr>
            </w:pPr>
          </w:p>
        </w:tc>
      </w:tr>
      <w:tr w:rsidR="009C313D" w:rsidRPr="00F50D17" w14:paraId="3E26752A"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74684B5D"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TAIFEX</w:t>
            </w:r>
          </w:p>
        </w:tc>
        <w:tc>
          <w:tcPr>
            <w:tcW w:w="990" w:type="dxa"/>
            <w:tcBorders>
              <w:top w:val="nil"/>
              <w:left w:val="single" w:sz="4" w:space="0" w:color="auto"/>
              <w:bottom w:val="nil"/>
              <w:right w:val="nil"/>
            </w:tcBorders>
            <w:shd w:val="clear" w:color="auto" w:fill="auto"/>
            <w:vAlign w:val="center"/>
            <w:hideMark/>
          </w:tcPr>
          <w:p w14:paraId="602036E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4,883</w:t>
            </w:r>
          </w:p>
        </w:tc>
        <w:tc>
          <w:tcPr>
            <w:tcW w:w="810" w:type="dxa"/>
            <w:tcBorders>
              <w:top w:val="nil"/>
              <w:left w:val="single" w:sz="4" w:space="0" w:color="auto"/>
              <w:bottom w:val="nil"/>
              <w:right w:val="single" w:sz="4" w:space="0" w:color="auto"/>
            </w:tcBorders>
            <w:shd w:val="clear" w:color="auto" w:fill="auto"/>
            <w:vAlign w:val="center"/>
            <w:hideMark/>
          </w:tcPr>
          <w:p w14:paraId="4EE823F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36</w:t>
            </w:r>
          </w:p>
        </w:tc>
        <w:tc>
          <w:tcPr>
            <w:tcW w:w="920" w:type="dxa"/>
            <w:tcBorders>
              <w:top w:val="nil"/>
              <w:left w:val="nil"/>
              <w:bottom w:val="nil"/>
              <w:right w:val="nil"/>
            </w:tcBorders>
            <w:shd w:val="clear" w:color="auto" w:fill="auto"/>
            <w:vAlign w:val="center"/>
            <w:hideMark/>
          </w:tcPr>
          <w:p w14:paraId="3AB7F2C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469</w:t>
            </w:r>
          </w:p>
        </w:tc>
        <w:tc>
          <w:tcPr>
            <w:tcW w:w="975" w:type="dxa"/>
            <w:tcBorders>
              <w:top w:val="nil"/>
              <w:left w:val="single" w:sz="4" w:space="0" w:color="auto"/>
              <w:bottom w:val="nil"/>
              <w:right w:val="single" w:sz="4" w:space="0" w:color="auto"/>
            </w:tcBorders>
            <w:shd w:val="clear" w:color="auto" w:fill="auto"/>
            <w:vAlign w:val="center"/>
            <w:hideMark/>
          </w:tcPr>
          <w:p w14:paraId="3DEA6DE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22,169</w:t>
            </w:r>
          </w:p>
        </w:tc>
        <w:tc>
          <w:tcPr>
            <w:tcW w:w="805" w:type="dxa"/>
            <w:tcBorders>
              <w:top w:val="nil"/>
              <w:left w:val="nil"/>
              <w:bottom w:val="nil"/>
              <w:right w:val="single" w:sz="4" w:space="0" w:color="auto"/>
            </w:tcBorders>
            <w:shd w:val="clear" w:color="auto" w:fill="auto"/>
            <w:vAlign w:val="center"/>
            <w:hideMark/>
          </w:tcPr>
          <w:p w14:paraId="6587F39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315</w:t>
            </w:r>
          </w:p>
        </w:tc>
        <w:tc>
          <w:tcPr>
            <w:tcW w:w="900" w:type="dxa"/>
            <w:tcBorders>
              <w:top w:val="nil"/>
              <w:left w:val="nil"/>
              <w:bottom w:val="nil"/>
              <w:right w:val="single" w:sz="4" w:space="0" w:color="auto"/>
            </w:tcBorders>
            <w:shd w:val="clear" w:color="auto" w:fill="auto"/>
            <w:vAlign w:val="center"/>
            <w:hideMark/>
          </w:tcPr>
          <w:p w14:paraId="2B97CCA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1,232</w:t>
            </w:r>
          </w:p>
        </w:tc>
        <w:tc>
          <w:tcPr>
            <w:tcW w:w="780" w:type="dxa"/>
            <w:tcBorders>
              <w:top w:val="nil"/>
              <w:left w:val="nil"/>
              <w:bottom w:val="nil"/>
              <w:right w:val="single" w:sz="4" w:space="0" w:color="auto"/>
            </w:tcBorders>
            <w:shd w:val="clear" w:color="auto" w:fill="auto"/>
            <w:vAlign w:val="center"/>
            <w:hideMark/>
          </w:tcPr>
          <w:p w14:paraId="7994023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F50D17" w14:paraId="12C69A69"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64699D1B"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Thailand Futures Exchange</w:t>
            </w:r>
          </w:p>
        </w:tc>
        <w:tc>
          <w:tcPr>
            <w:tcW w:w="990" w:type="dxa"/>
            <w:tcBorders>
              <w:top w:val="nil"/>
              <w:left w:val="single" w:sz="4" w:space="0" w:color="auto"/>
              <w:bottom w:val="nil"/>
              <w:right w:val="nil"/>
            </w:tcBorders>
            <w:shd w:val="clear" w:color="auto" w:fill="auto"/>
            <w:vAlign w:val="center"/>
            <w:hideMark/>
          </w:tcPr>
          <w:p w14:paraId="42BCEE4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10" w:type="dxa"/>
            <w:tcBorders>
              <w:top w:val="nil"/>
              <w:left w:val="single" w:sz="4" w:space="0" w:color="auto"/>
              <w:bottom w:val="nil"/>
              <w:right w:val="single" w:sz="4" w:space="0" w:color="auto"/>
            </w:tcBorders>
            <w:shd w:val="clear" w:color="auto" w:fill="auto"/>
            <w:vAlign w:val="center"/>
            <w:hideMark/>
          </w:tcPr>
          <w:p w14:paraId="650DC89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nil"/>
              <w:bottom w:val="nil"/>
              <w:right w:val="nil"/>
            </w:tcBorders>
            <w:shd w:val="clear" w:color="auto" w:fill="auto"/>
            <w:vAlign w:val="center"/>
            <w:hideMark/>
          </w:tcPr>
          <w:p w14:paraId="5CD669C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5" w:type="dxa"/>
            <w:tcBorders>
              <w:top w:val="nil"/>
              <w:left w:val="single" w:sz="4" w:space="0" w:color="auto"/>
              <w:bottom w:val="nil"/>
              <w:right w:val="single" w:sz="4" w:space="0" w:color="auto"/>
            </w:tcBorders>
            <w:shd w:val="clear" w:color="auto" w:fill="auto"/>
            <w:vAlign w:val="center"/>
            <w:hideMark/>
          </w:tcPr>
          <w:p w14:paraId="28A403D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463,870</w:t>
            </w:r>
          </w:p>
        </w:tc>
        <w:tc>
          <w:tcPr>
            <w:tcW w:w="805" w:type="dxa"/>
            <w:tcBorders>
              <w:top w:val="nil"/>
              <w:left w:val="nil"/>
              <w:bottom w:val="nil"/>
              <w:right w:val="single" w:sz="4" w:space="0" w:color="auto"/>
            </w:tcBorders>
            <w:shd w:val="clear" w:color="auto" w:fill="auto"/>
            <w:vAlign w:val="center"/>
            <w:hideMark/>
          </w:tcPr>
          <w:p w14:paraId="3733B96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00" w:type="dxa"/>
            <w:tcBorders>
              <w:top w:val="nil"/>
              <w:left w:val="nil"/>
              <w:bottom w:val="nil"/>
              <w:right w:val="single" w:sz="4" w:space="0" w:color="auto"/>
            </w:tcBorders>
            <w:shd w:val="clear" w:color="auto" w:fill="auto"/>
            <w:vAlign w:val="center"/>
            <w:hideMark/>
          </w:tcPr>
          <w:p w14:paraId="565B7E2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56,175</w:t>
            </w:r>
          </w:p>
        </w:tc>
        <w:tc>
          <w:tcPr>
            <w:tcW w:w="780" w:type="dxa"/>
            <w:tcBorders>
              <w:top w:val="nil"/>
              <w:left w:val="nil"/>
              <w:bottom w:val="nil"/>
              <w:right w:val="single" w:sz="4" w:space="0" w:color="auto"/>
            </w:tcBorders>
            <w:shd w:val="clear" w:color="auto" w:fill="auto"/>
            <w:vAlign w:val="center"/>
            <w:hideMark/>
          </w:tcPr>
          <w:p w14:paraId="0F0375B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F50D17" w14:paraId="2E380C5C"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681E6DD5"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Zhengzhou Commodity Exchange</w:t>
            </w:r>
          </w:p>
        </w:tc>
        <w:tc>
          <w:tcPr>
            <w:tcW w:w="990" w:type="dxa"/>
            <w:tcBorders>
              <w:top w:val="nil"/>
              <w:left w:val="single" w:sz="4" w:space="0" w:color="auto"/>
              <w:bottom w:val="nil"/>
              <w:right w:val="nil"/>
            </w:tcBorders>
            <w:shd w:val="clear" w:color="auto" w:fill="auto"/>
            <w:vAlign w:val="center"/>
            <w:hideMark/>
          </w:tcPr>
          <w:p w14:paraId="72686D5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400,154</w:t>
            </w:r>
          </w:p>
        </w:tc>
        <w:tc>
          <w:tcPr>
            <w:tcW w:w="810" w:type="dxa"/>
            <w:tcBorders>
              <w:top w:val="nil"/>
              <w:left w:val="single" w:sz="4" w:space="0" w:color="auto"/>
              <w:bottom w:val="nil"/>
              <w:right w:val="single" w:sz="4" w:space="0" w:color="auto"/>
            </w:tcBorders>
            <w:shd w:val="clear" w:color="auto" w:fill="auto"/>
            <w:vAlign w:val="center"/>
            <w:hideMark/>
          </w:tcPr>
          <w:p w14:paraId="2B3801E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59</w:t>
            </w:r>
          </w:p>
        </w:tc>
        <w:tc>
          <w:tcPr>
            <w:tcW w:w="920" w:type="dxa"/>
            <w:tcBorders>
              <w:top w:val="nil"/>
              <w:left w:val="nil"/>
              <w:bottom w:val="nil"/>
              <w:right w:val="nil"/>
            </w:tcBorders>
            <w:shd w:val="clear" w:color="auto" w:fill="auto"/>
            <w:vAlign w:val="center"/>
            <w:hideMark/>
          </w:tcPr>
          <w:p w14:paraId="1EAD6CC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115,479</w:t>
            </w:r>
          </w:p>
        </w:tc>
        <w:tc>
          <w:tcPr>
            <w:tcW w:w="975" w:type="dxa"/>
            <w:tcBorders>
              <w:top w:val="nil"/>
              <w:left w:val="single" w:sz="4" w:space="0" w:color="auto"/>
              <w:bottom w:val="nil"/>
              <w:right w:val="single" w:sz="4" w:space="0" w:color="auto"/>
            </w:tcBorders>
            <w:shd w:val="clear" w:color="auto" w:fill="auto"/>
            <w:vAlign w:val="center"/>
            <w:hideMark/>
          </w:tcPr>
          <w:p w14:paraId="7E321BA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118,098,729</w:t>
            </w:r>
          </w:p>
        </w:tc>
        <w:tc>
          <w:tcPr>
            <w:tcW w:w="805" w:type="dxa"/>
            <w:tcBorders>
              <w:top w:val="nil"/>
              <w:left w:val="nil"/>
              <w:bottom w:val="nil"/>
              <w:right w:val="single" w:sz="4" w:space="0" w:color="auto"/>
            </w:tcBorders>
            <w:shd w:val="clear" w:color="auto" w:fill="auto"/>
            <w:vAlign w:val="center"/>
            <w:hideMark/>
          </w:tcPr>
          <w:p w14:paraId="635BB2F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777,066</w:t>
            </w:r>
          </w:p>
        </w:tc>
        <w:tc>
          <w:tcPr>
            <w:tcW w:w="900" w:type="dxa"/>
            <w:tcBorders>
              <w:top w:val="nil"/>
              <w:left w:val="nil"/>
              <w:bottom w:val="nil"/>
              <w:right w:val="single" w:sz="4" w:space="0" w:color="auto"/>
            </w:tcBorders>
            <w:shd w:val="clear" w:color="auto" w:fill="auto"/>
            <w:vAlign w:val="center"/>
            <w:hideMark/>
          </w:tcPr>
          <w:p w14:paraId="4FED1A0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3,420,040</w:t>
            </w:r>
          </w:p>
        </w:tc>
        <w:tc>
          <w:tcPr>
            <w:tcW w:w="780" w:type="dxa"/>
            <w:tcBorders>
              <w:top w:val="nil"/>
              <w:left w:val="nil"/>
              <w:bottom w:val="nil"/>
              <w:right w:val="single" w:sz="4" w:space="0" w:color="auto"/>
            </w:tcBorders>
            <w:shd w:val="clear" w:color="auto" w:fill="auto"/>
            <w:vAlign w:val="center"/>
            <w:hideMark/>
          </w:tcPr>
          <w:p w14:paraId="560C3AC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F50D17" w14:paraId="6B8E3BAE" w14:textId="77777777" w:rsidTr="00560A50">
        <w:trPr>
          <w:trHeight w:val="53"/>
          <w:jc w:val="center"/>
        </w:trPr>
        <w:tc>
          <w:tcPr>
            <w:tcW w:w="3595" w:type="dxa"/>
            <w:tcBorders>
              <w:top w:val="single" w:sz="4" w:space="0" w:color="auto"/>
              <w:left w:val="single" w:sz="4" w:space="0" w:color="auto"/>
              <w:bottom w:val="single" w:sz="4" w:space="0" w:color="auto"/>
              <w:right w:val="nil"/>
            </w:tcBorders>
            <w:shd w:val="clear" w:color="000000" w:fill="B4C6E7"/>
            <w:vAlign w:val="center"/>
            <w:hideMark/>
          </w:tcPr>
          <w:p w14:paraId="373EE902"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Total </w:t>
            </w:r>
            <w:r>
              <w:rPr>
                <w:rFonts w:ascii="Garamond" w:eastAsia="Times New Roman" w:hAnsi="Garamond" w:cs="Calibri"/>
                <w:b/>
                <w:bCs/>
                <w:sz w:val="18"/>
                <w:szCs w:val="18"/>
                <w:lang w:eastAsia="en-GB"/>
              </w:rPr>
              <w:t>R</w:t>
            </w:r>
            <w:r w:rsidRPr="00804371">
              <w:rPr>
                <w:rFonts w:ascii="Garamond" w:eastAsia="Times New Roman" w:hAnsi="Garamond" w:cs="Calibri"/>
                <w:b/>
                <w:bCs/>
                <w:sz w:val="18"/>
                <w:szCs w:val="18"/>
                <w:lang w:eastAsia="en-GB"/>
              </w:rPr>
              <w:t>egion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DC56D"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798,235</w:t>
            </w:r>
          </w:p>
        </w:tc>
        <w:tc>
          <w:tcPr>
            <w:tcW w:w="810" w:type="dxa"/>
            <w:tcBorders>
              <w:top w:val="single" w:sz="4" w:space="0" w:color="auto"/>
              <w:left w:val="nil"/>
              <w:bottom w:val="single" w:sz="4" w:space="0" w:color="auto"/>
              <w:right w:val="nil"/>
            </w:tcBorders>
            <w:shd w:val="clear" w:color="auto" w:fill="auto"/>
            <w:vAlign w:val="center"/>
            <w:hideMark/>
          </w:tcPr>
          <w:p w14:paraId="0B0B95F5" w14:textId="77777777" w:rsidR="009C313D" w:rsidRPr="00804371" w:rsidRDefault="009C313D" w:rsidP="00560A50">
            <w:pPr>
              <w:jc w:val="right"/>
              <w:rPr>
                <w:rFonts w:ascii="Garamond" w:eastAsia="Times New Roman" w:hAnsi="Garamond" w:cs="Calibri"/>
                <w:b/>
                <w:bCs/>
                <w:sz w:val="18"/>
                <w:szCs w:val="18"/>
                <w:lang w:eastAsia="en-GB"/>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483B0" w14:textId="77777777" w:rsidR="009C313D" w:rsidRPr="00804371" w:rsidRDefault="009C313D" w:rsidP="00560A50">
            <w:pPr>
              <w:jc w:val="right"/>
              <w:rPr>
                <w:rFonts w:ascii="Garamond" w:eastAsia="Times New Roman" w:hAnsi="Garamond" w:cs="Calibri"/>
                <w:b/>
                <w:bCs/>
                <w:sz w:val="18"/>
                <w:szCs w:val="18"/>
                <w:lang w:eastAsia="en-GB"/>
              </w:rPr>
            </w:pPr>
          </w:p>
        </w:tc>
        <w:tc>
          <w:tcPr>
            <w:tcW w:w="975" w:type="dxa"/>
            <w:tcBorders>
              <w:top w:val="single" w:sz="4" w:space="0" w:color="auto"/>
              <w:left w:val="nil"/>
              <w:bottom w:val="single" w:sz="4" w:space="0" w:color="auto"/>
              <w:right w:val="nil"/>
            </w:tcBorders>
            <w:shd w:val="clear" w:color="auto" w:fill="auto"/>
            <w:vAlign w:val="center"/>
            <w:hideMark/>
          </w:tcPr>
          <w:p w14:paraId="34BCCCCE"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258,737,602</w:t>
            </w:r>
          </w:p>
        </w:tc>
        <w:tc>
          <w:tcPr>
            <w:tcW w:w="805" w:type="dxa"/>
            <w:tcBorders>
              <w:top w:val="single" w:sz="4" w:space="0" w:color="auto"/>
              <w:left w:val="single" w:sz="4" w:space="0" w:color="auto"/>
              <w:bottom w:val="single" w:sz="4" w:space="0" w:color="auto"/>
              <w:right w:val="nil"/>
            </w:tcBorders>
            <w:shd w:val="clear" w:color="auto" w:fill="auto"/>
            <w:vAlign w:val="center"/>
            <w:hideMark/>
          </w:tcPr>
          <w:p w14:paraId="4A09DAD2" w14:textId="77777777" w:rsidR="009C313D" w:rsidRPr="00804371" w:rsidRDefault="009C313D" w:rsidP="00560A50">
            <w:pPr>
              <w:jc w:val="right"/>
              <w:rPr>
                <w:rFonts w:ascii="Garamond" w:eastAsia="Times New Roman" w:hAnsi="Garamond" w:cs="Calibri"/>
                <w:b/>
                <w:bCs/>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C77E9" w14:textId="77777777" w:rsidR="009C313D" w:rsidRPr="00804371" w:rsidRDefault="009C313D" w:rsidP="00560A50">
            <w:pPr>
              <w:jc w:val="right"/>
              <w:rPr>
                <w:rFonts w:ascii="Garamond" w:eastAsia="Times New Roman" w:hAnsi="Garamond" w:cs="Calibri"/>
                <w:b/>
                <w:bCs/>
                <w:sz w:val="18"/>
                <w:szCs w:val="18"/>
                <w:lang w:eastAsia="en-GB"/>
              </w:rPr>
            </w:pP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1A312CBE" w14:textId="77777777" w:rsidR="009C313D" w:rsidRPr="00804371" w:rsidRDefault="009C313D" w:rsidP="00560A50">
            <w:pPr>
              <w:jc w:val="right"/>
              <w:rPr>
                <w:rFonts w:ascii="Garamond" w:eastAsia="Times New Roman" w:hAnsi="Garamond" w:cs="Calibri"/>
                <w:b/>
                <w:bCs/>
                <w:sz w:val="18"/>
                <w:szCs w:val="18"/>
                <w:lang w:eastAsia="en-GB"/>
              </w:rPr>
            </w:pPr>
          </w:p>
        </w:tc>
      </w:tr>
      <w:tr w:rsidR="009C313D" w:rsidRPr="00804371" w14:paraId="3A42BD89" w14:textId="77777777" w:rsidTr="00560A50">
        <w:trPr>
          <w:trHeight w:val="53"/>
          <w:jc w:val="center"/>
        </w:trPr>
        <w:tc>
          <w:tcPr>
            <w:tcW w:w="9775" w:type="dxa"/>
            <w:gridSpan w:val="8"/>
            <w:tcBorders>
              <w:top w:val="single" w:sz="4" w:space="0" w:color="auto"/>
              <w:left w:val="single" w:sz="4" w:space="0" w:color="auto"/>
              <w:bottom w:val="single" w:sz="4" w:space="0" w:color="auto"/>
              <w:right w:val="single" w:sz="4" w:space="0" w:color="auto"/>
            </w:tcBorders>
            <w:shd w:val="clear" w:color="000000" w:fill="D9E1F2"/>
            <w:vAlign w:val="center"/>
            <w:hideMark/>
          </w:tcPr>
          <w:p w14:paraId="4A946710"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Europe - Africa - Middle East</w:t>
            </w:r>
          </w:p>
        </w:tc>
      </w:tr>
      <w:tr w:rsidR="009C313D" w:rsidRPr="00F50D17" w14:paraId="721261C8" w14:textId="77777777" w:rsidTr="00560A50">
        <w:trPr>
          <w:trHeight w:val="53"/>
          <w:jc w:val="center"/>
        </w:trPr>
        <w:tc>
          <w:tcPr>
            <w:tcW w:w="3595" w:type="dxa"/>
            <w:tcBorders>
              <w:top w:val="nil"/>
              <w:left w:val="single" w:sz="4" w:space="0" w:color="auto"/>
              <w:bottom w:val="nil"/>
              <w:right w:val="nil"/>
            </w:tcBorders>
            <w:shd w:val="clear" w:color="000000" w:fill="B4C6E7"/>
            <w:vAlign w:val="center"/>
            <w:hideMark/>
          </w:tcPr>
          <w:p w14:paraId="2D6DF9C0"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Borsa Istanbul</w:t>
            </w:r>
          </w:p>
        </w:tc>
        <w:tc>
          <w:tcPr>
            <w:tcW w:w="990" w:type="dxa"/>
            <w:tcBorders>
              <w:top w:val="nil"/>
              <w:left w:val="single" w:sz="4" w:space="0" w:color="auto"/>
              <w:bottom w:val="nil"/>
              <w:right w:val="nil"/>
            </w:tcBorders>
            <w:shd w:val="clear" w:color="auto" w:fill="auto"/>
            <w:vAlign w:val="center"/>
            <w:hideMark/>
          </w:tcPr>
          <w:p w14:paraId="6F13117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10" w:type="dxa"/>
            <w:tcBorders>
              <w:top w:val="nil"/>
              <w:left w:val="single" w:sz="4" w:space="0" w:color="auto"/>
              <w:bottom w:val="nil"/>
              <w:right w:val="single" w:sz="4" w:space="0" w:color="auto"/>
            </w:tcBorders>
            <w:shd w:val="clear" w:color="auto" w:fill="auto"/>
            <w:vAlign w:val="center"/>
            <w:hideMark/>
          </w:tcPr>
          <w:p w14:paraId="4990FBF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nil"/>
              <w:bottom w:val="nil"/>
              <w:right w:val="nil"/>
            </w:tcBorders>
            <w:shd w:val="clear" w:color="auto" w:fill="auto"/>
            <w:vAlign w:val="center"/>
            <w:hideMark/>
          </w:tcPr>
          <w:p w14:paraId="5A1ED30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5" w:type="dxa"/>
            <w:tcBorders>
              <w:top w:val="nil"/>
              <w:left w:val="single" w:sz="4" w:space="0" w:color="auto"/>
              <w:bottom w:val="nil"/>
              <w:right w:val="single" w:sz="4" w:space="0" w:color="auto"/>
            </w:tcBorders>
            <w:shd w:val="clear" w:color="auto" w:fill="auto"/>
            <w:vAlign w:val="center"/>
            <w:hideMark/>
          </w:tcPr>
          <w:p w14:paraId="6B92720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1,373,409</w:t>
            </w:r>
          </w:p>
        </w:tc>
        <w:tc>
          <w:tcPr>
            <w:tcW w:w="805" w:type="dxa"/>
            <w:tcBorders>
              <w:top w:val="nil"/>
              <w:left w:val="nil"/>
              <w:bottom w:val="nil"/>
              <w:right w:val="single" w:sz="4" w:space="0" w:color="auto"/>
            </w:tcBorders>
            <w:shd w:val="clear" w:color="auto" w:fill="auto"/>
            <w:vAlign w:val="center"/>
            <w:hideMark/>
          </w:tcPr>
          <w:p w14:paraId="6C2D897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192</w:t>
            </w:r>
          </w:p>
        </w:tc>
        <w:tc>
          <w:tcPr>
            <w:tcW w:w="900" w:type="dxa"/>
            <w:tcBorders>
              <w:top w:val="nil"/>
              <w:left w:val="nil"/>
              <w:bottom w:val="nil"/>
              <w:right w:val="single" w:sz="4" w:space="0" w:color="auto"/>
            </w:tcBorders>
            <w:shd w:val="clear" w:color="auto" w:fill="auto"/>
            <w:vAlign w:val="center"/>
            <w:hideMark/>
          </w:tcPr>
          <w:p w14:paraId="29FFEEC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100,400</w:t>
            </w:r>
          </w:p>
        </w:tc>
        <w:tc>
          <w:tcPr>
            <w:tcW w:w="780" w:type="dxa"/>
            <w:tcBorders>
              <w:top w:val="nil"/>
              <w:left w:val="nil"/>
              <w:bottom w:val="nil"/>
              <w:right w:val="single" w:sz="4" w:space="0" w:color="auto"/>
            </w:tcBorders>
            <w:shd w:val="clear" w:color="auto" w:fill="auto"/>
            <w:vAlign w:val="center"/>
            <w:hideMark/>
          </w:tcPr>
          <w:p w14:paraId="5A79147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18</w:t>
            </w:r>
          </w:p>
        </w:tc>
      </w:tr>
      <w:tr w:rsidR="009C313D" w:rsidRPr="00F50D17" w14:paraId="1439A392"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463E25F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Budapest Stock Exchange</w:t>
            </w:r>
          </w:p>
        </w:tc>
        <w:tc>
          <w:tcPr>
            <w:tcW w:w="990" w:type="dxa"/>
            <w:tcBorders>
              <w:top w:val="nil"/>
              <w:left w:val="single" w:sz="4" w:space="0" w:color="auto"/>
              <w:bottom w:val="nil"/>
              <w:right w:val="nil"/>
            </w:tcBorders>
            <w:shd w:val="clear" w:color="auto" w:fill="auto"/>
            <w:vAlign w:val="center"/>
            <w:hideMark/>
          </w:tcPr>
          <w:p w14:paraId="5943A61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10" w:type="dxa"/>
            <w:tcBorders>
              <w:top w:val="nil"/>
              <w:left w:val="single" w:sz="4" w:space="0" w:color="auto"/>
              <w:bottom w:val="nil"/>
              <w:right w:val="single" w:sz="4" w:space="0" w:color="auto"/>
            </w:tcBorders>
            <w:shd w:val="clear" w:color="auto" w:fill="auto"/>
            <w:vAlign w:val="center"/>
            <w:hideMark/>
          </w:tcPr>
          <w:p w14:paraId="134771A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20" w:type="dxa"/>
            <w:tcBorders>
              <w:top w:val="nil"/>
              <w:left w:val="nil"/>
              <w:bottom w:val="nil"/>
              <w:right w:val="nil"/>
            </w:tcBorders>
            <w:shd w:val="clear" w:color="auto" w:fill="auto"/>
            <w:vAlign w:val="center"/>
            <w:hideMark/>
          </w:tcPr>
          <w:p w14:paraId="36E027C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75" w:type="dxa"/>
            <w:tcBorders>
              <w:top w:val="nil"/>
              <w:left w:val="single" w:sz="4" w:space="0" w:color="auto"/>
              <w:bottom w:val="nil"/>
              <w:right w:val="single" w:sz="4" w:space="0" w:color="auto"/>
            </w:tcBorders>
            <w:shd w:val="clear" w:color="auto" w:fill="auto"/>
            <w:vAlign w:val="center"/>
            <w:hideMark/>
          </w:tcPr>
          <w:p w14:paraId="5063C14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805" w:type="dxa"/>
            <w:tcBorders>
              <w:top w:val="nil"/>
              <w:left w:val="nil"/>
              <w:bottom w:val="nil"/>
              <w:right w:val="single" w:sz="4" w:space="0" w:color="auto"/>
            </w:tcBorders>
            <w:shd w:val="clear" w:color="auto" w:fill="auto"/>
            <w:vAlign w:val="center"/>
            <w:hideMark/>
          </w:tcPr>
          <w:p w14:paraId="1DFAD0E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900" w:type="dxa"/>
            <w:tcBorders>
              <w:top w:val="nil"/>
              <w:left w:val="nil"/>
              <w:bottom w:val="nil"/>
              <w:right w:val="single" w:sz="4" w:space="0" w:color="auto"/>
            </w:tcBorders>
            <w:shd w:val="clear" w:color="auto" w:fill="auto"/>
            <w:vAlign w:val="center"/>
            <w:hideMark/>
          </w:tcPr>
          <w:p w14:paraId="3A2C2CE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c>
          <w:tcPr>
            <w:tcW w:w="780" w:type="dxa"/>
            <w:tcBorders>
              <w:top w:val="nil"/>
              <w:left w:val="nil"/>
              <w:bottom w:val="nil"/>
              <w:right w:val="single" w:sz="4" w:space="0" w:color="auto"/>
            </w:tcBorders>
            <w:shd w:val="clear" w:color="auto" w:fill="auto"/>
            <w:vAlign w:val="center"/>
            <w:hideMark/>
          </w:tcPr>
          <w:p w14:paraId="4BC308E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F50D17" w14:paraId="567B5D00"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0244D21D"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Dubai Gold &amp; Commodities Exchange</w:t>
            </w:r>
          </w:p>
        </w:tc>
        <w:tc>
          <w:tcPr>
            <w:tcW w:w="990" w:type="dxa"/>
            <w:tcBorders>
              <w:top w:val="nil"/>
              <w:left w:val="single" w:sz="4" w:space="0" w:color="auto"/>
              <w:bottom w:val="nil"/>
              <w:right w:val="nil"/>
            </w:tcBorders>
            <w:shd w:val="clear" w:color="auto" w:fill="auto"/>
            <w:vAlign w:val="center"/>
            <w:hideMark/>
          </w:tcPr>
          <w:p w14:paraId="253D4D3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10" w:type="dxa"/>
            <w:tcBorders>
              <w:top w:val="nil"/>
              <w:left w:val="single" w:sz="4" w:space="0" w:color="auto"/>
              <w:bottom w:val="nil"/>
              <w:right w:val="single" w:sz="4" w:space="0" w:color="auto"/>
            </w:tcBorders>
            <w:shd w:val="clear" w:color="auto" w:fill="auto"/>
            <w:vAlign w:val="center"/>
            <w:hideMark/>
          </w:tcPr>
          <w:p w14:paraId="3BC931E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nil"/>
              <w:bottom w:val="nil"/>
              <w:right w:val="nil"/>
            </w:tcBorders>
            <w:shd w:val="clear" w:color="auto" w:fill="auto"/>
            <w:vAlign w:val="center"/>
            <w:hideMark/>
          </w:tcPr>
          <w:p w14:paraId="308BFE0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5" w:type="dxa"/>
            <w:tcBorders>
              <w:top w:val="nil"/>
              <w:left w:val="single" w:sz="4" w:space="0" w:color="auto"/>
              <w:bottom w:val="nil"/>
              <w:right w:val="single" w:sz="4" w:space="0" w:color="auto"/>
            </w:tcBorders>
            <w:shd w:val="clear" w:color="auto" w:fill="auto"/>
            <w:vAlign w:val="center"/>
            <w:hideMark/>
          </w:tcPr>
          <w:p w14:paraId="059D123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49,307</w:t>
            </w:r>
          </w:p>
        </w:tc>
        <w:tc>
          <w:tcPr>
            <w:tcW w:w="805" w:type="dxa"/>
            <w:tcBorders>
              <w:top w:val="nil"/>
              <w:left w:val="nil"/>
              <w:bottom w:val="nil"/>
              <w:right w:val="single" w:sz="4" w:space="0" w:color="auto"/>
            </w:tcBorders>
            <w:shd w:val="clear" w:color="auto" w:fill="auto"/>
            <w:vAlign w:val="center"/>
            <w:hideMark/>
          </w:tcPr>
          <w:p w14:paraId="75D14A68"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460</w:t>
            </w:r>
          </w:p>
        </w:tc>
        <w:tc>
          <w:tcPr>
            <w:tcW w:w="900" w:type="dxa"/>
            <w:tcBorders>
              <w:top w:val="nil"/>
              <w:left w:val="nil"/>
              <w:bottom w:val="nil"/>
              <w:right w:val="single" w:sz="4" w:space="0" w:color="auto"/>
            </w:tcBorders>
            <w:shd w:val="clear" w:color="auto" w:fill="auto"/>
            <w:vAlign w:val="center"/>
            <w:hideMark/>
          </w:tcPr>
          <w:p w14:paraId="792063F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3,167</w:t>
            </w:r>
          </w:p>
        </w:tc>
        <w:tc>
          <w:tcPr>
            <w:tcW w:w="780" w:type="dxa"/>
            <w:tcBorders>
              <w:top w:val="nil"/>
              <w:left w:val="nil"/>
              <w:bottom w:val="nil"/>
              <w:right w:val="single" w:sz="4" w:space="0" w:color="auto"/>
            </w:tcBorders>
            <w:shd w:val="clear" w:color="auto" w:fill="auto"/>
            <w:vAlign w:val="center"/>
            <w:hideMark/>
          </w:tcPr>
          <w:p w14:paraId="6AA852B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F50D17" w14:paraId="00915B8B"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55ABAD41"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EUREX</w:t>
            </w:r>
          </w:p>
        </w:tc>
        <w:tc>
          <w:tcPr>
            <w:tcW w:w="990" w:type="dxa"/>
            <w:tcBorders>
              <w:top w:val="nil"/>
              <w:left w:val="single" w:sz="4" w:space="0" w:color="auto"/>
              <w:bottom w:val="nil"/>
              <w:right w:val="nil"/>
            </w:tcBorders>
            <w:shd w:val="clear" w:color="auto" w:fill="auto"/>
            <w:vAlign w:val="center"/>
            <w:hideMark/>
          </w:tcPr>
          <w:p w14:paraId="362271C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391,020</w:t>
            </w:r>
          </w:p>
        </w:tc>
        <w:tc>
          <w:tcPr>
            <w:tcW w:w="810" w:type="dxa"/>
            <w:tcBorders>
              <w:top w:val="nil"/>
              <w:left w:val="single" w:sz="4" w:space="0" w:color="auto"/>
              <w:bottom w:val="nil"/>
              <w:right w:val="single" w:sz="4" w:space="0" w:color="auto"/>
            </w:tcBorders>
            <w:shd w:val="clear" w:color="auto" w:fill="auto"/>
            <w:vAlign w:val="center"/>
            <w:hideMark/>
          </w:tcPr>
          <w:p w14:paraId="6274A17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3,689</w:t>
            </w:r>
          </w:p>
        </w:tc>
        <w:tc>
          <w:tcPr>
            <w:tcW w:w="920" w:type="dxa"/>
            <w:tcBorders>
              <w:top w:val="nil"/>
              <w:left w:val="nil"/>
              <w:bottom w:val="nil"/>
              <w:right w:val="nil"/>
            </w:tcBorders>
            <w:shd w:val="clear" w:color="auto" w:fill="auto"/>
            <w:vAlign w:val="center"/>
            <w:hideMark/>
          </w:tcPr>
          <w:p w14:paraId="2F63EDF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784,046</w:t>
            </w:r>
          </w:p>
        </w:tc>
        <w:tc>
          <w:tcPr>
            <w:tcW w:w="975" w:type="dxa"/>
            <w:tcBorders>
              <w:top w:val="nil"/>
              <w:left w:val="single" w:sz="4" w:space="0" w:color="auto"/>
              <w:bottom w:val="nil"/>
              <w:right w:val="single" w:sz="4" w:space="0" w:color="auto"/>
            </w:tcBorders>
            <w:shd w:val="clear" w:color="auto" w:fill="auto"/>
            <w:vAlign w:val="center"/>
            <w:hideMark/>
          </w:tcPr>
          <w:p w14:paraId="27ADB184"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261,873</w:t>
            </w:r>
          </w:p>
        </w:tc>
        <w:tc>
          <w:tcPr>
            <w:tcW w:w="805" w:type="dxa"/>
            <w:tcBorders>
              <w:top w:val="nil"/>
              <w:left w:val="nil"/>
              <w:bottom w:val="nil"/>
              <w:right w:val="single" w:sz="4" w:space="0" w:color="auto"/>
            </w:tcBorders>
            <w:shd w:val="clear" w:color="auto" w:fill="auto"/>
            <w:vAlign w:val="center"/>
            <w:hideMark/>
          </w:tcPr>
          <w:p w14:paraId="4D7FEE0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16,703</w:t>
            </w:r>
          </w:p>
        </w:tc>
        <w:tc>
          <w:tcPr>
            <w:tcW w:w="900" w:type="dxa"/>
            <w:tcBorders>
              <w:top w:val="nil"/>
              <w:left w:val="nil"/>
              <w:bottom w:val="nil"/>
              <w:right w:val="single" w:sz="4" w:space="0" w:color="auto"/>
            </w:tcBorders>
            <w:shd w:val="clear" w:color="auto" w:fill="auto"/>
            <w:vAlign w:val="center"/>
            <w:hideMark/>
          </w:tcPr>
          <w:p w14:paraId="3FDBF4B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1,049,000</w:t>
            </w:r>
          </w:p>
        </w:tc>
        <w:tc>
          <w:tcPr>
            <w:tcW w:w="780" w:type="dxa"/>
            <w:tcBorders>
              <w:top w:val="nil"/>
              <w:left w:val="nil"/>
              <w:bottom w:val="nil"/>
              <w:right w:val="single" w:sz="4" w:space="0" w:color="auto"/>
            </w:tcBorders>
            <w:shd w:val="clear" w:color="auto" w:fill="auto"/>
            <w:vAlign w:val="center"/>
            <w:hideMark/>
          </w:tcPr>
          <w:p w14:paraId="7447C65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w:t>
            </w:r>
          </w:p>
        </w:tc>
      </w:tr>
      <w:tr w:rsidR="009C313D" w:rsidRPr="00F50D17" w14:paraId="5017FCC0"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637185E3"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Euronext</w:t>
            </w:r>
          </w:p>
        </w:tc>
        <w:tc>
          <w:tcPr>
            <w:tcW w:w="990" w:type="dxa"/>
            <w:tcBorders>
              <w:top w:val="nil"/>
              <w:left w:val="single" w:sz="4" w:space="0" w:color="auto"/>
              <w:bottom w:val="nil"/>
              <w:right w:val="nil"/>
            </w:tcBorders>
            <w:shd w:val="clear" w:color="auto" w:fill="auto"/>
            <w:vAlign w:val="center"/>
            <w:hideMark/>
          </w:tcPr>
          <w:p w14:paraId="152A3D9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173,028</w:t>
            </w:r>
          </w:p>
        </w:tc>
        <w:tc>
          <w:tcPr>
            <w:tcW w:w="810" w:type="dxa"/>
            <w:tcBorders>
              <w:top w:val="nil"/>
              <w:left w:val="single" w:sz="4" w:space="0" w:color="auto"/>
              <w:bottom w:val="nil"/>
              <w:right w:val="single" w:sz="4" w:space="0" w:color="auto"/>
            </w:tcBorders>
            <w:shd w:val="clear" w:color="auto" w:fill="auto"/>
            <w:vAlign w:val="center"/>
            <w:hideMark/>
          </w:tcPr>
          <w:p w14:paraId="108AA7C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2,199</w:t>
            </w:r>
          </w:p>
        </w:tc>
        <w:tc>
          <w:tcPr>
            <w:tcW w:w="920" w:type="dxa"/>
            <w:tcBorders>
              <w:top w:val="nil"/>
              <w:left w:val="nil"/>
              <w:bottom w:val="nil"/>
              <w:right w:val="nil"/>
            </w:tcBorders>
            <w:shd w:val="clear" w:color="auto" w:fill="auto"/>
            <w:vAlign w:val="center"/>
            <w:hideMark/>
          </w:tcPr>
          <w:p w14:paraId="3253147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311,763</w:t>
            </w:r>
          </w:p>
        </w:tc>
        <w:tc>
          <w:tcPr>
            <w:tcW w:w="975" w:type="dxa"/>
            <w:tcBorders>
              <w:top w:val="nil"/>
              <w:left w:val="single" w:sz="4" w:space="0" w:color="auto"/>
              <w:bottom w:val="nil"/>
              <w:right w:val="single" w:sz="4" w:space="0" w:color="auto"/>
            </w:tcBorders>
            <w:shd w:val="clear" w:color="auto" w:fill="auto"/>
            <w:vAlign w:val="center"/>
            <w:hideMark/>
          </w:tcPr>
          <w:p w14:paraId="3844382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1,668,485</w:t>
            </w:r>
          </w:p>
        </w:tc>
        <w:tc>
          <w:tcPr>
            <w:tcW w:w="805" w:type="dxa"/>
            <w:tcBorders>
              <w:top w:val="nil"/>
              <w:left w:val="nil"/>
              <w:bottom w:val="nil"/>
              <w:right w:val="single" w:sz="4" w:space="0" w:color="auto"/>
            </w:tcBorders>
            <w:shd w:val="clear" w:color="auto" w:fill="auto"/>
            <w:vAlign w:val="center"/>
            <w:hideMark/>
          </w:tcPr>
          <w:p w14:paraId="2C29EDE1"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21,969</w:t>
            </w:r>
          </w:p>
        </w:tc>
        <w:tc>
          <w:tcPr>
            <w:tcW w:w="900" w:type="dxa"/>
            <w:tcBorders>
              <w:top w:val="nil"/>
              <w:left w:val="nil"/>
              <w:bottom w:val="nil"/>
              <w:right w:val="single" w:sz="4" w:space="0" w:color="auto"/>
            </w:tcBorders>
            <w:shd w:val="clear" w:color="auto" w:fill="auto"/>
            <w:vAlign w:val="center"/>
            <w:hideMark/>
          </w:tcPr>
          <w:p w14:paraId="5F97AAC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538,063</w:t>
            </w:r>
          </w:p>
        </w:tc>
        <w:tc>
          <w:tcPr>
            <w:tcW w:w="780" w:type="dxa"/>
            <w:tcBorders>
              <w:top w:val="nil"/>
              <w:left w:val="nil"/>
              <w:bottom w:val="nil"/>
              <w:right w:val="single" w:sz="4" w:space="0" w:color="auto"/>
            </w:tcBorders>
            <w:shd w:val="clear" w:color="auto" w:fill="auto"/>
            <w:vAlign w:val="center"/>
            <w:hideMark/>
          </w:tcPr>
          <w:p w14:paraId="5880610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w:t>
            </w:r>
          </w:p>
        </w:tc>
      </w:tr>
      <w:tr w:rsidR="009C313D" w:rsidRPr="00F50D17" w14:paraId="40E6EAB2"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4348211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Johannesburg Stock Exchange</w:t>
            </w:r>
          </w:p>
        </w:tc>
        <w:tc>
          <w:tcPr>
            <w:tcW w:w="990" w:type="dxa"/>
            <w:tcBorders>
              <w:top w:val="nil"/>
              <w:left w:val="single" w:sz="4" w:space="0" w:color="auto"/>
              <w:bottom w:val="nil"/>
              <w:right w:val="nil"/>
            </w:tcBorders>
            <w:shd w:val="clear" w:color="auto" w:fill="auto"/>
            <w:vAlign w:val="center"/>
            <w:hideMark/>
          </w:tcPr>
          <w:p w14:paraId="412AA3A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42,784</w:t>
            </w:r>
          </w:p>
        </w:tc>
        <w:tc>
          <w:tcPr>
            <w:tcW w:w="810" w:type="dxa"/>
            <w:tcBorders>
              <w:top w:val="nil"/>
              <w:left w:val="single" w:sz="4" w:space="0" w:color="auto"/>
              <w:bottom w:val="nil"/>
              <w:right w:val="single" w:sz="4" w:space="0" w:color="auto"/>
            </w:tcBorders>
            <w:shd w:val="clear" w:color="auto" w:fill="auto"/>
            <w:vAlign w:val="center"/>
            <w:hideMark/>
          </w:tcPr>
          <w:p w14:paraId="1BD458BE"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30</w:t>
            </w:r>
          </w:p>
        </w:tc>
        <w:tc>
          <w:tcPr>
            <w:tcW w:w="920" w:type="dxa"/>
            <w:tcBorders>
              <w:top w:val="nil"/>
              <w:left w:val="nil"/>
              <w:bottom w:val="nil"/>
              <w:right w:val="nil"/>
            </w:tcBorders>
            <w:shd w:val="clear" w:color="auto" w:fill="auto"/>
            <w:vAlign w:val="center"/>
            <w:hideMark/>
          </w:tcPr>
          <w:p w14:paraId="3C5D312A"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57,272</w:t>
            </w:r>
          </w:p>
        </w:tc>
        <w:tc>
          <w:tcPr>
            <w:tcW w:w="975" w:type="dxa"/>
            <w:tcBorders>
              <w:top w:val="nil"/>
              <w:left w:val="single" w:sz="4" w:space="0" w:color="auto"/>
              <w:bottom w:val="nil"/>
              <w:right w:val="single" w:sz="4" w:space="0" w:color="auto"/>
            </w:tcBorders>
            <w:shd w:val="clear" w:color="auto" w:fill="auto"/>
            <w:vAlign w:val="center"/>
            <w:hideMark/>
          </w:tcPr>
          <w:p w14:paraId="5E33DE5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283,417</w:t>
            </w:r>
          </w:p>
        </w:tc>
        <w:tc>
          <w:tcPr>
            <w:tcW w:w="805" w:type="dxa"/>
            <w:tcBorders>
              <w:top w:val="nil"/>
              <w:left w:val="nil"/>
              <w:bottom w:val="nil"/>
              <w:right w:val="single" w:sz="4" w:space="0" w:color="auto"/>
            </w:tcBorders>
            <w:shd w:val="clear" w:color="auto" w:fill="auto"/>
            <w:vAlign w:val="center"/>
            <w:hideMark/>
          </w:tcPr>
          <w:p w14:paraId="06E49CE6"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4,315</w:t>
            </w:r>
          </w:p>
        </w:tc>
        <w:tc>
          <w:tcPr>
            <w:tcW w:w="900" w:type="dxa"/>
            <w:tcBorders>
              <w:top w:val="nil"/>
              <w:left w:val="nil"/>
              <w:bottom w:val="nil"/>
              <w:right w:val="single" w:sz="4" w:space="0" w:color="auto"/>
            </w:tcBorders>
            <w:shd w:val="clear" w:color="auto" w:fill="auto"/>
            <w:vAlign w:val="center"/>
            <w:hideMark/>
          </w:tcPr>
          <w:p w14:paraId="0B63E45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148,208</w:t>
            </w:r>
          </w:p>
        </w:tc>
        <w:tc>
          <w:tcPr>
            <w:tcW w:w="780" w:type="dxa"/>
            <w:tcBorders>
              <w:top w:val="nil"/>
              <w:left w:val="nil"/>
              <w:bottom w:val="nil"/>
              <w:right w:val="single" w:sz="4" w:space="0" w:color="auto"/>
            </w:tcBorders>
            <w:shd w:val="clear" w:color="auto" w:fill="auto"/>
            <w:vAlign w:val="center"/>
            <w:hideMark/>
          </w:tcPr>
          <w:p w14:paraId="123CC890"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F50D17" w14:paraId="1121E124"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75C672D9"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London Metal Exchange</w:t>
            </w:r>
          </w:p>
        </w:tc>
        <w:tc>
          <w:tcPr>
            <w:tcW w:w="990" w:type="dxa"/>
            <w:tcBorders>
              <w:top w:val="nil"/>
              <w:left w:val="single" w:sz="4" w:space="0" w:color="auto"/>
              <w:bottom w:val="nil"/>
              <w:right w:val="nil"/>
            </w:tcBorders>
            <w:shd w:val="clear" w:color="auto" w:fill="auto"/>
            <w:vAlign w:val="center"/>
            <w:hideMark/>
          </w:tcPr>
          <w:p w14:paraId="5930D3E9"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572,304</w:t>
            </w:r>
          </w:p>
        </w:tc>
        <w:tc>
          <w:tcPr>
            <w:tcW w:w="810" w:type="dxa"/>
            <w:tcBorders>
              <w:top w:val="nil"/>
              <w:left w:val="single" w:sz="4" w:space="0" w:color="auto"/>
              <w:bottom w:val="nil"/>
              <w:right w:val="single" w:sz="4" w:space="0" w:color="auto"/>
            </w:tcBorders>
            <w:shd w:val="clear" w:color="auto" w:fill="auto"/>
            <w:vAlign w:val="center"/>
            <w:hideMark/>
          </w:tcPr>
          <w:p w14:paraId="413E6CD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44,193</w:t>
            </w:r>
          </w:p>
        </w:tc>
        <w:tc>
          <w:tcPr>
            <w:tcW w:w="920" w:type="dxa"/>
            <w:tcBorders>
              <w:top w:val="nil"/>
              <w:left w:val="nil"/>
              <w:bottom w:val="nil"/>
              <w:right w:val="nil"/>
            </w:tcBorders>
            <w:shd w:val="clear" w:color="auto" w:fill="auto"/>
            <w:vAlign w:val="center"/>
            <w:hideMark/>
          </w:tcPr>
          <w:p w14:paraId="12E2036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459,618</w:t>
            </w:r>
          </w:p>
        </w:tc>
        <w:tc>
          <w:tcPr>
            <w:tcW w:w="975" w:type="dxa"/>
            <w:tcBorders>
              <w:top w:val="nil"/>
              <w:left w:val="single" w:sz="4" w:space="0" w:color="auto"/>
              <w:bottom w:val="nil"/>
              <w:right w:val="single" w:sz="4" w:space="0" w:color="auto"/>
            </w:tcBorders>
            <w:shd w:val="clear" w:color="auto" w:fill="auto"/>
            <w:vAlign w:val="center"/>
            <w:hideMark/>
          </w:tcPr>
          <w:p w14:paraId="03A8EF4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15,028,658</w:t>
            </w:r>
          </w:p>
        </w:tc>
        <w:tc>
          <w:tcPr>
            <w:tcW w:w="805" w:type="dxa"/>
            <w:tcBorders>
              <w:top w:val="nil"/>
              <w:left w:val="nil"/>
              <w:bottom w:val="nil"/>
              <w:right w:val="single" w:sz="4" w:space="0" w:color="auto"/>
            </w:tcBorders>
            <w:shd w:val="clear" w:color="auto" w:fill="auto"/>
            <w:vAlign w:val="center"/>
            <w:hideMark/>
          </w:tcPr>
          <w:p w14:paraId="02EFD8AD"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1,184,150</w:t>
            </w:r>
          </w:p>
        </w:tc>
        <w:tc>
          <w:tcPr>
            <w:tcW w:w="900" w:type="dxa"/>
            <w:tcBorders>
              <w:top w:val="nil"/>
              <w:left w:val="nil"/>
              <w:bottom w:val="nil"/>
              <w:right w:val="single" w:sz="4" w:space="0" w:color="auto"/>
            </w:tcBorders>
            <w:shd w:val="clear" w:color="auto" w:fill="auto"/>
            <w:vAlign w:val="center"/>
            <w:hideMark/>
          </w:tcPr>
          <w:p w14:paraId="4658179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2,076,720</w:t>
            </w:r>
          </w:p>
        </w:tc>
        <w:tc>
          <w:tcPr>
            <w:tcW w:w="780" w:type="dxa"/>
            <w:tcBorders>
              <w:top w:val="nil"/>
              <w:left w:val="nil"/>
              <w:bottom w:val="nil"/>
              <w:right w:val="single" w:sz="4" w:space="0" w:color="auto"/>
            </w:tcBorders>
            <w:shd w:val="clear" w:color="auto" w:fill="auto"/>
            <w:vAlign w:val="center"/>
            <w:hideMark/>
          </w:tcPr>
          <w:p w14:paraId="3C8D3B1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F50D17" w14:paraId="568A1C08" w14:textId="77777777" w:rsidTr="00560A50">
        <w:trPr>
          <w:trHeight w:val="63"/>
          <w:jc w:val="center"/>
        </w:trPr>
        <w:tc>
          <w:tcPr>
            <w:tcW w:w="3595" w:type="dxa"/>
            <w:tcBorders>
              <w:top w:val="nil"/>
              <w:left w:val="single" w:sz="4" w:space="0" w:color="auto"/>
              <w:bottom w:val="nil"/>
              <w:right w:val="nil"/>
            </w:tcBorders>
            <w:shd w:val="clear" w:color="000000" w:fill="B4C6E7"/>
            <w:vAlign w:val="center"/>
            <w:hideMark/>
          </w:tcPr>
          <w:p w14:paraId="5BC6E37D" w14:textId="77777777" w:rsidR="009C313D" w:rsidRPr="00804371" w:rsidRDefault="009C313D" w:rsidP="00560A50">
            <w:pPr>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LSE Group</w:t>
            </w:r>
          </w:p>
        </w:tc>
        <w:tc>
          <w:tcPr>
            <w:tcW w:w="990" w:type="dxa"/>
            <w:tcBorders>
              <w:top w:val="nil"/>
              <w:left w:val="single" w:sz="4" w:space="0" w:color="auto"/>
              <w:bottom w:val="nil"/>
              <w:right w:val="nil"/>
            </w:tcBorders>
            <w:shd w:val="clear" w:color="auto" w:fill="auto"/>
            <w:vAlign w:val="center"/>
            <w:hideMark/>
          </w:tcPr>
          <w:p w14:paraId="78122233"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810" w:type="dxa"/>
            <w:tcBorders>
              <w:top w:val="nil"/>
              <w:left w:val="single" w:sz="4" w:space="0" w:color="auto"/>
              <w:bottom w:val="nil"/>
              <w:right w:val="single" w:sz="4" w:space="0" w:color="auto"/>
            </w:tcBorders>
            <w:shd w:val="clear" w:color="auto" w:fill="auto"/>
            <w:vAlign w:val="center"/>
            <w:hideMark/>
          </w:tcPr>
          <w:p w14:paraId="6AB6FF07"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20" w:type="dxa"/>
            <w:tcBorders>
              <w:top w:val="nil"/>
              <w:left w:val="nil"/>
              <w:bottom w:val="nil"/>
              <w:right w:val="nil"/>
            </w:tcBorders>
            <w:shd w:val="clear" w:color="auto" w:fill="auto"/>
            <w:vAlign w:val="center"/>
            <w:hideMark/>
          </w:tcPr>
          <w:p w14:paraId="09629D2B"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NA</w:t>
            </w:r>
          </w:p>
        </w:tc>
        <w:tc>
          <w:tcPr>
            <w:tcW w:w="975" w:type="dxa"/>
            <w:tcBorders>
              <w:top w:val="nil"/>
              <w:left w:val="single" w:sz="4" w:space="0" w:color="auto"/>
              <w:bottom w:val="nil"/>
              <w:right w:val="single" w:sz="4" w:space="0" w:color="auto"/>
            </w:tcBorders>
            <w:shd w:val="clear" w:color="auto" w:fill="auto"/>
            <w:vAlign w:val="center"/>
            <w:hideMark/>
          </w:tcPr>
          <w:p w14:paraId="27342422"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235</w:t>
            </w:r>
          </w:p>
        </w:tc>
        <w:tc>
          <w:tcPr>
            <w:tcW w:w="805" w:type="dxa"/>
            <w:tcBorders>
              <w:top w:val="nil"/>
              <w:left w:val="nil"/>
              <w:bottom w:val="nil"/>
              <w:right w:val="single" w:sz="4" w:space="0" w:color="auto"/>
            </w:tcBorders>
            <w:shd w:val="clear" w:color="auto" w:fill="auto"/>
            <w:vAlign w:val="center"/>
            <w:hideMark/>
          </w:tcPr>
          <w:p w14:paraId="165AF7F5"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16</w:t>
            </w:r>
          </w:p>
        </w:tc>
        <w:tc>
          <w:tcPr>
            <w:tcW w:w="900" w:type="dxa"/>
            <w:tcBorders>
              <w:top w:val="nil"/>
              <w:left w:val="nil"/>
              <w:bottom w:val="nil"/>
              <w:right w:val="single" w:sz="4" w:space="0" w:color="auto"/>
            </w:tcBorders>
            <w:shd w:val="clear" w:color="auto" w:fill="auto"/>
            <w:vAlign w:val="center"/>
            <w:hideMark/>
          </w:tcPr>
          <w:p w14:paraId="3AE7300C"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295</w:t>
            </w:r>
          </w:p>
        </w:tc>
        <w:tc>
          <w:tcPr>
            <w:tcW w:w="780" w:type="dxa"/>
            <w:tcBorders>
              <w:top w:val="nil"/>
              <w:left w:val="nil"/>
              <w:bottom w:val="nil"/>
              <w:right w:val="single" w:sz="4" w:space="0" w:color="auto"/>
            </w:tcBorders>
            <w:shd w:val="clear" w:color="auto" w:fill="auto"/>
            <w:vAlign w:val="center"/>
            <w:hideMark/>
          </w:tcPr>
          <w:p w14:paraId="522AFF1F" w14:textId="77777777" w:rsidR="009C313D" w:rsidRPr="00804371" w:rsidRDefault="009C313D" w:rsidP="00560A50">
            <w:pPr>
              <w:jc w:val="right"/>
              <w:rPr>
                <w:rFonts w:ascii="Garamond" w:eastAsia="Times New Roman" w:hAnsi="Garamond" w:cs="Calibri"/>
                <w:sz w:val="18"/>
                <w:szCs w:val="18"/>
                <w:lang w:eastAsia="en-GB"/>
              </w:rPr>
            </w:pPr>
            <w:r w:rsidRPr="00804371">
              <w:rPr>
                <w:rFonts w:ascii="Garamond" w:eastAsia="Times New Roman" w:hAnsi="Garamond" w:cs="Calibri"/>
                <w:sz w:val="18"/>
                <w:szCs w:val="18"/>
                <w:lang w:eastAsia="en-GB"/>
              </w:rPr>
              <w:t>22</w:t>
            </w:r>
          </w:p>
        </w:tc>
      </w:tr>
      <w:tr w:rsidR="009C313D" w:rsidRPr="00F50D17" w14:paraId="2E53B54C" w14:textId="77777777" w:rsidTr="00560A50">
        <w:trPr>
          <w:trHeight w:val="53"/>
          <w:jc w:val="center"/>
        </w:trPr>
        <w:tc>
          <w:tcPr>
            <w:tcW w:w="3595" w:type="dxa"/>
            <w:tcBorders>
              <w:top w:val="single" w:sz="4" w:space="0" w:color="auto"/>
              <w:left w:val="single" w:sz="4" w:space="0" w:color="auto"/>
              <w:bottom w:val="single" w:sz="4" w:space="0" w:color="auto"/>
              <w:right w:val="nil"/>
            </w:tcBorders>
            <w:shd w:val="clear" w:color="000000" w:fill="B4C6E7"/>
            <w:vAlign w:val="center"/>
            <w:hideMark/>
          </w:tcPr>
          <w:p w14:paraId="0B623B99"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 xml:space="preserve">Total </w:t>
            </w:r>
            <w:r>
              <w:rPr>
                <w:rFonts w:ascii="Garamond" w:eastAsia="Times New Roman" w:hAnsi="Garamond" w:cs="Calibri"/>
                <w:b/>
                <w:bCs/>
                <w:sz w:val="18"/>
                <w:szCs w:val="18"/>
                <w:lang w:eastAsia="en-GB"/>
              </w:rPr>
              <w:t>R</w:t>
            </w:r>
            <w:r w:rsidRPr="00804371">
              <w:rPr>
                <w:rFonts w:ascii="Garamond" w:eastAsia="Times New Roman" w:hAnsi="Garamond" w:cs="Calibri"/>
                <w:b/>
                <w:bCs/>
                <w:sz w:val="18"/>
                <w:szCs w:val="18"/>
                <w:lang w:eastAsia="en-GB"/>
              </w:rPr>
              <w:t>egion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50425"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1,179,136</w:t>
            </w:r>
          </w:p>
        </w:tc>
        <w:tc>
          <w:tcPr>
            <w:tcW w:w="810" w:type="dxa"/>
            <w:tcBorders>
              <w:top w:val="single" w:sz="4" w:space="0" w:color="auto"/>
              <w:left w:val="nil"/>
              <w:bottom w:val="single" w:sz="4" w:space="0" w:color="auto"/>
              <w:right w:val="nil"/>
            </w:tcBorders>
            <w:shd w:val="clear" w:color="auto" w:fill="auto"/>
            <w:vAlign w:val="center"/>
            <w:hideMark/>
          </w:tcPr>
          <w:p w14:paraId="39CCD5AF" w14:textId="77777777" w:rsidR="009C313D" w:rsidRPr="00804371" w:rsidRDefault="009C313D" w:rsidP="00560A50">
            <w:pPr>
              <w:jc w:val="right"/>
              <w:rPr>
                <w:rFonts w:ascii="Garamond" w:eastAsia="Times New Roman" w:hAnsi="Garamond" w:cs="Calibri"/>
                <w:b/>
                <w:bCs/>
                <w:sz w:val="18"/>
                <w:szCs w:val="18"/>
                <w:lang w:eastAsia="en-GB"/>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770A" w14:textId="77777777" w:rsidR="009C313D" w:rsidRPr="00804371" w:rsidRDefault="009C313D" w:rsidP="00560A50">
            <w:pPr>
              <w:jc w:val="right"/>
              <w:rPr>
                <w:rFonts w:ascii="Garamond" w:eastAsia="Times New Roman" w:hAnsi="Garamond" w:cs="Calibri"/>
                <w:b/>
                <w:bCs/>
                <w:sz w:val="18"/>
                <w:szCs w:val="18"/>
                <w:lang w:eastAsia="en-GB"/>
              </w:rPr>
            </w:pPr>
          </w:p>
        </w:tc>
        <w:tc>
          <w:tcPr>
            <w:tcW w:w="975" w:type="dxa"/>
            <w:tcBorders>
              <w:top w:val="single" w:sz="4" w:space="0" w:color="auto"/>
              <w:left w:val="nil"/>
              <w:bottom w:val="single" w:sz="4" w:space="0" w:color="auto"/>
              <w:right w:val="nil"/>
            </w:tcBorders>
            <w:shd w:val="clear" w:color="auto" w:fill="auto"/>
            <w:vAlign w:val="center"/>
            <w:hideMark/>
          </w:tcPr>
          <w:p w14:paraId="4B9973A7"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18,665,384</w:t>
            </w:r>
          </w:p>
        </w:tc>
        <w:tc>
          <w:tcPr>
            <w:tcW w:w="805" w:type="dxa"/>
            <w:tcBorders>
              <w:top w:val="single" w:sz="4" w:space="0" w:color="auto"/>
              <w:left w:val="single" w:sz="4" w:space="0" w:color="auto"/>
              <w:bottom w:val="single" w:sz="4" w:space="0" w:color="auto"/>
              <w:right w:val="nil"/>
            </w:tcBorders>
            <w:shd w:val="clear" w:color="auto" w:fill="auto"/>
            <w:vAlign w:val="center"/>
            <w:hideMark/>
          </w:tcPr>
          <w:p w14:paraId="58F6B046" w14:textId="77777777" w:rsidR="009C313D" w:rsidRPr="00804371" w:rsidRDefault="009C313D" w:rsidP="00560A50">
            <w:pPr>
              <w:jc w:val="right"/>
              <w:rPr>
                <w:rFonts w:ascii="Garamond" w:eastAsia="Times New Roman" w:hAnsi="Garamond" w:cs="Calibri"/>
                <w:b/>
                <w:bCs/>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55FC6" w14:textId="77777777" w:rsidR="009C313D" w:rsidRPr="00804371" w:rsidRDefault="009C313D" w:rsidP="00560A50">
            <w:pPr>
              <w:jc w:val="right"/>
              <w:rPr>
                <w:rFonts w:ascii="Garamond" w:eastAsia="Times New Roman" w:hAnsi="Garamond" w:cs="Calibri"/>
                <w:b/>
                <w:bCs/>
                <w:sz w:val="18"/>
                <w:szCs w:val="18"/>
                <w:lang w:eastAsia="en-GB"/>
              </w:rPr>
            </w:pP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6C7E973" w14:textId="77777777" w:rsidR="009C313D" w:rsidRPr="00804371" w:rsidRDefault="009C313D" w:rsidP="00560A50">
            <w:pPr>
              <w:jc w:val="right"/>
              <w:rPr>
                <w:rFonts w:ascii="Garamond" w:eastAsia="Times New Roman" w:hAnsi="Garamond" w:cs="Calibri"/>
                <w:b/>
                <w:bCs/>
                <w:sz w:val="18"/>
                <w:szCs w:val="18"/>
                <w:lang w:eastAsia="en-GB"/>
              </w:rPr>
            </w:pPr>
          </w:p>
        </w:tc>
      </w:tr>
      <w:tr w:rsidR="009C313D" w:rsidRPr="00F50D17" w14:paraId="3B256DF1" w14:textId="77777777" w:rsidTr="00560A50">
        <w:trPr>
          <w:trHeight w:val="53"/>
          <w:jc w:val="center"/>
        </w:trPr>
        <w:tc>
          <w:tcPr>
            <w:tcW w:w="3595" w:type="dxa"/>
            <w:tcBorders>
              <w:top w:val="nil"/>
              <w:left w:val="single" w:sz="4" w:space="0" w:color="auto"/>
              <w:bottom w:val="single" w:sz="4" w:space="0" w:color="auto"/>
              <w:right w:val="single" w:sz="4" w:space="0" w:color="auto"/>
            </w:tcBorders>
            <w:shd w:val="clear" w:color="000000" w:fill="B4C6E7"/>
            <w:vAlign w:val="center"/>
            <w:hideMark/>
          </w:tcPr>
          <w:p w14:paraId="5C5EFA40" w14:textId="77777777" w:rsidR="009C313D" w:rsidRPr="00804371" w:rsidRDefault="009C313D" w:rsidP="00560A50">
            <w:pPr>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Total</w:t>
            </w:r>
          </w:p>
        </w:tc>
        <w:tc>
          <w:tcPr>
            <w:tcW w:w="990" w:type="dxa"/>
            <w:tcBorders>
              <w:top w:val="nil"/>
              <w:left w:val="nil"/>
              <w:bottom w:val="single" w:sz="4" w:space="0" w:color="auto"/>
              <w:right w:val="single" w:sz="4" w:space="0" w:color="auto"/>
            </w:tcBorders>
            <w:shd w:val="clear" w:color="000000" w:fill="B4C6E7"/>
            <w:vAlign w:val="center"/>
            <w:hideMark/>
          </w:tcPr>
          <w:p w14:paraId="42B35AB1"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15,979,732</w:t>
            </w:r>
          </w:p>
        </w:tc>
        <w:tc>
          <w:tcPr>
            <w:tcW w:w="810" w:type="dxa"/>
            <w:tcBorders>
              <w:top w:val="nil"/>
              <w:left w:val="nil"/>
              <w:bottom w:val="single" w:sz="4" w:space="0" w:color="auto"/>
              <w:right w:val="single" w:sz="4" w:space="0" w:color="auto"/>
            </w:tcBorders>
            <w:shd w:val="clear" w:color="000000" w:fill="B4C6E7"/>
            <w:vAlign w:val="center"/>
            <w:hideMark/>
          </w:tcPr>
          <w:p w14:paraId="75AB1249" w14:textId="77777777" w:rsidR="009C313D" w:rsidRPr="00804371" w:rsidRDefault="009C313D" w:rsidP="00560A50">
            <w:pPr>
              <w:jc w:val="right"/>
              <w:rPr>
                <w:rFonts w:ascii="Garamond" w:eastAsia="Times New Roman" w:hAnsi="Garamond" w:cs="Calibri"/>
                <w:b/>
                <w:bCs/>
                <w:sz w:val="18"/>
                <w:szCs w:val="18"/>
                <w:lang w:eastAsia="en-GB"/>
              </w:rPr>
            </w:pPr>
          </w:p>
        </w:tc>
        <w:tc>
          <w:tcPr>
            <w:tcW w:w="920" w:type="dxa"/>
            <w:tcBorders>
              <w:top w:val="nil"/>
              <w:left w:val="nil"/>
              <w:bottom w:val="single" w:sz="4" w:space="0" w:color="auto"/>
              <w:right w:val="single" w:sz="4" w:space="0" w:color="auto"/>
            </w:tcBorders>
            <w:shd w:val="clear" w:color="000000" w:fill="B4C6E7"/>
            <w:vAlign w:val="center"/>
            <w:hideMark/>
          </w:tcPr>
          <w:p w14:paraId="3EE9807E" w14:textId="77777777" w:rsidR="009C313D" w:rsidRPr="00804371" w:rsidRDefault="009C313D" w:rsidP="00560A50">
            <w:pPr>
              <w:jc w:val="right"/>
              <w:rPr>
                <w:rFonts w:ascii="Garamond" w:eastAsia="Times New Roman" w:hAnsi="Garamond" w:cs="Calibri"/>
                <w:b/>
                <w:bCs/>
                <w:sz w:val="18"/>
                <w:szCs w:val="18"/>
                <w:lang w:eastAsia="en-GB"/>
              </w:rPr>
            </w:pPr>
          </w:p>
        </w:tc>
        <w:tc>
          <w:tcPr>
            <w:tcW w:w="975" w:type="dxa"/>
            <w:tcBorders>
              <w:top w:val="nil"/>
              <w:left w:val="nil"/>
              <w:bottom w:val="single" w:sz="4" w:space="0" w:color="auto"/>
              <w:right w:val="single" w:sz="4" w:space="0" w:color="auto"/>
            </w:tcBorders>
            <w:shd w:val="clear" w:color="000000" w:fill="B4C6E7"/>
            <w:vAlign w:val="center"/>
            <w:hideMark/>
          </w:tcPr>
          <w:p w14:paraId="1EF332EC" w14:textId="77777777" w:rsidR="009C313D" w:rsidRPr="00804371" w:rsidRDefault="009C313D" w:rsidP="00560A50">
            <w:pPr>
              <w:jc w:val="right"/>
              <w:rPr>
                <w:rFonts w:ascii="Garamond" w:eastAsia="Times New Roman" w:hAnsi="Garamond" w:cs="Calibri"/>
                <w:b/>
                <w:bCs/>
                <w:sz w:val="18"/>
                <w:szCs w:val="18"/>
                <w:lang w:eastAsia="en-GB"/>
              </w:rPr>
            </w:pPr>
            <w:r w:rsidRPr="00804371">
              <w:rPr>
                <w:rFonts w:ascii="Garamond" w:eastAsia="Times New Roman" w:hAnsi="Garamond" w:cs="Calibri"/>
                <w:b/>
                <w:bCs/>
                <w:sz w:val="18"/>
                <w:szCs w:val="18"/>
                <w:lang w:eastAsia="en-GB"/>
              </w:rPr>
              <w:t>362,999,237</w:t>
            </w:r>
          </w:p>
        </w:tc>
        <w:tc>
          <w:tcPr>
            <w:tcW w:w="805" w:type="dxa"/>
            <w:tcBorders>
              <w:top w:val="nil"/>
              <w:left w:val="nil"/>
              <w:bottom w:val="single" w:sz="4" w:space="0" w:color="auto"/>
              <w:right w:val="single" w:sz="4" w:space="0" w:color="auto"/>
            </w:tcBorders>
            <w:shd w:val="clear" w:color="000000" w:fill="B4C6E7"/>
            <w:vAlign w:val="center"/>
            <w:hideMark/>
          </w:tcPr>
          <w:p w14:paraId="72F556B5" w14:textId="77777777" w:rsidR="009C313D" w:rsidRPr="00804371" w:rsidRDefault="009C313D" w:rsidP="00560A50">
            <w:pPr>
              <w:jc w:val="right"/>
              <w:rPr>
                <w:rFonts w:ascii="Garamond" w:eastAsia="Times New Roman" w:hAnsi="Garamond" w:cs="Calibri"/>
                <w:b/>
                <w:bCs/>
                <w:sz w:val="18"/>
                <w:szCs w:val="18"/>
                <w:lang w:eastAsia="en-GB"/>
              </w:rPr>
            </w:pPr>
          </w:p>
        </w:tc>
        <w:tc>
          <w:tcPr>
            <w:tcW w:w="900" w:type="dxa"/>
            <w:tcBorders>
              <w:top w:val="nil"/>
              <w:left w:val="nil"/>
              <w:bottom w:val="single" w:sz="4" w:space="0" w:color="auto"/>
              <w:right w:val="single" w:sz="4" w:space="0" w:color="auto"/>
            </w:tcBorders>
            <w:shd w:val="clear" w:color="000000" w:fill="B4C6E7"/>
            <w:vAlign w:val="center"/>
            <w:hideMark/>
          </w:tcPr>
          <w:p w14:paraId="490C48D4" w14:textId="77777777" w:rsidR="009C313D" w:rsidRPr="00804371" w:rsidRDefault="009C313D" w:rsidP="00560A50">
            <w:pPr>
              <w:jc w:val="right"/>
              <w:rPr>
                <w:rFonts w:ascii="Garamond" w:eastAsia="Times New Roman" w:hAnsi="Garamond" w:cs="Calibri"/>
                <w:b/>
                <w:bCs/>
                <w:sz w:val="18"/>
                <w:szCs w:val="18"/>
                <w:lang w:eastAsia="en-GB"/>
              </w:rPr>
            </w:pPr>
          </w:p>
        </w:tc>
        <w:tc>
          <w:tcPr>
            <w:tcW w:w="780" w:type="dxa"/>
            <w:tcBorders>
              <w:top w:val="nil"/>
              <w:left w:val="nil"/>
              <w:bottom w:val="single" w:sz="4" w:space="0" w:color="auto"/>
              <w:right w:val="single" w:sz="4" w:space="0" w:color="auto"/>
            </w:tcBorders>
            <w:shd w:val="clear" w:color="000000" w:fill="B4C6E7"/>
            <w:vAlign w:val="center"/>
            <w:hideMark/>
          </w:tcPr>
          <w:p w14:paraId="7752B638" w14:textId="77777777" w:rsidR="009C313D" w:rsidRPr="00804371" w:rsidRDefault="009C313D" w:rsidP="00560A50">
            <w:pPr>
              <w:jc w:val="right"/>
              <w:rPr>
                <w:rFonts w:ascii="Garamond" w:eastAsia="Times New Roman" w:hAnsi="Garamond" w:cs="Calibri"/>
                <w:b/>
                <w:bCs/>
                <w:sz w:val="18"/>
                <w:szCs w:val="18"/>
                <w:lang w:eastAsia="en-GB"/>
              </w:rPr>
            </w:pPr>
          </w:p>
        </w:tc>
      </w:tr>
    </w:tbl>
    <w:p w14:paraId="25F78A19" w14:textId="77777777" w:rsidR="009C313D" w:rsidRPr="00F50D17" w:rsidRDefault="009C313D" w:rsidP="009C313D">
      <w:pPr>
        <w:jc w:val="both"/>
        <w:rPr>
          <w:rFonts w:ascii="Garamond" w:hAnsi="Garamond"/>
          <w:b/>
          <w:sz w:val="20"/>
        </w:rPr>
      </w:pPr>
      <w:r w:rsidRPr="00F50D17">
        <w:rPr>
          <w:rFonts w:ascii="Garamond" w:hAnsi="Garamond"/>
          <w:b/>
          <w:sz w:val="20"/>
        </w:rPr>
        <w:t xml:space="preserve">NA: </w:t>
      </w:r>
      <w:r w:rsidRPr="00F50D17">
        <w:rPr>
          <w:rFonts w:ascii="Garamond" w:hAnsi="Garamond"/>
          <w:sz w:val="20"/>
        </w:rPr>
        <w:t>Not Available</w:t>
      </w:r>
    </w:p>
    <w:p w14:paraId="2479A8DE" w14:textId="77777777" w:rsidR="009C313D" w:rsidRPr="00F50D17" w:rsidRDefault="009C313D" w:rsidP="009C313D">
      <w:pPr>
        <w:jc w:val="both"/>
        <w:rPr>
          <w:rFonts w:ascii="Garamond" w:hAnsi="Garamond"/>
          <w:sz w:val="20"/>
        </w:rPr>
      </w:pPr>
      <w:r w:rsidRPr="00F50D17">
        <w:rPr>
          <w:rFonts w:ascii="Garamond" w:hAnsi="Garamond"/>
          <w:b/>
          <w:sz w:val="20"/>
        </w:rPr>
        <w:t xml:space="preserve">Source: </w:t>
      </w:r>
      <w:r w:rsidRPr="00F50D17">
        <w:rPr>
          <w:rFonts w:ascii="Garamond" w:hAnsi="Garamond"/>
          <w:sz w:val="20"/>
        </w:rPr>
        <w:t>World Federation of Exchanges</w:t>
      </w:r>
    </w:p>
    <w:p w14:paraId="6A500092" w14:textId="77777777" w:rsidR="009C313D" w:rsidRPr="001500B3" w:rsidRDefault="009C313D" w:rsidP="009C313D">
      <w:pPr>
        <w:jc w:val="both"/>
        <w:rPr>
          <w:rFonts w:ascii="Garamond" w:hAnsi="Garamond"/>
          <w:b/>
          <w:color w:val="0000FF"/>
        </w:rPr>
      </w:pPr>
    </w:p>
    <w:p w14:paraId="1A32DC86" w14:textId="77777777" w:rsidR="009C313D" w:rsidRPr="001500B3" w:rsidRDefault="009C313D" w:rsidP="009C313D">
      <w:pPr>
        <w:jc w:val="both"/>
        <w:rPr>
          <w:rFonts w:ascii="Garamond" w:hAnsi="Garamond"/>
          <w:b/>
          <w:color w:val="0000FF"/>
        </w:rPr>
      </w:pPr>
    </w:p>
    <w:p w14:paraId="2C42C158" w14:textId="77777777" w:rsidR="009C313D" w:rsidRPr="00C15930" w:rsidRDefault="009C313D" w:rsidP="009C313D">
      <w:pPr>
        <w:rPr>
          <w:rFonts w:ascii="Garamond" w:hAnsi="Garamond"/>
          <w:b/>
        </w:rPr>
      </w:pPr>
      <w:r w:rsidRPr="00C15930">
        <w:rPr>
          <w:rFonts w:ascii="Garamond" w:hAnsi="Garamond"/>
          <w:b/>
        </w:rPr>
        <w:t>Bond Markets:</w:t>
      </w:r>
    </w:p>
    <w:p w14:paraId="18001D72" w14:textId="77777777" w:rsidR="009C313D" w:rsidRPr="00C15930" w:rsidRDefault="009C313D" w:rsidP="009C313D">
      <w:pPr>
        <w:jc w:val="both"/>
        <w:rPr>
          <w:rFonts w:ascii="Garamond" w:eastAsia="Times New Roman" w:hAnsi="Garamond" w:cs="Arial"/>
          <w:lang w:eastAsia="en-GB"/>
        </w:rPr>
      </w:pPr>
    </w:p>
    <w:p w14:paraId="57765509" w14:textId="77777777" w:rsidR="009C313D" w:rsidRPr="00C15930" w:rsidRDefault="009C313D" w:rsidP="009C313D">
      <w:pPr>
        <w:jc w:val="both"/>
        <w:rPr>
          <w:rFonts w:ascii="Garamond" w:eastAsia="Times New Roman" w:hAnsi="Garamond" w:cs="Arial"/>
          <w:lang w:eastAsia="en-GB"/>
        </w:rPr>
      </w:pPr>
      <w:r w:rsidRPr="00C15930">
        <w:rPr>
          <w:rFonts w:ascii="Garamond" w:eastAsia="Times New Roman" w:hAnsi="Garamond" w:cs="Arial"/>
          <w:lang w:eastAsia="en-GB"/>
        </w:rPr>
        <w:t>Markets for fixed income securities were less volatile during September 2018, compared to the previous month. However, a number of factors impacted the yields across the world. The hike of interest rate by the Fed increased the possibility of capital outflow from emerging markets. The Central Bank of the Russian Federation increased its interest-rate for the first time in four years, by 0.25 percentage points to 7.5 per cent on the back of increasing inflation.</w:t>
      </w:r>
      <w:r>
        <w:rPr>
          <w:rFonts w:ascii="Garamond" w:eastAsia="Times New Roman" w:hAnsi="Garamond" w:cs="Arial"/>
          <w:lang w:eastAsia="en-GB"/>
        </w:rPr>
        <w:t xml:space="preserve"> </w:t>
      </w:r>
    </w:p>
    <w:p w14:paraId="71A92411" w14:textId="77777777" w:rsidR="009C313D" w:rsidRPr="001500B3" w:rsidRDefault="009C313D" w:rsidP="009C313D">
      <w:pPr>
        <w:jc w:val="both"/>
        <w:rPr>
          <w:rFonts w:ascii="Garamond" w:eastAsia="Times New Roman" w:hAnsi="Garamond" w:cs="Arial"/>
          <w:color w:val="0000FF"/>
          <w:lang w:eastAsia="en-GB"/>
        </w:rPr>
      </w:pPr>
      <w:r w:rsidRPr="001500B3">
        <w:rPr>
          <w:rFonts w:ascii="Garamond" w:eastAsia="Times New Roman" w:hAnsi="Garamond" w:cs="Arial"/>
          <w:color w:val="0000FF"/>
          <w:lang w:eastAsia="en-GB"/>
        </w:rPr>
        <w:t xml:space="preserve"> </w:t>
      </w:r>
    </w:p>
    <w:p w14:paraId="00D98C4D" w14:textId="77777777" w:rsidR="009C313D" w:rsidRPr="001500B3" w:rsidRDefault="009C313D" w:rsidP="009C313D">
      <w:pPr>
        <w:jc w:val="both"/>
        <w:rPr>
          <w:rFonts w:ascii="Garamond" w:eastAsia="Times New Roman" w:hAnsi="Garamond" w:cs="Arial"/>
          <w:color w:val="0000FF"/>
          <w:lang w:eastAsia="en-GB"/>
        </w:rPr>
      </w:pPr>
      <w:r w:rsidRPr="00C15930">
        <w:rPr>
          <w:rFonts w:ascii="Garamond" w:eastAsia="Times New Roman" w:hAnsi="Garamond" w:cs="Arial"/>
          <w:lang w:eastAsia="en-GB"/>
        </w:rPr>
        <w:t xml:space="preserve">In the US, the yield on the benchmark 10-year Treasury note hit 3.0 per cent </w:t>
      </w:r>
      <w:r>
        <w:rPr>
          <w:rFonts w:ascii="Garamond" w:eastAsia="Times New Roman" w:hAnsi="Garamond" w:cs="Arial"/>
          <w:lang w:eastAsia="en-GB"/>
        </w:rPr>
        <w:t>on the back of a Fed-rate hike and a strong economy</w:t>
      </w:r>
      <w:r w:rsidRPr="001500B3">
        <w:rPr>
          <w:rFonts w:ascii="Garamond" w:eastAsia="Times New Roman" w:hAnsi="Garamond" w:cs="Arial"/>
          <w:color w:val="0000FF"/>
          <w:lang w:eastAsia="en-GB"/>
        </w:rPr>
        <w:t xml:space="preserve">. </w:t>
      </w:r>
      <w:r w:rsidRPr="00E44AE5">
        <w:rPr>
          <w:rFonts w:ascii="Garamond" w:eastAsia="Times New Roman" w:hAnsi="Garamond" w:cs="Arial"/>
          <w:lang w:eastAsia="en-GB"/>
        </w:rPr>
        <w:t>In the UK, bond prices fell amid uncertainty relating to Brexit and the yield on 10-year old government bond rose to 1.57 per cent at the end of September 2018 from 1.43 per cent at the end of August 2018. Bond yields in Japan moved in a narrow range, driven by the central bank’s yield curve management policy. The yield on 10-year old Japanese government bonds stood at 0.31 per cent at the end of September 2018 against 0.11 per cent at the end of August 2018.</w:t>
      </w:r>
    </w:p>
    <w:p w14:paraId="34E81DA5" w14:textId="77777777" w:rsidR="009C313D" w:rsidRDefault="009C313D" w:rsidP="009C313D">
      <w:pPr>
        <w:jc w:val="both"/>
        <w:rPr>
          <w:rFonts w:ascii="Garamond" w:eastAsia="Times New Roman" w:hAnsi="Garamond" w:cs="Arial"/>
          <w:color w:val="0000FF"/>
          <w:lang w:eastAsia="en-GB"/>
        </w:rPr>
      </w:pPr>
    </w:p>
    <w:p w14:paraId="47C61B35" w14:textId="77777777" w:rsidR="009C313D" w:rsidRDefault="009C313D" w:rsidP="009C313D">
      <w:pPr>
        <w:jc w:val="both"/>
        <w:rPr>
          <w:rFonts w:ascii="Garamond" w:eastAsia="Times New Roman" w:hAnsi="Garamond" w:cs="Arial"/>
          <w:color w:val="0000FF"/>
          <w:lang w:eastAsia="en-GB"/>
        </w:rPr>
      </w:pPr>
    </w:p>
    <w:p w14:paraId="160EA48C" w14:textId="77777777" w:rsidR="009C313D" w:rsidRDefault="009C313D" w:rsidP="009C313D">
      <w:pPr>
        <w:jc w:val="both"/>
        <w:rPr>
          <w:rFonts w:ascii="Garamond" w:eastAsia="Times New Roman" w:hAnsi="Garamond" w:cs="Arial"/>
          <w:color w:val="0000FF"/>
          <w:lang w:eastAsia="en-GB"/>
        </w:rPr>
      </w:pPr>
    </w:p>
    <w:p w14:paraId="4ACB5A63" w14:textId="77777777" w:rsidR="009C313D" w:rsidRDefault="009C313D" w:rsidP="009C313D">
      <w:pPr>
        <w:jc w:val="both"/>
        <w:rPr>
          <w:rFonts w:ascii="Garamond" w:eastAsia="Times New Roman" w:hAnsi="Garamond" w:cs="Arial"/>
          <w:color w:val="0000FF"/>
          <w:lang w:eastAsia="en-GB"/>
        </w:rPr>
      </w:pPr>
    </w:p>
    <w:p w14:paraId="76576566" w14:textId="77777777" w:rsidR="009C313D" w:rsidRPr="001500B3" w:rsidRDefault="009C313D" w:rsidP="009C313D">
      <w:pPr>
        <w:jc w:val="both"/>
        <w:rPr>
          <w:rFonts w:ascii="Garamond" w:eastAsia="Times New Roman" w:hAnsi="Garamond" w:cs="Arial"/>
          <w:color w:val="0000FF"/>
          <w:lang w:eastAsia="en-GB"/>
        </w:rPr>
      </w:pPr>
    </w:p>
    <w:p w14:paraId="11D9E74E" w14:textId="77777777" w:rsidR="009C313D" w:rsidRPr="00A46106" w:rsidRDefault="009C313D" w:rsidP="009C313D">
      <w:pPr>
        <w:jc w:val="both"/>
        <w:rPr>
          <w:rFonts w:ascii="Garamond" w:hAnsi="Garamond"/>
          <w:b/>
        </w:rPr>
      </w:pPr>
      <w:r w:rsidRPr="00A46106">
        <w:rPr>
          <w:rFonts w:ascii="Garamond" w:hAnsi="Garamond"/>
          <w:b/>
        </w:rPr>
        <w:t>Chart 3: Movement of 10</w:t>
      </w:r>
      <w:r>
        <w:rPr>
          <w:rFonts w:ascii="Garamond" w:hAnsi="Garamond"/>
          <w:b/>
        </w:rPr>
        <w:t>-</w:t>
      </w:r>
      <w:r w:rsidRPr="00A46106">
        <w:rPr>
          <w:rFonts w:ascii="Garamond" w:hAnsi="Garamond"/>
          <w:b/>
        </w:rPr>
        <w:t>year Government Bond Yields in Developed Nations</w:t>
      </w:r>
    </w:p>
    <w:p w14:paraId="6F8B4884" w14:textId="77777777" w:rsidR="009C313D" w:rsidRPr="001500B3" w:rsidRDefault="009C313D" w:rsidP="009C313D">
      <w:pPr>
        <w:jc w:val="both"/>
        <w:rPr>
          <w:rFonts w:ascii="Garamond" w:hAnsi="Garamond"/>
          <w:color w:val="0000FF"/>
        </w:rPr>
      </w:pPr>
      <w:r>
        <w:rPr>
          <w:noProof/>
          <w:lang w:val="en-IN" w:eastAsia="en-IN"/>
        </w:rPr>
        <w:drawing>
          <wp:inline distT="0" distB="0" distL="0" distR="0" wp14:anchorId="7797ACC9" wp14:editId="6CFA3E0D">
            <wp:extent cx="5731510" cy="2657475"/>
            <wp:effectExtent l="0" t="0" r="254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69DE19" w14:textId="77777777" w:rsidR="009C313D" w:rsidRPr="00A46106" w:rsidRDefault="009C313D" w:rsidP="009C313D">
      <w:pPr>
        <w:jc w:val="both"/>
        <w:rPr>
          <w:rFonts w:ascii="Garamond" w:hAnsi="Garamond"/>
          <w:sz w:val="20"/>
        </w:rPr>
      </w:pPr>
      <w:r w:rsidRPr="00A46106">
        <w:rPr>
          <w:rFonts w:ascii="Garamond" w:hAnsi="Garamond"/>
          <w:b/>
          <w:sz w:val="20"/>
        </w:rPr>
        <w:t xml:space="preserve">Source: </w:t>
      </w:r>
      <w:r w:rsidRPr="00A46106">
        <w:rPr>
          <w:rFonts w:ascii="Garamond" w:hAnsi="Garamond"/>
          <w:sz w:val="20"/>
        </w:rPr>
        <w:t>Bloomberg</w:t>
      </w:r>
    </w:p>
    <w:p w14:paraId="717A3F85" w14:textId="77777777" w:rsidR="009C313D" w:rsidRPr="001500B3" w:rsidRDefault="009C313D" w:rsidP="009C313D">
      <w:pPr>
        <w:jc w:val="both"/>
        <w:rPr>
          <w:rFonts w:ascii="Garamond" w:eastAsia="Times New Roman" w:hAnsi="Garamond" w:cs="Arial"/>
          <w:color w:val="0000FF"/>
          <w:lang w:eastAsia="en-GB"/>
        </w:rPr>
      </w:pPr>
    </w:p>
    <w:p w14:paraId="79E3B45E" w14:textId="77777777" w:rsidR="009C313D" w:rsidRPr="00D41AD1" w:rsidRDefault="009C313D" w:rsidP="009C313D">
      <w:pPr>
        <w:jc w:val="both"/>
        <w:rPr>
          <w:rFonts w:ascii="Garamond" w:eastAsia="Times New Roman" w:hAnsi="Garamond" w:cs="Arial"/>
          <w:lang w:eastAsia="en-GB"/>
        </w:rPr>
      </w:pPr>
      <w:r w:rsidRPr="00D41AD1">
        <w:rPr>
          <w:rFonts w:ascii="Garamond" w:eastAsia="Times New Roman" w:hAnsi="Garamond" w:cs="Arial"/>
          <w:lang w:eastAsia="en-GB"/>
        </w:rPr>
        <w:t>As regards the emerging nations, the yields of 10-year government bonds of Brazil went down to 11.8 per cent at the end of September 2018 from to 12.2 per cent at the end of August 2018. The yields of 10-year old Indian sovereign bonds were stable at 8.0 per cent at the end of September 2018 (Chart 4).</w:t>
      </w:r>
    </w:p>
    <w:p w14:paraId="2F8B7F72" w14:textId="77777777" w:rsidR="009C313D" w:rsidRPr="00D41AD1" w:rsidRDefault="009C313D" w:rsidP="009C313D">
      <w:pPr>
        <w:jc w:val="both"/>
        <w:rPr>
          <w:rFonts w:ascii="Garamond" w:eastAsia="Times New Roman" w:hAnsi="Garamond" w:cs="Arial"/>
          <w:rtl/>
          <w:cs/>
          <w:lang w:eastAsia="en-GB"/>
        </w:rPr>
      </w:pPr>
    </w:p>
    <w:p w14:paraId="15A517A7" w14:textId="77777777" w:rsidR="009C313D" w:rsidRPr="00A46106" w:rsidRDefault="009C313D" w:rsidP="009C313D">
      <w:pPr>
        <w:jc w:val="both"/>
        <w:rPr>
          <w:rFonts w:ascii="Garamond" w:hAnsi="Garamond"/>
          <w:b/>
        </w:rPr>
      </w:pPr>
      <w:r w:rsidRPr="00A46106">
        <w:rPr>
          <w:rFonts w:ascii="Garamond" w:hAnsi="Garamond"/>
          <w:b/>
        </w:rPr>
        <w:t>Chart 4: Movement of 10 year Government Bond Yields in BRIC Nations</w:t>
      </w:r>
    </w:p>
    <w:p w14:paraId="79890FF8" w14:textId="77777777" w:rsidR="009C313D" w:rsidRPr="00A46106" w:rsidRDefault="009C313D" w:rsidP="009C313D">
      <w:pPr>
        <w:rPr>
          <w:rFonts w:ascii="Garamond" w:hAnsi="Garamond"/>
        </w:rPr>
      </w:pPr>
      <w:r w:rsidRPr="00A46106">
        <w:rPr>
          <w:noProof/>
          <w:lang w:val="en-IN" w:eastAsia="en-IN"/>
        </w:rPr>
        <w:drawing>
          <wp:inline distT="0" distB="0" distL="0" distR="0" wp14:anchorId="15C49BF0" wp14:editId="179786AE">
            <wp:extent cx="5731510" cy="2276475"/>
            <wp:effectExtent l="0" t="0" r="254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A36A70A" w14:textId="77777777" w:rsidR="009C313D" w:rsidRPr="00A46106" w:rsidRDefault="009C313D" w:rsidP="009C313D">
      <w:pPr>
        <w:jc w:val="both"/>
        <w:rPr>
          <w:rFonts w:ascii="Garamond" w:hAnsi="Garamond"/>
          <w:sz w:val="20"/>
        </w:rPr>
      </w:pPr>
      <w:r w:rsidRPr="00A46106">
        <w:rPr>
          <w:rFonts w:ascii="Garamond" w:hAnsi="Garamond"/>
          <w:b/>
          <w:sz w:val="20"/>
        </w:rPr>
        <w:t xml:space="preserve">Source: </w:t>
      </w:r>
      <w:r w:rsidRPr="00A46106">
        <w:rPr>
          <w:rFonts w:ascii="Garamond" w:hAnsi="Garamond"/>
          <w:sz w:val="20"/>
        </w:rPr>
        <w:t>Bloomberg</w:t>
      </w:r>
    </w:p>
    <w:p w14:paraId="3DB2ED8B" w14:textId="77777777" w:rsidR="009C313D" w:rsidRPr="00A46106" w:rsidRDefault="009C313D" w:rsidP="009C313D">
      <w:pPr>
        <w:rPr>
          <w:rFonts w:ascii="Garamond" w:hAnsi="Garamond"/>
          <w:b/>
        </w:rPr>
      </w:pPr>
    </w:p>
    <w:p w14:paraId="144FCF35" w14:textId="77777777" w:rsidR="009C313D" w:rsidRPr="00BA1D5A" w:rsidRDefault="009C313D" w:rsidP="009C313D">
      <w:pPr>
        <w:rPr>
          <w:rFonts w:ascii="Garamond" w:hAnsi="Garamond"/>
          <w:b/>
        </w:rPr>
      </w:pPr>
      <w:r w:rsidRPr="00BA1D5A">
        <w:rPr>
          <w:rFonts w:ascii="Garamond" w:hAnsi="Garamond"/>
          <w:b/>
        </w:rPr>
        <w:t>Currency Market:</w:t>
      </w:r>
    </w:p>
    <w:p w14:paraId="54CCD255" w14:textId="77777777" w:rsidR="009C313D" w:rsidRPr="00BA1D5A" w:rsidRDefault="009C313D" w:rsidP="009C313D">
      <w:pPr>
        <w:jc w:val="both"/>
        <w:rPr>
          <w:rFonts w:ascii="Garamond" w:hAnsi="Garamond"/>
        </w:rPr>
      </w:pPr>
    </w:p>
    <w:p w14:paraId="50ADFBEB" w14:textId="77777777" w:rsidR="009C313D" w:rsidRDefault="009C313D" w:rsidP="009C313D">
      <w:pPr>
        <w:jc w:val="both"/>
        <w:rPr>
          <w:rFonts w:ascii="Garamond" w:hAnsi="Garamond"/>
        </w:rPr>
      </w:pPr>
      <w:r w:rsidRPr="00BA1D5A">
        <w:rPr>
          <w:rFonts w:ascii="Garamond" w:hAnsi="Garamond"/>
        </w:rPr>
        <w:t xml:space="preserve">Currencies of the emerging market economies continued to depreciate against the US </w:t>
      </w:r>
      <w:r>
        <w:rPr>
          <w:rFonts w:ascii="Garamond" w:hAnsi="Garamond"/>
        </w:rPr>
        <w:t>D</w:t>
      </w:r>
      <w:r w:rsidRPr="00BA1D5A">
        <w:rPr>
          <w:rFonts w:ascii="Garamond" w:hAnsi="Garamond"/>
        </w:rPr>
        <w:t>ollar mostly on the back of external factors like policies adopted by the US, trade war and surging crude oil prices.</w:t>
      </w:r>
      <w:r>
        <w:rPr>
          <w:rFonts w:ascii="Garamond" w:hAnsi="Garamond"/>
        </w:rPr>
        <w:t xml:space="preserve"> </w:t>
      </w:r>
      <w:r w:rsidRPr="00A33F73">
        <w:rPr>
          <w:rFonts w:ascii="Garamond" w:hAnsi="Garamond"/>
        </w:rPr>
        <w:t xml:space="preserve">The MSCI emerging market currency index, a basket of 26 currencies from emerging economies against the U.S. </w:t>
      </w:r>
      <w:r>
        <w:rPr>
          <w:rFonts w:ascii="Garamond" w:hAnsi="Garamond"/>
        </w:rPr>
        <w:t>D</w:t>
      </w:r>
      <w:r w:rsidRPr="00A33F73">
        <w:rPr>
          <w:rFonts w:ascii="Garamond" w:hAnsi="Garamond"/>
        </w:rPr>
        <w:t xml:space="preserve">ollar, went down about 0.6 per cent at the end of September 2018 from its </w:t>
      </w:r>
      <w:r>
        <w:rPr>
          <w:rFonts w:ascii="Garamond" w:hAnsi="Garamond"/>
        </w:rPr>
        <w:t xml:space="preserve">end </w:t>
      </w:r>
      <w:r w:rsidRPr="00A33F73">
        <w:rPr>
          <w:rFonts w:ascii="Garamond" w:hAnsi="Garamond"/>
        </w:rPr>
        <w:t>August 2018 value (Chart 6).</w:t>
      </w:r>
      <w:r>
        <w:rPr>
          <w:rFonts w:ascii="Garamond" w:hAnsi="Garamond"/>
        </w:rPr>
        <w:t xml:space="preserve"> </w:t>
      </w:r>
    </w:p>
    <w:p w14:paraId="3DA63592" w14:textId="77777777" w:rsidR="009C313D" w:rsidRDefault="009C313D" w:rsidP="009C313D">
      <w:pPr>
        <w:jc w:val="both"/>
        <w:rPr>
          <w:rFonts w:ascii="Garamond" w:hAnsi="Garamond"/>
        </w:rPr>
      </w:pPr>
    </w:p>
    <w:p w14:paraId="2C61FBA8" w14:textId="77777777" w:rsidR="009C313D" w:rsidRDefault="009C313D" w:rsidP="009C313D">
      <w:pPr>
        <w:jc w:val="both"/>
        <w:rPr>
          <w:rFonts w:ascii="Garamond" w:hAnsi="Garamond"/>
        </w:rPr>
      </w:pPr>
      <w:r>
        <w:rPr>
          <w:rFonts w:ascii="Garamond" w:hAnsi="Garamond"/>
        </w:rPr>
        <w:t>The INR continued to depreciate during September 2018. At the end of September 2018, the INR had depreciated by 11.4</w:t>
      </w:r>
      <w:r w:rsidRPr="00211187">
        <w:rPr>
          <w:rFonts w:ascii="Garamond" w:hAnsi="Garamond"/>
        </w:rPr>
        <w:t xml:space="preserve"> per cent</w:t>
      </w:r>
      <w:r>
        <w:rPr>
          <w:rFonts w:ascii="Garamond" w:hAnsi="Garamond"/>
        </w:rPr>
        <w:t xml:space="preserve"> </w:t>
      </w:r>
      <w:r w:rsidRPr="00211187">
        <w:rPr>
          <w:rFonts w:ascii="Garamond" w:hAnsi="Garamond"/>
        </w:rPr>
        <w:t xml:space="preserve">against the US </w:t>
      </w:r>
      <w:r>
        <w:rPr>
          <w:rFonts w:ascii="Garamond" w:hAnsi="Garamond"/>
        </w:rPr>
        <w:t>D</w:t>
      </w:r>
      <w:r w:rsidRPr="00211187">
        <w:rPr>
          <w:rFonts w:ascii="Garamond" w:hAnsi="Garamond"/>
        </w:rPr>
        <w:t>ollar from its level at end-March 2018.</w:t>
      </w:r>
      <w:r>
        <w:rPr>
          <w:rFonts w:ascii="Garamond" w:hAnsi="Garamond"/>
        </w:rPr>
        <w:t xml:space="preserve"> The authorities have taken, inter alia, the following measures to stall further sliding of the Rupee:</w:t>
      </w:r>
    </w:p>
    <w:p w14:paraId="460018CC" w14:textId="77777777" w:rsidR="009C313D" w:rsidRDefault="009C313D" w:rsidP="008C5EBB">
      <w:pPr>
        <w:pStyle w:val="ListParagraph"/>
        <w:numPr>
          <w:ilvl w:val="0"/>
          <w:numId w:val="19"/>
        </w:numPr>
        <w:spacing w:after="0" w:line="240" w:lineRule="auto"/>
        <w:jc w:val="both"/>
        <w:rPr>
          <w:rFonts w:ascii="Garamond" w:hAnsi="Garamond"/>
          <w:sz w:val="24"/>
        </w:rPr>
      </w:pPr>
      <w:r w:rsidRPr="00841855">
        <w:rPr>
          <w:rFonts w:ascii="Garamond" w:hAnsi="Garamond"/>
          <w:sz w:val="24"/>
        </w:rPr>
        <w:t xml:space="preserve">External Commercial Borrowing is to be raised up to US$ 50 million </w:t>
      </w:r>
      <w:r>
        <w:rPr>
          <w:rFonts w:ascii="Garamond" w:hAnsi="Garamond"/>
          <w:sz w:val="24"/>
        </w:rPr>
        <w:t xml:space="preserve">with </w:t>
      </w:r>
      <w:r w:rsidRPr="00841855">
        <w:rPr>
          <w:rFonts w:ascii="Garamond" w:hAnsi="Garamond"/>
          <w:sz w:val="24"/>
        </w:rPr>
        <w:t xml:space="preserve">a minimum average maturity period of one year. </w:t>
      </w:r>
    </w:p>
    <w:p w14:paraId="0CC42FDE" w14:textId="77777777" w:rsidR="009C313D" w:rsidRDefault="009C313D" w:rsidP="008C5EBB">
      <w:pPr>
        <w:pStyle w:val="ListParagraph"/>
        <w:numPr>
          <w:ilvl w:val="0"/>
          <w:numId w:val="19"/>
        </w:numPr>
        <w:spacing w:after="0" w:line="240" w:lineRule="auto"/>
        <w:jc w:val="both"/>
        <w:rPr>
          <w:rFonts w:ascii="Garamond" w:hAnsi="Garamond"/>
          <w:sz w:val="24"/>
        </w:rPr>
      </w:pPr>
      <w:r w:rsidRPr="00841855">
        <w:rPr>
          <w:rFonts w:ascii="Garamond" w:hAnsi="Garamond"/>
          <w:sz w:val="24"/>
        </w:rPr>
        <w:t xml:space="preserve">Masala bonds are to be exempted from withholding tax. </w:t>
      </w:r>
    </w:p>
    <w:p w14:paraId="5D6CFE63" w14:textId="77777777" w:rsidR="009C313D" w:rsidRDefault="009C313D" w:rsidP="008C5EBB">
      <w:pPr>
        <w:pStyle w:val="ListParagraph"/>
        <w:numPr>
          <w:ilvl w:val="0"/>
          <w:numId w:val="19"/>
        </w:numPr>
        <w:spacing w:after="0" w:line="240" w:lineRule="auto"/>
        <w:jc w:val="both"/>
        <w:rPr>
          <w:rFonts w:ascii="Garamond" w:hAnsi="Garamond"/>
          <w:sz w:val="24"/>
        </w:rPr>
      </w:pPr>
      <w:r>
        <w:rPr>
          <w:rFonts w:ascii="Garamond" w:hAnsi="Garamond"/>
          <w:sz w:val="24"/>
        </w:rPr>
        <w:t>Re</w:t>
      </w:r>
      <w:r w:rsidRPr="00841855">
        <w:rPr>
          <w:rFonts w:ascii="Garamond" w:hAnsi="Garamond"/>
          <w:sz w:val="24"/>
        </w:rPr>
        <w:t xml:space="preserve">strictions </w:t>
      </w:r>
      <w:r>
        <w:rPr>
          <w:rFonts w:ascii="Garamond" w:hAnsi="Garamond"/>
          <w:sz w:val="24"/>
        </w:rPr>
        <w:t>are to</w:t>
      </w:r>
      <w:r w:rsidRPr="00841855">
        <w:rPr>
          <w:rFonts w:ascii="Garamond" w:hAnsi="Garamond"/>
          <w:sz w:val="24"/>
        </w:rPr>
        <w:t xml:space="preserve"> be removed with respect to FPI exposure limit of 20 per</w:t>
      </w:r>
      <w:r>
        <w:rPr>
          <w:rFonts w:ascii="Garamond" w:hAnsi="Garamond"/>
          <w:sz w:val="24"/>
        </w:rPr>
        <w:t xml:space="preserve"> </w:t>
      </w:r>
      <w:r w:rsidRPr="00841855">
        <w:rPr>
          <w:rFonts w:ascii="Garamond" w:hAnsi="Garamond"/>
          <w:sz w:val="24"/>
        </w:rPr>
        <w:t>cent in corporate bond portfolio to a single corporate group or company or entity and 50 per cent of any issue of corporate bond.</w:t>
      </w:r>
    </w:p>
    <w:p w14:paraId="3967F248" w14:textId="77777777" w:rsidR="009C313D" w:rsidRPr="00841855" w:rsidRDefault="009C313D" w:rsidP="008C5EBB">
      <w:pPr>
        <w:pStyle w:val="ListParagraph"/>
        <w:numPr>
          <w:ilvl w:val="0"/>
          <w:numId w:val="19"/>
        </w:numPr>
        <w:spacing w:after="0" w:line="240" w:lineRule="auto"/>
        <w:jc w:val="both"/>
        <w:rPr>
          <w:rFonts w:ascii="Garamond" w:hAnsi="Garamond"/>
          <w:sz w:val="24"/>
        </w:rPr>
      </w:pPr>
      <w:r w:rsidRPr="00841855">
        <w:rPr>
          <w:rFonts w:ascii="Garamond" w:hAnsi="Garamond"/>
          <w:sz w:val="24"/>
        </w:rPr>
        <w:t xml:space="preserve">Mandatory condition for infrastructure loans pertaining to external commercial borrowing will be reviewed to reduce pressure on </w:t>
      </w:r>
      <w:r>
        <w:rPr>
          <w:rFonts w:ascii="Garamond" w:hAnsi="Garamond"/>
          <w:sz w:val="24"/>
        </w:rPr>
        <w:t>R</w:t>
      </w:r>
      <w:r w:rsidRPr="00841855">
        <w:rPr>
          <w:rFonts w:ascii="Garamond" w:hAnsi="Garamond"/>
          <w:sz w:val="24"/>
        </w:rPr>
        <w:t>upee in the forward market</w:t>
      </w:r>
      <w:r>
        <w:rPr>
          <w:rFonts w:ascii="Garamond" w:hAnsi="Garamond"/>
          <w:sz w:val="24"/>
        </w:rPr>
        <w:t>.</w:t>
      </w:r>
    </w:p>
    <w:p w14:paraId="63C69796" w14:textId="77777777" w:rsidR="009C313D" w:rsidRDefault="009C313D" w:rsidP="009C313D">
      <w:pPr>
        <w:jc w:val="both"/>
        <w:rPr>
          <w:rFonts w:ascii="Garamond" w:hAnsi="Garamond" w:cs="Arial Unicode MS"/>
        </w:rPr>
      </w:pPr>
    </w:p>
    <w:p w14:paraId="54B230C1" w14:textId="77777777" w:rsidR="009C313D" w:rsidRDefault="009C313D" w:rsidP="009C313D">
      <w:pPr>
        <w:jc w:val="both"/>
        <w:rPr>
          <w:rFonts w:ascii="Garamond" w:hAnsi="Garamond" w:cs="Arial Unicode MS"/>
        </w:rPr>
      </w:pPr>
      <w:r>
        <w:rPr>
          <w:rFonts w:ascii="Garamond" w:hAnsi="Garamond" w:cs="Arial Unicode MS"/>
        </w:rPr>
        <w:t xml:space="preserve">The Peso, the Argentine currency, on the other hand, lost more than 50 per cent of its value against the Dollar in 2018. To combat this depreciation, the </w:t>
      </w:r>
      <w:r w:rsidRPr="00956FCD">
        <w:rPr>
          <w:rFonts w:ascii="Garamond" w:hAnsi="Garamond" w:cs="Arial Unicode MS"/>
        </w:rPr>
        <w:t>government of Argentina introduced a package of emergency measures</w:t>
      </w:r>
      <w:r>
        <w:rPr>
          <w:rFonts w:ascii="Garamond" w:hAnsi="Garamond" w:cs="Arial Unicode MS"/>
        </w:rPr>
        <w:t xml:space="preserve"> like hiking the main interest rate from 45 per cent to 60 per cent, imposing new taxes on exports to reduce budget deficit, etc. </w:t>
      </w:r>
    </w:p>
    <w:p w14:paraId="53053F18" w14:textId="77777777" w:rsidR="009C313D" w:rsidRDefault="009C313D" w:rsidP="009C313D">
      <w:pPr>
        <w:jc w:val="both"/>
        <w:rPr>
          <w:rFonts w:ascii="Garamond" w:hAnsi="Garamond" w:cs="Arial Unicode MS"/>
        </w:rPr>
      </w:pPr>
    </w:p>
    <w:p w14:paraId="0B52538A" w14:textId="77777777" w:rsidR="009C313D" w:rsidRDefault="009C313D" w:rsidP="009C313D">
      <w:pPr>
        <w:jc w:val="both"/>
        <w:rPr>
          <w:rFonts w:ascii="Garamond" w:hAnsi="Garamond" w:cs="Arial Unicode MS"/>
        </w:rPr>
      </w:pPr>
      <w:r>
        <w:rPr>
          <w:rFonts w:ascii="Garamond" w:hAnsi="Garamond" w:cs="Arial Unicode MS"/>
        </w:rPr>
        <w:t xml:space="preserve">The Lira, the Turkish currency depreciate by around 43 per cent </w:t>
      </w:r>
      <w:r w:rsidRPr="006169DD">
        <w:rPr>
          <w:rFonts w:ascii="Garamond" w:hAnsi="Garamond" w:cs="Arial Unicode MS"/>
        </w:rPr>
        <w:t>during August 2018</w:t>
      </w:r>
      <w:r>
        <w:rPr>
          <w:rFonts w:ascii="Garamond" w:hAnsi="Garamond" w:cs="Arial Unicode MS"/>
        </w:rPr>
        <w:t xml:space="preserve"> on the back of a weak economy. </w:t>
      </w:r>
      <w:r w:rsidRPr="006169DD">
        <w:rPr>
          <w:rFonts w:ascii="Garamond" w:hAnsi="Garamond" w:cs="Arial Unicode MS"/>
        </w:rPr>
        <w:t xml:space="preserve">In an effort to halt the slide of the </w:t>
      </w:r>
      <w:r>
        <w:rPr>
          <w:rFonts w:ascii="Garamond" w:hAnsi="Garamond" w:cs="Arial Unicode MS"/>
        </w:rPr>
        <w:t>L</w:t>
      </w:r>
      <w:r w:rsidRPr="006169DD">
        <w:rPr>
          <w:rFonts w:ascii="Garamond" w:hAnsi="Garamond" w:cs="Arial Unicode MS"/>
        </w:rPr>
        <w:t xml:space="preserve">ira, the government reduced taxes on </w:t>
      </w:r>
      <w:r>
        <w:rPr>
          <w:rFonts w:ascii="Garamond" w:hAnsi="Garamond" w:cs="Arial Unicode MS"/>
        </w:rPr>
        <w:t>L</w:t>
      </w:r>
      <w:r w:rsidRPr="006169DD">
        <w:rPr>
          <w:rFonts w:ascii="Garamond" w:hAnsi="Garamond" w:cs="Arial Unicode MS"/>
        </w:rPr>
        <w:t>ira deposits and increased them on foreign-currency holdings.</w:t>
      </w:r>
    </w:p>
    <w:p w14:paraId="705B841C" w14:textId="77777777" w:rsidR="009C313D" w:rsidRPr="00211187" w:rsidRDefault="009C313D" w:rsidP="009C313D">
      <w:pPr>
        <w:jc w:val="both"/>
        <w:rPr>
          <w:rFonts w:ascii="Garamond" w:hAnsi="Garamond"/>
        </w:rPr>
      </w:pPr>
    </w:p>
    <w:p w14:paraId="3EA2A385" w14:textId="77777777" w:rsidR="00C6763D" w:rsidRDefault="009C313D" w:rsidP="00C6763D">
      <w:pPr>
        <w:jc w:val="both"/>
        <w:rPr>
          <w:rFonts w:ascii="Garamond" w:hAnsi="Garamond"/>
        </w:rPr>
      </w:pPr>
      <w:r w:rsidRPr="00211187">
        <w:rPr>
          <w:rFonts w:ascii="Garamond" w:hAnsi="Garamond"/>
        </w:rPr>
        <w:t xml:space="preserve">At the end of September 2018, the </w:t>
      </w:r>
      <w:r>
        <w:rPr>
          <w:rFonts w:ascii="Garamond" w:hAnsi="Garamond"/>
        </w:rPr>
        <w:t>P</w:t>
      </w:r>
      <w:r w:rsidRPr="00211187">
        <w:rPr>
          <w:rFonts w:ascii="Garamond" w:hAnsi="Garamond"/>
        </w:rPr>
        <w:t>ound</w:t>
      </w:r>
      <w:r>
        <w:rPr>
          <w:rFonts w:ascii="Garamond" w:hAnsi="Garamond"/>
        </w:rPr>
        <w:t xml:space="preserve"> S</w:t>
      </w:r>
      <w:r w:rsidRPr="00211187">
        <w:rPr>
          <w:rFonts w:ascii="Garamond" w:hAnsi="Garamond"/>
        </w:rPr>
        <w:t xml:space="preserve">terling appreciated by 0.6 per cent against the US </w:t>
      </w:r>
      <w:r>
        <w:rPr>
          <w:rFonts w:ascii="Garamond" w:hAnsi="Garamond"/>
        </w:rPr>
        <w:t>D</w:t>
      </w:r>
      <w:r w:rsidRPr="00211187">
        <w:rPr>
          <w:rFonts w:ascii="Garamond" w:hAnsi="Garamond"/>
        </w:rPr>
        <w:t xml:space="preserve">ollar from its closing value in the previous month. The Euro also marginally appreciated by 0.2 per cent during the same </w:t>
      </w:r>
      <w:r>
        <w:rPr>
          <w:rFonts w:ascii="Garamond" w:hAnsi="Garamond"/>
        </w:rPr>
        <w:t>period</w:t>
      </w:r>
      <w:r w:rsidRPr="00211187">
        <w:rPr>
          <w:rFonts w:ascii="Garamond" w:hAnsi="Garamond"/>
        </w:rPr>
        <w:t xml:space="preserve">.  The Japanese Yen and Swiss Franc however depreciated by 2.2 per cent and 0.6 per cent, respectively. </w:t>
      </w:r>
    </w:p>
    <w:p w14:paraId="2D7E5831" w14:textId="77777777" w:rsidR="00C6763D" w:rsidRDefault="00C6763D" w:rsidP="00C6763D">
      <w:pPr>
        <w:jc w:val="both"/>
        <w:rPr>
          <w:rFonts w:ascii="Garamond" w:hAnsi="Garamond"/>
        </w:rPr>
      </w:pPr>
    </w:p>
    <w:p w14:paraId="2D67BA3A" w14:textId="0067E9BB" w:rsidR="009C313D" w:rsidRPr="000152FA" w:rsidRDefault="009C313D" w:rsidP="00C6763D">
      <w:pPr>
        <w:jc w:val="both"/>
        <w:rPr>
          <w:rFonts w:ascii="Garamond" w:hAnsi="Garamond"/>
          <w:b/>
        </w:rPr>
      </w:pPr>
      <w:r w:rsidRPr="000152FA">
        <w:rPr>
          <w:rFonts w:ascii="Garamond" w:hAnsi="Garamond"/>
          <w:b/>
        </w:rPr>
        <w:t>Chart 5: Movement of the Major Currencies against US$</w:t>
      </w:r>
    </w:p>
    <w:p w14:paraId="7F600AB3" w14:textId="77777777" w:rsidR="009C313D" w:rsidRPr="000152FA" w:rsidRDefault="009C313D" w:rsidP="009C313D">
      <w:pPr>
        <w:rPr>
          <w:rFonts w:ascii="Garamond" w:hAnsi="Garamond"/>
        </w:rPr>
      </w:pPr>
      <w:r w:rsidRPr="000152FA">
        <w:rPr>
          <w:noProof/>
          <w:lang w:val="en-IN" w:eastAsia="en-IN"/>
        </w:rPr>
        <w:drawing>
          <wp:inline distT="0" distB="0" distL="0" distR="0" wp14:anchorId="1977CDF0" wp14:editId="5CCED8BC">
            <wp:extent cx="5731510" cy="2600325"/>
            <wp:effectExtent l="0" t="0" r="254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28767BF" w14:textId="77777777" w:rsidR="009C313D" w:rsidRPr="000152FA" w:rsidRDefault="009C313D" w:rsidP="009C313D">
      <w:pPr>
        <w:jc w:val="both"/>
        <w:rPr>
          <w:rFonts w:ascii="Garamond" w:hAnsi="Garamond" w:cs="Arial"/>
          <w:sz w:val="20"/>
        </w:rPr>
      </w:pPr>
      <w:r w:rsidRPr="000152FA">
        <w:rPr>
          <w:rFonts w:ascii="Garamond" w:hAnsi="Garamond"/>
          <w:b/>
          <w:sz w:val="20"/>
        </w:rPr>
        <w:t>Note:</w:t>
      </w:r>
      <w:r w:rsidRPr="000152FA">
        <w:rPr>
          <w:rFonts w:ascii="Garamond" w:hAnsi="Garamond"/>
          <w:sz w:val="20"/>
        </w:rPr>
        <w:t xml:space="preserve"> All currencies have been </w:t>
      </w:r>
      <w:r w:rsidRPr="000152FA">
        <w:rPr>
          <w:rFonts w:ascii="Garamond" w:hAnsi="Garamond" w:cs="Arial"/>
          <w:sz w:val="20"/>
        </w:rPr>
        <w:t>normalised keeping March 31, 2018 as base.</w:t>
      </w:r>
    </w:p>
    <w:p w14:paraId="3FA3C176" w14:textId="77777777" w:rsidR="009C313D" w:rsidRPr="000152FA" w:rsidRDefault="009C313D" w:rsidP="009C313D">
      <w:pPr>
        <w:rPr>
          <w:rFonts w:ascii="Garamond" w:hAnsi="Garamond"/>
          <w:sz w:val="20"/>
        </w:rPr>
      </w:pPr>
      <w:r w:rsidRPr="000152FA">
        <w:rPr>
          <w:rFonts w:ascii="Garamond" w:hAnsi="Garamond"/>
          <w:b/>
          <w:sz w:val="20"/>
        </w:rPr>
        <w:t>Source:</w:t>
      </w:r>
      <w:r w:rsidRPr="000152FA">
        <w:rPr>
          <w:rFonts w:ascii="Garamond" w:hAnsi="Garamond"/>
          <w:sz w:val="20"/>
        </w:rPr>
        <w:t xml:space="preserve"> Bloomberg</w:t>
      </w:r>
    </w:p>
    <w:p w14:paraId="084192C1" w14:textId="77777777" w:rsidR="009C313D" w:rsidRDefault="009C313D" w:rsidP="009C313D">
      <w:pPr>
        <w:rPr>
          <w:rFonts w:ascii="Garamond" w:hAnsi="Garamond"/>
          <w:b/>
          <w:color w:val="0000FF"/>
        </w:rPr>
      </w:pPr>
    </w:p>
    <w:p w14:paraId="065D9478" w14:textId="77777777" w:rsidR="00C6763D" w:rsidRDefault="00C6763D" w:rsidP="009C313D">
      <w:pPr>
        <w:rPr>
          <w:rFonts w:ascii="Garamond" w:hAnsi="Garamond"/>
          <w:b/>
          <w:color w:val="0000FF"/>
        </w:rPr>
      </w:pPr>
    </w:p>
    <w:p w14:paraId="4F156FD9" w14:textId="77777777" w:rsidR="00C6763D" w:rsidRDefault="00C6763D" w:rsidP="009C313D">
      <w:pPr>
        <w:rPr>
          <w:rFonts w:ascii="Garamond" w:hAnsi="Garamond"/>
          <w:b/>
          <w:color w:val="0000FF"/>
        </w:rPr>
      </w:pPr>
    </w:p>
    <w:p w14:paraId="0470B0C7" w14:textId="77777777" w:rsidR="00C6763D" w:rsidRDefault="00C6763D" w:rsidP="009C313D">
      <w:pPr>
        <w:rPr>
          <w:rFonts w:ascii="Garamond" w:hAnsi="Garamond"/>
          <w:b/>
          <w:color w:val="0000FF"/>
        </w:rPr>
      </w:pPr>
    </w:p>
    <w:p w14:paraId="723A66B5" w14:textId="77777777" w:rsidR="00C6763D" w:rsidRDefault="00C6763D" w:rsidP="009C313D">
      <w:pPr>
        <w:rPr>
          <w:rFonts w:ascii="Garamond" w:hAnsi="Garamond"/>
          <w:b/>
          <w:color w:val="0000FF"/>
        </w:rPr>
      </w:pPr>
    </w:p>
    <w:p w14:paraId="4583123C" w14:textId="77777777" w:rsidR="00C6763D" w:rsidRDefault="00C6763D" w:rsidP="009C313D">
      <w:pPr>
        <w:rPr>
          <w:rFonts w:ascii="Garamond" w:hAnsi="Garamond"/>
          <w:b/>
          <w:color w:val="0000FF"/>
        </w:rPr>
      </w:pPr>
    </w:p>
    <w:p w14:paraId="505F519A" w14:textId="77777777" w:rsidR="00C6763D" w:rsidRDefault="00C6763D" w:rsidP="009C313D">
      <w:pPr>
        <w:rPr>
          <w:rFonts w:ascii="Garamond" w:hAnsi="Garamond"/>
          <w:b/>
          <w:color w:val="0000FF"/>
        </w:rPr>
      </w:pPr>
    </w:p>
    <w:p w14:paraId="73CA578F" w14:textId="77777777" w:rsidR="00C6763D" w:rsidRDefault="00C6763D" w:rsidP="009C313D">
      <w:pPr>
        <w:rPr>
          <w:rFonts w:ascii="Garamond" w:hAnsi="Garamond"/>
          <w:b/>
          <w:color w:val="0000FF"/>
        </w:rPr>
      </w:pPr>
    </w:p>
    <w:p w14:paraId="348E0841" w14:textId="77777777" w:rsidR="00C6763D" w:rsidRDefault="00C6763D" w:rsidP="009C313D">
      <w:pPr>
        <w:rPr>
          <w:rFonts w:ascii="Garamond" w:hAnsi="Garamond"/>
          <w:b/>
          <w:color w:val="0000FF"/>
        </w:rPr>
      </w:pPr>
    </w:p>
    <w:p w14:paraId="47DF7077" w14:textId="77777777" w:rsidR="00C6763D" w:rsidRDefault="00C6763D" w:rsidP="009C313D">
      <w:pPr>
        <w:rPr>
          <w:rFonts w:ascii="Garamond" w:hAnsi="Garamond"/>
          <w:b/>
          <w:color w:val="0000FF"/>
        </w:rPr>
      </w:pPr>
    </w:p>
    <w:p w14:paraId="61EA70AD" w14:textId="77777777" w:rsidR="00C6763D" w:rsidRDefault="00C6763D" w:rsidP="009C313D">
      <w:pPr>
        <w:rPr>
          <w:rFonts w:ascii="Garamond" w:hAnsi="Garamond"/>
          <w:b/>
          <w:color w:val="0000FF"/>
        </w:rPr>
      </w:pPr>
    </w:p>
    <w:p w14:paraId="79F188D1" w14:textId="77777777" w:rsidR="00C6763D" w:rsidRDefault="00C6763D" w:rsidP="009C313D">
      <w:pPr>
        <w:rPr>
          <w:rFonts w:ascii="Garamond" w:hAnsi="Garamond"/>
          <w:b/>
          <w:color w:val="0000FF"/>
        </w:rPr>
      </w:pPr>
    </w:p>
    <w:p w14:paraId="421AB050" w14:textId="77777777" w:rsidR="00C6763D" w:rsidRPr="001500B3" w:rsidRDefault="00C6763D" w:rsidP="009C313D">
      <w:pPr>
        <w:rPr>
          <w:rFonts w:ascii="Garamond" w:hAnsi="Garamond"/>
          <w:b/>
          <w:color w:val="0000FF"/>
        </w:rPr>
      </w:pPr>
    </w:p>
    <w:p w14:paraId="56A7A325" w14:textId="77777777" w:rsidR="009C313D" w:rsidRPr="000152FA" w:rsidRDefault="009C313D" w:rsidP="009C313D">
      <w:pPr>
        <w:rPr>
          <w:rFonts w:ascii="Garamond" w:hAnsi="Garamond"/>
          <w:b/>
        </w:rPr>
      </w:pPr>
      <w:r w:rsidRPr="000152FA">
        <w:rPr>
          <w:rFonts w:ascii="Garamond" w:hAnsi="Garamond"/>
          <w:b/>
        </w:rPr>
        <w:t>Chart 6: Movement of the US Dollar Index and MSCI EM Currency Index</w:t>
      </w:r>
    </w:p>
    <w:p w14:paraId="782AA2A5" w14:textId="77777777" w:rsidR="009C313D" w:rsidRPr="000152FA" w:rsidRDefault="009C313D" w:rsidP="009C313D">
      <w:pPr>
        <w:jc w:val="both"/>
        <w:rPr>
          <w:rFonts w:ascii="Garamond" w:hAnsi="Garamond"/>
          <w:sz w:val="20"/>
        </w:rPr>
      </w:pPr>
      <w:r w:rsidRPr="000152FA">
        <w:rPr>
          <w:noProof/>
          <w:lang w:val="en-IN" w:eastAsia="en-IN"/>
        </w:rPr>
        <w:drawing>
          <wp:inline distT="0" distB="0" distL="0" distR="0" wp14:anchorId="1D13B8EB" wp14:editId="18A9D642">
            <wp:extent cx="5731510" cy="3173105"/>
            <wp:effectExtent l="0" t="0" r="2540" b="825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152FA">
        <w:rPr>
          <w:rFonts w:ascii="Garamond" w:hAnsi="Garamond"/>
          <w:b/>
          <w:sz w:val="20"/>
        </w:rPr>
        <w:t xml:space="preserve"> Note:</w:t>
      </w:r>
      <w:r w:rsidRPr="000152FA">
        <w:rPr>
          <w:rFonts w:ascii="Garamond" w:hAnsi="Garamond"/>
          <w:sz w:val="20"/>
        </w:rPr>
        <w:t xml:space="preserve"> </w:t>
      </w:r>
    </w:p>
    <w:p w14:paraId="16AE9CD7" w14:textId="77777777" w:rsidR="009C313D" w:rsidRPr="000152FA" w:rsidRDefault="009C313D" w:rsidP="009C313D">
      <w:pPr>
        <w:pStyle w:val="ListParagraph"/>
        <w:numPr>
          <w:ilvl w:val="0"/>
          <w:numId w:val="6"/>
        </w:numPr>
        <w:spacing w:after="0" w:line="240" w:lineRule="auto"/>
        <w:jc w:val="both"/>
        <w:rPr>
          <w:rFonts w:ascii="Garamond" w:hAnsi="Garamond" w:cs="Arial"/>
        </w:rPr>
      </w:pPr>
      <w:r w:rsidRPr="000152FA">
        <w:rPr>
          <w:rFonts w:ascii="Garamond" w:hAnsi="Garamond"/>
        </w:rPr>
        <w:t xml:space="preserve">All currencies have been </w:t>
      </w:r>
      <w:r w:rsidRPr="000152FA">
        <w:rPr>
          <w:rFonts w:ascii="Garamond" w:hAnsi="Garamond" w:cs="Arial"/>
        </w:rPr>
        <w:t>normalised keeping March 31, 2018 as base.</w:t>
      </w:r>
    </w:p>
    <w:p w14:paraId="43C39230" w14:textId="77777777" w:rsidR="009C313D" w:rsidRPr="000152FA" w:rsidRDefault="009C313D" w:rsidP="009C313D">
      <w:pPr>
        <w:pStyle w:val="ListParagraph"/>
        <w:numPr>
          <w:ilvl w:val="0"/>
          <w:numId w:val="6"/>
        </w:numPr>
        <w:spacing w:after="0" w:line="240" w:lineRule="auto"/>
        <w:jc w:val="both"/>
        <w:rPr>
          <w:rFonts w:ascii="Garamond" w:hAnsi="Garamond" w:cs="Arial"/>
        </w:rPr>
      </w:pPr>
      <w:r w:rsidRPr="000152FA">
        <w:rPr>
          <w:rFonts w:ascii="Garamond" w:hAnsi="Garamond" w:cs="Arial"/>
        </w:rPr>
        <w:t xml:space="preserve">The U.S. Dollar Index is an index of the value of the United States dollar relative to a basket of foreign currencies. The Index goes up when the U.S. dollar gains value when compared to other currencies. The index is maintained and published by Intercontinental Exchange. It is a weighted geometric mean of the dollar's value relative to following select currencies: Euro, Japanese </w:t>
      </w:r>
      <w:r>
        <w:rPr>
          <w:rFonts w:ascii="Garamond" w:hAnsi="Garamond" w:cs="Arial"/>
        </w:rPr>
        <w:t>Y</w:t>
      </w:r>
      <w:r w:rsidRPr="000152FA">
        <w:rPr>
          <w:rFonts w:ascii="Garamond" w:hAnsi="Garamond" w:cs="Arial"/>
        </w:rPr>
        <w:t xml:space="preserve">en, Pound </w:t>
      </w:r>
      <w:r>
        <w:rPr>
          <w:rFonts w:ascii="Garamond" w:hAnsi="Garamond" w:cs="Arial"/>
        </w:rPr>
        <w:t>S</w:t>
      </w:r>
      <w:r w:rsidRPr="000152FA">
        <w:rPr>
          <w:rFonts w:ascii="Garamond" w:hAnsi="Garamond" w:cs="Arial"/>
        </w:rPr>
        <w:t xml:space="preserve">terling, Canadian </w:t>
      </w:r>
      <w:r>
        <w:rPr>
          <w:rFonts w:ascii="Garamond" w:hAnsi="Garamond" w:cs="Arial"/>
        </w:rPr>
        <w:t>D</w:t>
      </w:r>
      <w:r w:rsidRPr="000152FA">
        <w:rPr>
          <w:rFonts w:ascii="Garamond" w:hAnsi="Garamond" w:cs="Arial"/>
        </w:rPr>
        <w:t xml:space="preserve">ollar, Swedish </w:t>
      </w:r>
      <w:r>
        <w:rPr>
          <w:rFonts w:ascii="Garamond" w:hAnsi="Garamond" w:cs="Arial"/>
        </w:rPr>
        <w:t>K</w:t>
      </w:r>
      <w:r w:rsidRPr="000152FA">
        <w:rPr>
          <w:rFonts w:ascii="Garamond" w:hAnsi="Garamond" w:cs="Arial"/>
        </w:rPr>
        <w:t xml:space="preserve">rona, Swiss </w:t>
      </w:r>
      <w:r>
        <w:rPr>
          <w:rFonts w:ascii="Garamond" w:hAnsi="Garamond" w:cs="Arial"/>
        </w:rPr>
        <w:t>F</w:t>
      </w:r>
      <w:r w:rsidRPr="000152FA">
        <w:rPr>
          <w:rFonts w:ascii="Garamond" w:hAnsi="Garamond" w:cs="Arial"/>
        </w:rPr>
        <w:t>ranc.</w:t>
      </w:r>
    </w:p>
    <w:p w14:paraId="40CC0A1D" w14:textId="77777777" w:rsidR="009C313D" w:rsidRPr="000152FA" w:rsidRDefault="009C313D" w:rsidP="009C313D">
      <w:pPr>
        <w:pStyle w:val="ListParagraph"/>
        <w:numPr>
          <w:ilvl w:val="0"/>
          <w:numId w:val="6"/>
        </w:numPr>
        <w:spacing w:after="0" w:line="240" w:lineRule="auto"/>
        <w:jc w:val="both"/>
        <w:rPr>
          <w:rFonts w:ascii="Garamond" w:hAnsi="Garamond" w:cs="Arial"/>
        </w:rPr>
      </w:pPr>
      <w:r w:rsidRPr="000152FA">
        <w:rPr>
          <w:rFonts w:ascii="Garamond" w:hAnsi="Garamond" w:cs="Arial"/>
        </w:rPr>
        <w:t>The MSCI Emerging Markets (EM) Currency Index tracks the performance of twenty</w:t>
      </w:r>
      <w:r>
        <w:rPr>
          <w:rFonts w:ascii="Garamond" w:hAnsi="Garamond" w:cs="Arial"/>
        </w:rPr>
        <w:t xml:space="preserve"> </w:t>
      </w:r>
      <w:r w:rsidRPr="000152FA">
        <w:rPr>
          <w:rFonts w:ascii="Garamond" w:hAnsi="Garamond" w:cs="Arial"/>
        </w:rPr>
        <w:t>five emerging</w:t>
      </w:r>
      <w:r>
        <w:rPr>
          <w:rFonts w:ascii="Garamond" w:hAnsi="Garamond" w:cs="Arial"/>
        </w:rPr>
        <w:t xml:space="preserve"> </w:t>
      </w:r>
      <w:r w:rsidRPr="000152FA">
        <w:rPr>
          <w:rFonts w:ascii="Garamond" w:hAnsi="Garamond" w:cs="Arial"/>
        </w:rPr>
        <w:t>market currencies relative to the US Dollar.</w:t>
      </w:r>
    </w:p>
    <w:p w14:paraId="6EACC9BB" w14:textId="77777777" w:rsidR="009C313D" w:rsidRPr="000152FA" w:rsidRDefault="009C313D" w:rsidP="009C313D">
      <w:pPr>
        <w:rPr>
          <w:rFonts w:ascii="Garamond" w:hAnsi="Garamond"/>
          <w:sz w:val="20"/>
        </w:rPr>
      </w:pPr>
      <w:r w:rsidRPr="000152FA">
        <w:rPr>
          <w:rFonts w:ascii="Garamond" w:hAnsi="Garamond"/>
          <w:b/>
          <w:sz w:val="20"/>
        </w:rPr>
        <w:t>Source:</w:t>
      </w:r>
      <w:r w:rsidRPr="000152FA">
        <w:rPr>
          <w:rFonts w:ascii="Garamond" w:hAnsi="Garamond"/>
          <w:sz w:val="20"/>
        </w:rPr>
        <w:t xml:space="preserve"> Bloomberg</w:t>
      </w:r>
    </w:p>
    <w:p w14:paraId="75C40AE8" w14:textId="77777777" w:rsidR="009C313D" w:rsidRDefault="009C313D" w:rsidP="009C313D">
      <w:pPr>
        <w:rPr>
          <w:rFonts w:ascii="Garamond" w:hAnsi="Garamond" w:cstheme="minorBidi"/>
          <w:sz w:val="20"/>
        </w:rPr>
      </w:pPr>
    </w:p>
    <w:p w14:paraId="14EAC69B" w14:textId="77777777" w:rsidR="00C6763D" w:rsidRDefault="00C6763D" w:rsidP="009C313D">
      <w:pPr>
        <w:rPr>
          <w:rFonts w:ascii="Garamond" w:hAnsi="Garamond" w:cstheme="minorBidi"/>
          <w:sz w:val="20"/>
        </w:rPr>
      </w:pPr>
    </w:p>
    <w:p w14:paraId="0DD1DE1C" w14:textId="77777777" w:rsidR="00C6763D" w:rsidRDefault="00C6763D" w:rsidP="009C313D">
      <w:pPr>
        <w:rPr>
          <w:rFonts w:ascii="Garamond" w:hAnsi="Garamond" w:cstheme="minorBidi"/>
          <w:sz w:val="20"/>
        </w:rPr>
      </w:pPr>
    </w:p>
    <w:p w14:paraId="47429BAF" w14:textId="77777777" w:rsidR="00C6763D" w:rsidRDefault="00C6763D" w:rsidP="009C313D">
      <w:pPr>
        <w:rPr>
          <w:rFonts w:ascii="Garamond" w:hAnsi="Garamond" w:cstheme="minorBidi"/>
          <w:sz w:val="20"/>
        </w:rPr>
      </w:pPr>
    </w:p>
    <w:p w14:paraId="615B554D" w14:textId="77777777" w:rsidR="00C6763D" w:rsidRDefault="00C6763D" w:rsidP="009C313D">
      <w:pPr>
        <w:rPr>
          <w:rFonts w:ascii="Garamond" w:hAnsi="Garamond" w:cstheme="minorBidi"/>
          <w:sz w:val="20"/>
        </w:rPr>
      </w:pPr>
    </w:p>
    <w:p w14:paraId="07E444D1" w14:textId="77777777" w:rsidR="00C6763D" w:rsidRDefault="00C6763D" w:rsidP="009C313D">
      <w:pPr>
        <w:rPr>
          <w:rFonts w:ascii="Garamond" w:hAnsi="Garamond" w:cstheme="minorBidi"/>
          <w:sz w:val="20"/>
        </w:rPr>
      </w:pPr>
    </w:p>
    <w:p w14:paraId="5B30B13C" w14:textId="77777777" w:rsidR="00C6763D" w:rsidRDefault="00C6763D" w:rsidP="009C313D">
      <w:pPr>
        <w:rPr>
          <w:rFonts w:ascii="Garamond" w:hAnsi="Garamond" w:cstheme="minorBidi"/>
          <w:sz w:val="20"/>
        </w:rPr>
      </w:pPr>
    </w:p>
    <w:p w14:paraId="760C242F" w14:textId="77777777" w:rsidR="00C6763D" w:rsidRDefault="00C6763D" w:rsidP="009C313D">
      <w:pPr>
        <w:rPr>
          <w:rFonts w:ascii="Garamond" w:hAnsi="Garamond" w:cstheme="minorBidi"/>
          <w:sz w:val="20"/>
        </w:rPr>
      </w:pPr>
    </w:p>
    <w:p w14:paraId="4AD513AA" w14:textId="77777777" w:rsidR="00C6763D" w:rsidRDefault="00C6763D" w:rsidP="009C313D">
      <w:pPr>
        <w:rPr>
          <w:rFonts w:ascii="Garamond" w:hAnsi="Garamond" w:cstheme="minorBidi"/>
          <w:sz w:val="20"/>
        </w:rPr>
      </w:pPr>
    </w:p>
    <w:p w14:paraId="6B602C82" w14:textId="77777777" w:rsidR="00C6763D" w:rsidRDefault="00C6763D" w:rsidP="009C313D">
      <w:pPr>
        <w:rPr>
          <w:rFonts w:ascii="Garamond" w:hAnsi="Garamond" w:cstheme="minorBidi"/>
          <w:sz w:val="20"/>
        </w:rPr>
      </w:pPr>
    </w:p>
    <w:p w14:paraId="63986991" w14:textId="77777777" w:rsidR="00C6763D" w:rsidRDefault="00C6763D" w:rsidP="009C313D">
      <w:pPr>
        <w:rPr>
          <w:rFonts w:ascii="Garamond" w:hAnsi="Garamond" w:cstheme="minorBidi"/>
          <w:sz w:val="20"/>
        </w:rPr>
      </w:pPr>
    </w:p>
    <w:p w14:paraId="6916C0B5" w14:textId="77777777" w:rsidR="00C6763D" w:rsidRDefault="00C6763D" w:rsidP="009C313D">
      <w:pPr>
        <w:rPr>
          <w:rFonts w:ascii="Garamond" w:hAnsi="Garamond" w:cstheme="minorBidi"/>
          <w:sz w:val="20"/>
        </w:rPr>
      </w:pPr>
    </w:p>
    <w:p w14:paraId="28EBC236" w14:textId="77777777" w:rsidR="00C6763D" w:rsidRDefault="00C6763D" w:rsidP="009C313D">
      <w:pPr>
        <w:rPr>
          <w:rFonts w:ascii="Garamond" w:hAnsi="Garamond" w:cstheme="minorBidi"/>
          <w:sz w:val="20"/>
        </w:rPr>
      </w:pPr>
    </w:p>
    <w:p w14:paraId="77865F04" w14:textId="77777777" w:rsidR="00C6763D" w:rsidRDefault="00C6763D" w:rsidP="009C313D">
      <w:pPr>
        <w:rPr>
          <w:rFonts w:ascii="Garamond" w:hAnsi="Garamond" w:cstheme="minorBidi"/>
          <w:sz w:val="20"/>
        </w:rPr>
      </w:pPr>
    </w:p>
    <w:p w14:paraId="78F80EA4" w14:textId="77777777" w:rsidR="00C6763D" w:rsidRDefault="00C6763D" w:rsidP="009C313D">
      <w:pPr>
        <w:rPr>
          <w:rFonts w:ascii="Garamond" w:hAnsi="Garamond" w:cstheme="minorBidi"/>
          <w:sz w:val="20"/>
        </w:rPr>
      </w:pPr>
    </w:p>
    <w:p w14:paraId="5F56A2E3" w14:textId="77777777" w:rsidR="00C6763D" w:rsidRDefault="00C6763D" w:rsidP="009C313D">
      <w:pPr>
        <w:rPr>
          <w:rFonts w:ascii="Garamond" w:hAnsi="Garamond" w:cstheme="minorBidi"/>
          <w:sz w:val="20"/>
        </w:rPr>
      </w:pPr>
    </w:p>
    <w:p w14:paraId="19B3BB4E" w14:textId="77777777" w:rsidR="00C6763D" w:rsidRDefault="00C6763D" w:rsidP="009C313D">
      <w:pPr>
        <w:rPr>
          <w:rFonts w:ascii="Garamond" w:hAnsi="Garamond" w:cstheme="minorBidi"/>
          <w:sz w:val="20"/>
        </w:rPr>
      </w:pPr>
    </w:p>
    <w:p w14:paraId="1F2554D6" w14:textId="77777777" w:rsidR="00C6763D" w:rsidRDefault="00C6763D" w:rsidP="009C313D">
      <w:pPr>
        <w:rPr>
          <w:rFonts w:ascii="Garamond" w:hAnsi="Garamond" w:cstheme="minorBidi"/>
          <w:sz w:val="20"/>
        </w:rPr>
      </w:pPr>
    </w:p>
    <w:p w14:paraId="763463BD" w14:textId="77777777" w:rsidR="00C6763D" w:rsidRDefault="00C6763D" w:rsidP="009C313D">
      <w:pPr>
        <w:rPr>
          <w:rFonts w:ascii="Garamond" w:hAnsi="Garamond" w:cstheme="minorBidi"/>
          <w:sz w:val="20"/>
        </w:rPr>
      </w:pPr>
    </w:p>
    <w:p w14:paraId="52E34D3C" w14:textId="77777777" w:rsidR="00C6763D" w:rsidRDefault="00C6763D" w:rsidP="009C313D">
      <w:pPr>
        <w:rPr>
          <w:rFonts w:ascii="Garamond" w:hAnsi="Garamond" w:cstheme="minorBidi"/>
          <w:sz w:val="20"/>
        </w:rPr>
      </w:pPr>
    </w:p>
    <w:p w14:paraId="7516CF22" w14:textId="77777777" w:rsidR="00C6763D" w:rsidRDefault="00C6763D" w:rsidP="009C313D">
      <w:pPr>
        <w:rPr>
          <w:rFonts w:ascii="Garamond" w:hAnsi="Garamond" w:cstheme="minorBidi"/>
          <w:sz w:val="20"/>
        </w:rPr>
      </w:pPr>
    </w:p>
    <w:p w14:paraId="0715517A" w14:textId="77777777" w:rsidR="00C6763D" w:rsidRDefault="00C6763D" w:rsidP="009C313D">
      <w:pPr>
        <w:rPr>
          <w:rFonts w:ascii="Garamond" w:hAnsi="Garamond" w:cstheme="minorBidi"/>
          <w:sz w:val="20"/>
        </w:rPr>
      </w:pPr>
    </w:p>
    <w:p w14:paraId="57E36E31" w14:textId="77777777" w:rsidR="00C6763D" w:rsidRDefault="00C6763D" w:rsidP="009C313D">
      <w:pPr>
        <w:rPr>
          <w:rFonts w:ascii="Garamond" w:hAnsi="Garamond" w:cstheme="minorBidi"/>
          <w:sz w:val="20"/>
        </w:rPr>
      </w:pPr>
    </w:p>
    <w:p w14:paraId="4B072278" w14:textId="77777777" w:rsidR="00C6763D" w:rsidRDefault="00C6763D" w:rsidP="009C313D">
      <w:pPr>
        <w:rPr>
          <w:rFonts w:ascii="Garamond" w:hAnsi="Garamond" w:cstheme="minorBidi"/>
          <w:sz w:val="20"/>
        </w:rPr>
      </w:pPr>
    </w:p>
    <w:p w14:paraId="6BC2392C" w14:textId="77777777" w:rsidR="00C6763D" w:rsidRDefault="00C6763D" w:rsidP="009C313D">
      <w:pPr>
        <w:rPr>
          <w:rFonts w:ascii="Garamond" w:hAnsi="Garamond" w:cstheme="minorBidi"/>
          <w:sz w:val="20"/>
        </w:rPr>
      </w:pPr>
    </w:p>
    <w:p w14:paraId="15183630" w14:textId="77777777" w:rsidR="00C6763D" w:rsidRDefault="00C6763D" w:rsidP="009C313D">
      <w:pPr>
        <w:rPr>
          <w:rFonts w:ascii="Garamond" w:hAnsi="Garamond" w:cstheme="minorBidi"/>
          <w:sz w:val="20"/>
        </w:rPr>
      </w:pPr>
    </w:p>
    <w:p w14:paraId="5CE383D0" w14:textId="77777777" w:rsidR="00C6763D" w:rsidRDefault="00C6763D" w:rsidP="009C313D">
      <w:pPr>
        <w:rPr>
          <w:rFonts w:ascii="Garamond" w:hAnsi="Garamond" w:cstheme="minorBidi"/>
          <w:sz w:val="20"/>
        </w:rPr>
      </w:pPr>
    </w:p>
    <w:p w14:paraId="1F449B21" w14:textId="77777777" w:rsidR="00C6763D" w:rsidRDefault="00C6763D" w:rsidP="009C313D">
      <w:pPr>
        <w:rPr>
          <w:rFonts w:ascii="Garamond" w:hAnsi="Garamond" w:cstheme="minorBidi"/>
          <w:sz w:val="20"/>
        </w:rPr>
      </w:pPr>
    </w:p>
    <w:p w14:paraId="7CE36FC5" w14:textId="77777777" w:rsidR="009C313D" w:rsidRPr="002D46D6" w:rsidRDefault="009C313D" w:rsidP="009C313D">
      <w:pPr>
        <w:jc w:val="both"/>
        <w:rPr>
          <w:rFonts w:ascii="Garamond" w:hAnsi="Garamond"/>
          <w:sz w:val="20"/>
        </w:rPr>
      </w:pPr>
    </w:p>
    <w:p w14:paraId="3C43E4C2" w14:textId="77777777" w:rsidR="009C313D" w:rsidRPr="003F07E9" w:rsidRDefault="009C313D" w:rsidP="009C313D">
      <w:pPr>
        <w:jc w:val="center"/>
        <w:outlineLvl w:val="0"/>
        <w:rPr>
          <w:rFonts w:ascii="Garamond" w:hAnsi="Garamond" w:cs="Helvetica"/>
          <w:b/>
          <w:color w:val="000099"/>
          <w:sz w:val="32"/>
          <w:szCs w:val="40"/>
        </w:rPr>
      </w:pPr>
      <w:r w:rsidRPr="003F07E9">
        <w:rPr>
          <w:rFonts w:ascii="Garamond" w:hAnsi="Garamond" w:cs="Helvetica"/>
          <w:b/>
          <w:color w:val="000099"/>
          <w:sz w:val="32"/>
          <w:szCs w:val="40"/>
        </w:rPr>
        <w:t>HIGHLIGHTS OF DEVELOPMENTS IN INTERNATIONAL SECURITIES MARKET</w:t>
      </w:r>
    </w:p>
    <w:p w14:paraId="13ABBAA0" w14:textId="77777777" w:rsidR="009C313D" w:rsidRPr="002D46D6" w:rsidRDefault="009C313D" w:rsidP="009C313D">
      <w:pPr>
        <w:rPr>
          <w:rFonts w:ascii="Garamond" w:hAnsi="Garamond"/>
          <w:b/>
        </w:rPr>
      </w:pPr>
    </w:p>
    <w:p w14:paraId="3E233EED" w14:textId="77777777" w:rsidR="009C313D" w:rsidRPr="00C6763D" w:rsidRDefault="009C313D" w:rsidP="009C313D">
      <w:pPr>
        <w:jc w:val="both"/>
        <w:rPr>
          <w:rFonts w:ascii="Garamond" w:hAnsi="Garamond" w:cstheme="minorHAnsi"/>
          <w:bCs/>
          <w:color w:val="000000" w:themeColor="text1"/>
          <w:sz w:val="22"/>
          <w:szCs w:val="22"/>
        </w:rPr>
      </w:pPr>
      <w:r w:rsidRPr="00C6763D">
        <w:rPr>
          <w:rFonts w:ascii="Garamond" w:hAnsi="Garamond" w:cstheme="minorHAnsi"/>
          <w:bCs/>
          <w:color w:val="000000" w:themeColor="text1"/>
          <w:sz w:val="22"/>
          <w:szCs w:val="22"/>
        </w:rPr>
        <w:t>The regulatory developments in the securities market during September 2018 are given below.</w:t>
      </w:r>
    </w:p>
    <w:p w14:paraId="6931E9C7" w14:textId="77777777" w:rsidR="009C313D" w:rsidRPr="00C6763D" w:rsidRDefault="009C313D" w:rsidP="008C5EBB">
      <w:pPr>
        <w:numPr>
          <w:ilvl w:val="0"/>
          <w:numId w:val="9"/>
        </w:numPr>
        <w:tabs>
          <w:tab w:val="left" w:pos="720"/>
          <w:tab w:val="left" w:pos="1080"/>
        </w:tabs>
        <w:ind w:left="-284"/>
        <w:contextualSpacing/>
        <w:jc w:val="both"/>
        <w:rPr>
          <w:rFonts w:ascii="Garamond" w:hAnsi="Garamond" w:cstheme="minorHAnsi"/>
          <w:b/>
          <w:color w:val="2F5496" w:themeColor="accent5" w:themeShade="BF"/>
          <w:sz w:val="22"/>
          <w:szCs w:val="22"/>
          <w:u w:val="single"/>
        </w:rPr>
      </w:pPr>
      <w:r w:rsidRPr="00C6763D">
        <w:rPr>
          <w:rFonts w:ascii="Garamond" w:hAnsi="Garamond" w:cstheme="minorHAnsi"/>
          <w:b/>
          <w:color w:val="2F5496" w:themeColor="accent5" w:themeShade="BF"/>
          <w:sz w:val="22"/>
          <w:szCs w:val="22"/>
          <w:u w:val="single"/>
        </w:rPr>
        <w:t>International Organization of Securities Commissions(IOSCO)</w:t>
      </w:r>
    </w:p>
    <w:p w14:paraId="3AE275C6" w14:textId="77777777" w:rsidR="009C313D" w:rsidRPr="00C6763D" w:rsidRDefault="009C313D" w:rsidP="008C5EBB">
      <w:pPr>
        <w:pStyle w:val="ListParagraph"/>
        <w:numPr>
          <w:ilvl w:val="0"/>
          <w:numId w:val="10"/>
        </w:numPr>
        <w:tabs>
          <w:tab w:val="left" w:pos="810"/>
          <w:tab w:val="left" w:pos="1080"/>
        </w:tabs>
        <w:spacing w:after="0" w:line="240" w:lineRule="auto"/>
        <w:ind w:left="0"/>
        <w:jc w:val="both"/>
        <w:rPr>
          <w:rFonts w:ascii="Garamond" w:hAnsi="Garamond"/>
          <w:sz w:val="22"/>
          <w:szCs w:val="22"/>
        </w:rPr>
      </w:pPr>
      <w:r w:rsidRPr="00C6763D">
        <w:rPr>
          <w:rFonts w:ascii="Garamond" w:hAnsi="Garamond"/>
          <w:b/>
          <w:sz w:val="22"/>
          <w:szCs w:val="22"/>
        </w:rPr>
        <w:t>IOSCO guidance addresses conflicts of interest and conduct risks in equity capital raising</w:t>
      </w:r>
    </w:p>
    <w:p w14:paraId="1CCCF7C9" w14:textId="77777777" w:rsidR="009C313D" w:rsidRPr="00C6763D" w:rsidRDefault="009C313D" w:rsidP="009C313D">
      <w:pPr>
        <w:pStyle w:val="ListParagraph"/>
        <w:spacing w:after="0" w:line="240" w:lineRule="auto"/>
        <w:ind w:left="0"/>
        <w:jc w:val="both"/>
        <w:rPr>
          <w:rFonts w:ascii="Garamond" w:hAnsi="Garamond"/>
          <w:sz w:val="22"/>
          <w:szCs w:val="22"/>
        </w:rPr>
      </w:pPr>
      <w:r w:rsidRPr="00C6763D">
        <w:rPr>
          <w:rFonts w:ascii="Garamond" w:hAnsi="Garamond"/>
          <w:sz w:val="22"/>
          <w:szCs w:val="22"/>
        </w:rPr>
        <w:t>Conflicts of interest and associated conduct risks stemming from the role of intermediaries can harm the integrity and efficiency of the equity capital raising process, damage investor confidence and weaken capital markets as an effective vehicle for issuers to raise funding. To help regulators identify and address these risks, IOSCO published the final report on Conflicts of interest and associated conduct risks during the equity capital raising process, which sets out guidance for regulators to address conflicts of interests that may occur when intermediaries manage an equity securities offering.</w:t>
      </w:r>
    </w:p>
    <w:p w14:paraId="7E4A9F1A" w14:textId="77777777" w:rsidR="009C313D" w:rsidRPr="00C6763D" w:rsidRDefault="009C313D" w:rsidP="009C313D">
      <w:pPr>
        <w:pStyle w:val="ListParagraph"/>
        <w:spacing w:after="0" w:line="240" w:lineRule="auto"/>
        <w:ind w:left="0"/>
        <w:jc w:val="both"/>
        <w:rPr>
          <w:rFonts w:ascii="Garamond" w:hAnsi="Garamond"/>
          <w:sz w:val="22"/>
          <w:szCs w:val="22"/>
        </w:rPr>
      </w:pPr>
      <w:r w:rsidRPr="00C6763D">
        <w:rPr>
          <w:rFonts w:ascii="Garamond" w:hAnsi="Garamond"/>
          <w:sz w:val="22"/>
          <w:szCs w:val="22"/>
        </w:rPr>
        <w:t>Implementation of the guidance is expected to materially improve the equity raising process, which includes enhancing (i) the range and quality of timely information that is made available to investors during the process; (ii) the transparency of allocations; (iii) the efficiency and integrity of the overall process, boosting investor confidence and rendering capital markets a more effective channel to raise financing.</w:t>
      </w:r>
    </w:p>
    <w:p w14:paraId="0FC6946C" w14:textId="77777777" w:rsidR="009C313D" w:rsidRPr="00C6763D" w:rsidRDefault="009C313D" w:rsidP="009C313D">
      <w:pPr>
        <w:pStyle w:val="ListParagraph"/>
        <w:spacing w:after="0" w:line="240" w:lineRule="auto"/>
        <w:ind w:left="0"/>
        <w:jc w:val="both"/>
        <w:rPr>
          <w:rFonts w:ascii="Garamond" w:hAnsi="Garamond"/>
          <w:i/>
          <w:iCs/>
          <w:sz w:val="22"/>
          <w:szCs w:val="22"/>
        </w:rPr>
      </w:pPr>
      <w:r w:rsidRPr="00C6763D">
        <w:rPr>
          <w:rFonts w:ascii="Garamond" w:hAnsi="Garamond"/>
          <w:i/>
          <w:iCs/>
          <w:sz w:val="22"/>
          <w:szCs w:val="22"/>
        </w:rPr>
        <w:t xml:space="preserve">Source: </w:t>
      </w:r>
      <w:hyperlink r:id="rId35" w:history="1">
        <w:r w:rsidRPr="00C6763D">
          <w:rPr>
            <w:rStyle w:val="Hyperlink"/>
            <w:rFonts w:ascii="Garamond" w:hAnsi="Garamond"/>
            <w:i/>
            <w:iCs/>
            <w:sz w:val="22"/>
            <w:szCs w:val="22"/>
          </w:rPr>
          <w:t>http://www.iosco.org/news/pdf/IOSCONEWS510.pdf</w:t>
        </w:r>
      </w:hyperlink>
    </w:p>
    <w:p w14:paraId="50389CF8" w14:textId="77777777" w:rsidR="009C313D" w:rsidRPr="00C6763D" w:rsidRDefault="009C313D" w:rsidP="009C313D">
      <w:pPr>
        <w:pStyle w:val="ListParagraph"/>
        <w:spacing w:after="0" w:line="240" w:lineRule="auto"/>
        <w:ind w:left="0"/>
        <w:jc w:val="both"/>
        <w:rPr>
          <w:rFonts w:ascii="Garamond" w:hAnsi="Garamond"/>
          <w:i/>
          <w:iCs/>
          <w:sz w:val="22"/>
          <w:szCs w:val="22"/>
        </w:rPr>
      </w:pPr>
    </w:p>
    <w:p w14:paraId="26EAB69A" w14:textId="77777777" w:rsidR="009C313D" w:rsidRPr="00C6763D" w:rsidRDefault="009C313D" w:rsidP="008C5EBB">
      <w:pPr>
        <w:pStyle w:val="ListParagraph"/>
        <w:numPr>
          <w:ilvl w:val="0"/>
          <w:numId w:val="10"/>
        </w:numPr>
        <w:tabs>
          <w:tab w:val="left" w:pos="810"/>
          <w:tab w:val="left" w:pos="1080"/>
        </w:tabs>
        <w:spacing w:after="0" w:line="240" w:lineRule="auto"/>
        <w:ind w:left="0"/>
        <w:jc w:val="both"/>
        <w:rPr>
          <w:rFonts w:ascii="Garamond" w:hAnsi="Garamond"/>
          <w:b/>
          <w:sz w:val="22"/>
          <w:szCs w:val="22"/>
        </w:rPr>
      </w:pPr>
      <w:r w:rsidRPr="00C6763D">
        <w:rPr>
          <w:rFonts w:ascii="Garamond" w:hAnsi="Garamond"/>
          <w:b/>
          <w:sz w:val="22"/>
          <w:szCs w:val="22"/>
        </w:rPr>
        <w:t>IOSCO issues policy measures to protect investors of OTC leveraged products</w:t>
      </w:r>
    </w:p>
    <w:p w14:paraId="156C09FD"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IOSCO issued a final report providing measures for securities regulators to consider when addressing the risks arising from the marketing and sale of OTC leveraged products to retail investors. Simultaneously, the Board issued a public statement on the risks of binary options and the response of regulators for mitigating the risks and harm to retail investors transacting in these products. The Report on Retail OTC Leveraged Products includes three complementary toolkits containing measures aimed at increasing the protection of retail investors who are offered OTC leveraged products, often on a cross-border basis. The report covers the marketing and sale of rolling-spot forex contracts, contracts for differences (CFDs) and binary options.</w:t>
      </w:r>
    </w:p>
    <w:p w14:paraId="6CC7F2CB"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4DBA4550"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The toolkits set out guidance for regulators on: (i) Policy measures that can help to address the risks arising from the marketing and sale of OTC leveraged products by intermediaries; (ii) Educating investors about the risks of OTC leveraged products and the firms offering them; and (iii) Enforcement approaches and practices to mitigate the risks posed by unlicensed firms offering the products.</w:t>
      </w:r>
    </w:p>
    <w:p w14:paraId="7E01F9BB"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r w:rsidRPr="00C6763D">
        <w:rPr>
          <w:rFonts w:ascii="Garamond" w:hAnsi="Garamond"/>
          <w:i/>
          <w:iCs/>
          <w:sz w:val="22"/>
          <w:szCs w:val="22"/>
        </w:rPr>
        <w:t xml:space="preserve">Source: </w:t>
      </w:r>
      <w:hyperlink r:id="rId36" w:history="1">
        <w:r w:rsidRPr="00C6763D">
          <w:rPr>
            <w:rStyle w:val="Hyperlink"/>
            <w:rFonts w:ascii="Garamond" w:hAnsi="Garamond"/>
            <w:i/>
            <w:iCs/>
            <w:sz w:val="22"/>
            <w:szCs w:val="22"/>
          </w:rPr>
          <w:t>http://www.iosco.org/news/pdf/IOSCONEWS511.pdf</w:t>
        </w:r>
      </w:hyperlink>
    </w:p>
    <w:p w14:paraId="2CD67BD0"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p>
    <w:p w14:paraId="3B589E39" w14:textId="77777777" w:rsidR="009C313D" w:rsidRPr="00C6763D" w:rsidRDefault="009C313D" w:rsidP="008C5EBB">
      <w:pPr>
        <w:numPr>
          <w:ilvl w:val="0"/>
          <w:numId w:val="9"/>
        </w:numPr>
        <w:tabs>
          <w:tab w:val="left" w:pos="720"/>
          <w:tab w:val="left" w:pos="1080"/>
        </w:tabs>
        <w:ind w:left="-284"/>
        <w:contextualSpacing/>
        <w:jc w:val="both"/>
        <w:rPr>
          <w:rFonts w:ascii="Garamond" w:hAnsi="Garamond" w:cstheme="minorHAnsi"/>
          <w:b/>
          <w:color w:val="2F5496" w:themeColor="accent5" w:themeShade="BF"/>
          <w:sz w:val="22"/>
          <w:szCs w:val="22"/>
          <w:u w:val="single"/>
        </w:rPr>
      </w:pPr>
      <w:r w:rsidRPr="00C6763D">
        <w:rPr>
          <w:rFonts w:ascii="Garamond" w:hAnsi="Garamond" w:cstheme="minorHAnsi"/>
          <w:b/>
          <w:color w:val="2F5496" w:themeColor="accent5" w:themeShade="BF"/>
          <w:sz w:val="22"/>
          <w:szCs w:val="22"/>
          <w:u w:val="single"/>
        </w:rPr>
        <w:t>European Securities and Market Authority (ESMA)</w:t>
      </w:r>
    </w:p>
    <w:p w14:paraId="51BACB5F" w14:textId="77777777" w:rsidR="009C313D" w:rsidRPr="00C6763D" w:rsidRDefault="009C313D" w:rsidP="008C5EBB">
      <w:pPr>
        <w:pStyle w:val="ListParagraph"/>
        <w:numPr>
          <w:ilvl w:val="0"/>
          <w:numId w:val="13"/>
        </w:numPr>
        <w:tabs>
          <w:tab w:val="left" w:pos="810"/>
          <w:tab w:val="left" w:pos="1080"/>
        </w:tabs>
        <w:spacing w:after="0" w:line="240" w:lineRule="auto"/>
        <w:ind w:left="0"/>
        <w:jc w:val="both"/>
        <w:rPr>
          <w:rFonts w:ascii="Garamond" w:hAnsi="Garamond"/>
          <w:sz w:val="22"/>
          <w:szCs w:val="22"/>
        </w:rPr>
      </w:pPr>
      <w:r w:rsidRPr="00C6763D">
        <w:rPr>
          <w:rFonts w:ascii="Garamond" w:hAnsi="Garamond"/>
          <w:b/>
          <w:sz w:val="22"/>
          <w:szCs w:val="22"/>
        </w:rPr>
        <w:t>ESMA finds deterioration in liquidity in stressed financial markets for both sovereign and corporate bonds</w:t>
      </w:r>
    </w:p>
    <w:p w14:paraId="0618CD1D"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ESMA published a working paper examining liquidity in EU fixed income markets, providing a broad overview of market liquidity in EU sovereign bond and corporate bond markets. The study, reporting on different aspects of market liquidity, shows that the situation differs significantly between sovereign and corporate bonds. ESMA has found that sovereign bond market liquidity has increased recently, potentially due to the effects of supportive monetary policy. However, in parallel, it has seen evidence of several episodes of deteriorating secondary market liquidity for corporate bonds, especially between 2014 and 2016.</w:t>
      </w:r>
    </w:p>
    <w:p w14:paraId="00817D99"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02BC0292"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In terms of drivers, the issuance size plays a crucial role in both categories, with market liquidity more abundant for bonds that have a benchmark status and are issued in larger volumes in the sovereign segment with outstanding amounts being the main bond-level drivers in the corporate segment. </w:t>
      </w:r>
    </w:p>
    <w:p w14:paraId="01BB400F"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bCs/>
          <w:i/>
          <w:iCs/>
          <w:sz w:val="22"/>
          <w:szCs w:val="22"/>
        </w:rPr>
      </w:pPr>
      <w:r w:rsidRPr="00C6763D">
        <w:rPr>
          <w:rFonts w:ascii="Garamond" w:hAnsi="Garamond"/>
          <w:bCs/>
          <w:i/>
          <w:iCs/>
          <w:sz w:val="22"/>
          <w:szCs w:val="22"/>
        </w:rPr>
        <w:t>Source:</w:t>
      </w:r>
      <w:hyperlink r:id="rId37" w:history="1">
        <w:r w:rsidRPr="00C6763D">
          <w:rPr>
            <w:rStyle w:val="Hyperlink"/>
            <w:rFonts w:ascii="Garamond" w:hAnsi="Garamond"/>
            <w:bCs/>
            <w:i/>
            <w:iCs/>
            <w:sz w:val="22"/>
            <w:szCs w:val="22"/>
          </w:rPr>
          <w:t>https://www.esma.europa.eu/press-news/esma-news/esma-finds-deterioration-in-liquidity-in-stressed-financial-markets-both</w:t>
        </w:r>
      </w:hyperlink>
    </w:p>
    <w:p w14:paraId="07953416"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b/>
          <w:sz w:val="22"/>
          <w:szCs w:val="22"/>
        </w:rPr>
      </w:pPr>
    </w:p>
    <w:p w14:paraId="01FBF6C7" w14:textId="77777777" w:rsidR="009C313D" w:rsidRPr="00C6763D" w:rsidRDefault="009C313D" w:rsidP="008C5EBB">
      <w:pPr>
        <w:pStyle w:val="ListParagraph"/>
        <w:numPr>
          <w:ilvl w:val="0"/>
          <w:numId w:val="13"/>
        </w:numPr>
        <w:tabs>
          <w:tab w:val="left" w:pos="810"/>
          <w:tab w:val="left" w:pos="1080"/>
        </w:tabs>
        <w:spacing w:after="0" w:line="240" w:lineRule="auto"/>
        <w:ind w:left="0"/>
        <w:jc w:val="both"/>
        <w:rPr>
          <w:rFonts w:ascii="Garamond" w:hAnsi="Garamond"/>
          <w:b/>
          <w:sz w:val="22"/>
          <w:szCs w:val="22"/>
        </w:rPr>
      </w:pPr>
      <w:r w:rsidRPr="00C6763D">
        <w:rPr>
          <w:rFonts w:ascii="Garamond" w:hAnsi="Garamond"/>
          <w:b/>
          <w:sz w:val="22"/>
          <w:szCs w:val="22"/>
        </w:rPr>
        <w:t>ESMA monitors volatility in financial markets</w:t>
      </w:r>
    </w:p>
    <w:p w14:paraId="3A36CEF3"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ESMA has published an article setting out the </w:t>
      </w:r>
      <w:hyperlink r:id="rId38" w:anchor="page=76" w:history="1">
        <w:r w:rsidRPr="00C6763D">
          <w:rPr>
            <w:rFonts w:ascii="Garamond" w:hAnsi="Garamond"/>
            <w:sz w:val="22"/>
            <w:szCs w:val="22"/>
          </w:rPr>
          <w:t>details of its analysis of volatility </w:t>
        </w:r>
      </w:hyperlink>
      <w:r w:rsidRPr="00C6763D">
        <w:rPr>
          <w:rFonts w:ascii="Garamond" w:hAnsi="Garamond"/>
          <w:sz w:val="22"/>
          <w:szCs w:val="22"/>
        </w:rPr>
        <w:t>in financial markets. The potential of market volatility to undermine financial stability as well as to impose unexpected losses on investors, is a subject of concern for securities market regulators, and is a key element of ESMA’s market monitoring.</w:t>
      </w:r>
    </w:p>
    <w:p w14:paraId="63AE0E2D"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2762BA2D"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Relatively low or high levels of volatility increase the likelihood of stressed financial markets. The two years between February 2016 and January 2018 were characterised by low yields and low volatility, a trend that came to an abrupt end in February 2018 when equity market volatility spiked as markets were globally affected by a strong correction.</w:t>
      </w:r>
    </w:p>
    <w:p w14:paraId="118D246C"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6EBAEF11"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ESMA finds that the main drivers of the long period of low volatility are related to lower equity returns correlation, search-for-yield strategies, and stable macroeconomic and corporate performances. A prolonged period of low volatility may lead to a more fragile financial system, promoting increased risk-taking by market participants.</w:t>
      </w:r>
    </w:p>
    <w:p w14:paraId="147242FC"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7E806EEC"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While the assets under management (AuM) may still be considered rather small, the number of products following volatility targeting strategies is sufficiently broad to become a key factor driving volatility spikes like those that occurred in the first week of February 2018.</w:t>
      </w:r>
    </w:p>
    <w:p w14:paraId="202C487A"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r w:rsidRPr="00C6763D">
        <w:rPr>
          <w:rFonts w:ascii="Garamond" w:hAnsi="Garamond"/>
          <w:i/>
          <w:iCs/>
          <w:sz w:val="22"/>
          <w:szCs w:val="22"/>
        </w:rPr>
        <w:t xml:space="preserve">Source: </w:t>
      </w:r>
      <w:hyperlink r:id="rId39" w:history="1">
        <w:r w:rsidRPr="00C6763D">
          <w:rPr>
            <w:rStyle w:val="Hyperlink"/>
            <w:rFonts w:ascii="Garamond" w:hAnsi="Garamond"/>
            <w:i/>
            <w:iCs/>
            <w:sz w:val="22"/>
            <w:szCs w:val="22"/>
          </w:rPr>
          <w:t>https://www.esma.europa.eu/press-news/esma-news/esma-monitors-volatility-in-financial-markets</w:t>
        </w:r>
      </w:hyperlink>
    </w:p>
    <w:p w14:paraId="5DE523CB"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3A9B1AC8" w14:textId="77777777" w:rsidR="009C313D" w:rsidRPr="00C6763D" w:rsidRDefault="009C313D" w:rsidP="008C5EBB">
      <w:pPr>
        <w:pStyle w:val="ListParagraph"/>
        <w:numPr>
          <w:ilvl w:val="0"/>
          <w:numId w:val="13"/>
        </w:numPr>
        <w:tabs>
          <w:tab w:val="left" w:pos="810"/>
          <w:tab w:val="left" w:pos="1080"/>
        </w:tabs>
        <w:spacing w:after="0" w:line="240" w:lineRule="auto"/>
        <w:ind w:left="0"/>
        <w:jc w:val="both"/>
        <w:rPr>
          <w:rFonts w:ascii="Garamond" w:hAnsi="Garamond"/>
          <w:b/>
          <w:sz w:val="22"/>
          <w:szCs w:val="22"/>
        </w:rPr>
      </w:pPr>
      <w:r w:rsidRPr="00C6763D">
        <w:rPr>
          <w:rFonts w:ascii="Garamond" w:hAnsi="Garamond"/>
          <w:b/>
          <w:sz w:val="22"/>
          <w:szCs w:val="22"/>
        </w:rPr>
        <w:t>ESMA finds high level of diversity in national markets for structured retail products</w:t>
      </w:r>
    </w:p>
    <w:p w14:paraId="6B5F440B"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ESMA has carried out a study of the EU market in </w:t>
      </w:r>
      <w:hyperlink r:id="rId40" w:anchor="page=52" w:history="1">
        <w:r w:rsidRPr="00C6763D">
          <w:rPr>
            <w:rFonts w:ascii="Garamond" w:hAnsi="Garamond"/>
            <w:sz w:val="22"/>
            <w:szCs w:val="22"/>
          </w:rPr>
          <w:t>structured retail products</w:t>
        </w:r>
      </w:hyperlink>
      <w:r w:rsidRPr="00C6763D">
        <w:rPr>
          <w:rFonts w:ascii="Garamond" w:hAnsi="Garamond"/>
          <w:sz w:val="22"/>
          <w:szCs w:val="22"/>
        </w:rPr>
        <w:t>, from an investor protection perspective.</w:t>
      </w:r>
    </w:p>
    <w:p w14:paraId="40C24E96"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794D9C3E"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The research breaks down the EU market geographically into national retail markets and found a high degree of heterogeneity in the types of product sold. </w:t>
      </w:r>
    </w:p>
    <w:p w14:paraId="316FE8DE"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2D454752"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The report identified that although a wide array of different structured products are available to retail investors across the EU, each national market is concentrated around a small number of common types, namely capital protection products, yield enhancement products and participation products.</w:t>
      </w:r>
    </w:p>
    <w:p w14:paraId="55CDD0E1"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53D33B80"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The analysis was carried out both at an EU-wide level and also specifically in the French, German and Italian retail markets and suggested that the search for yield had been a common driver of several changes in the distribution of product types.</w:t>
      </w:r>
    </w:p>
    <w:p w14:paraId="699E8FB0"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r w:rsidRPr="00C6763D">
        <w:rPr>
          <w:rFonts w:ascii="Garamond" w:hAnsi="Garamond"/>
          <w:i/>
          <w:iCs/>
          <w:sz w:val="22"/>
          <w:szCs w:val="22"/>
        </w:rPr>
        <w:t>Source:</w:t>
      </w:r>
      <w:hyperlink r:id="rId41" w:history="1">
        <w:r w:rsidRPr="00C6763D">
          <w:rPr>
            <w:rStyle w:val="Hyperlink"/>
            <w:rFonts w:ascii="Garamond" w:hAnsi="Garamond"/>
            <w:i/>
            <w:iCs/>
            <w:sz w:val="22"/>
            <w:szCs w:val="22"/>
          </w:rPr>
          <w:t>https://www.esma.europa.eu/press-news/esma-news/esma-finds-high-level-diversity-in-national-markets-structured-retail-products</w:t>
        </w:r>
      </w:hyperlink>
    </w:p>
    <w:p w14:paraId="02FB4C40"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7DA8E9A5" w14:textId="77777777" w:rsidR="009C313D" w:rsidRPr="00C6763D" w:rsidRDefault="009C313D" w:rsidP="008C5EBB">
      <w:pPr>
        <w:pStyle w:val="ListParagraph"/>
        <w:numPr>
          <w:ilvl w:val="0"/>
          <w:numId w:val="13"/>
        </w:numPr>
        <w:tabs>
          <w:tab w:val="left" w:pos="810"/>
          <w:tab w:val="left" w:pos="1080"/>
        </w:tabs>
        <w:spacing w:after="0" w:line="240" w:lineRule="auto"/>
        <w:ind w:left="0"/>
        <w:jc w:val="both"/>
        <w:rPr>
          <w:rFonts w:ascii="Garamond" w:hAnsi="Garamond"/>
          <w:b/>
          <w:sz w:val="22"/>
          <w:szCs w:val="22"/>
        </w:rPr>
      </w:pPr>
      <w:r w:rsidRPr="00C6763D">
        <w:rPr>
          <w:rFonts w:ascii="Garamond" w:hAnsi="Garamond"/>
          <w:b/>
          <w:sz w:val="22"/>
          <w:szCs w:val="22"/>
        </w:rPr>
        <w:t>ESMA consults on stress testing rules for money market funds</w:t>
      </w:r>
    </w:p>
    <w:p w14:paraId="54185A33"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The Money Market Funds Regulation (MMFR) requires managers of money market funds (MMFs) to conduct regular stress tests as part of their risk management and regulatory disclosure. Funds must put in place sound stress testing processes, including identifying stress events, or future changes in economic conditions, and assess the impacts these different scenarios may have on (the net-asset-value and/or liquidity of) the MMF.</w:t>
      </w:r>
    </w:p>
    <w:p w14:paraId="45493FA7"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261BBD71"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ESMA, to capture coherently MMFs’ risks, has developed draft guidelines for their stress testing. The consultation paper is the first step in developing detailed specifications for these stress tests by proposing common parameters and scenarios which take into account the following hypothetical risk factors:</w:t>
      </w:r>
    </w:p>
    <w:p w14:paraId="113F4E61" w14:textId="77777777" w:rsidR="009C313D" w:rsidRPr="00C6763D" w:rsidRDefault="009C313D" w:rsidP="008C5EBB">
      <w:pPr>
        <w:pStyle w:val="ListParagraph"/>
        <w:numPr>
          <w:ilvl w:val="0"/>
          <w:numId w:val="14"/>
        </w:numPr>
        <w:tabs>
          <w:tab w:val="clear" w:pos="720"/>
        </w:tabs>
        <w:spacing w:after="0" w:line="240" w:lineRule="auto"/>
        <w:ind w:left="567"/>
        <w:jc w:val="both"/>
        <w:rPr>
          <w:rFonts w:ascii="Garamond" w:hAnsi="Garamond"/>
          <w:sz w:val="22"/>
          <w:szCs w:val="22"/>
        </w:rPr>
      </w:pPr>
      <w:r w:rsidRPr="00C6763D">
        <w:rPr>
          <w:rFonts w:ascii="Garamond" w:hAnsi="Garamond"/>
          <w:sz w:val="22"/>
          <w:szCs w:val="22"/>
        </w:rPr>
        <w:t> liquidity changes of the assets held in the portfolio of the MMF;</w:t>
      </w:r>
    </w:p>
    <w:p w14:paraId="44AE86CD" w14:textId="77777777" w:rsidR="009C313D" w:rsidRPr="00C6763D" w:rsidRDefault="009C313D" w:rsidP="008C5EBB">
      <w:pPr>
        <w:pStyle w:val="ListParagraph"/>
        <w:numPr>
          <w:ilvl w:val="0"/>
          <w:numId w:val="14"/>
        </w:numPr>
        <w:tabs>
          <w:tab w:val="clear" w:pos="720"/>
        </w:tabs>
        <w:spacing w:after="0" w:line="240" w:lineRule="auto"/>
        <w:ind w:left="567"/>
        <w:jc w:val="both"/>
        <w:rPr>
          <w:rFonts w:ascii="Garamond" w:hAnsi="Garamond"/>
          <w:sz w:val="22"/>
          <w:szCs w:val="22"/>
        </w:rPr>
      </w:pPr>
      <w:r w:rsidRPr="00C6763D">
        <w:rPr>
          <w:rFonts w:ascii="Garamond" w:hAnsi="Garamond"/>
          <w:sz w:val="22"/>
          <w:szCs w:val="22"/>
        </w:rPr>
        <w:t>credit risk, including credit events and rating events;</w:t>
      </w:r>
    </w:p>
    <w:p w14:paraId="76763CB6" w14:textId="77777777" w:rsidR="009C313D" w:rsidRPr="00C6763D" w:rsidRDefault="009C313D" w:rsidP="008C5EBB">
      <w:pPr>
        <w:pStyle w:val="ListParagraph"/>
        <w:numPr>
          <w:ilvl w:val="0"/>
          <w:numId w:val="14"/>
        </w:numPr>
        <w:tabs>
          <w:tab w:val="clear" w:pos="720"/>
        </w:tabs>
        <w:spacing w:after="0" w:line="240" w:lineRule="auto"/>
        <w:ind w:left="567"/>
        <w:jc w:val="both"/>
        <w:rPr>
          <w:rFonts w:ascii="Garamond" w:hAnsi="Garamond"/>
          <w:sz w:val="22"/>
          <w:szCs w:val="22"/>
        </w:rPr>
      </w:pPr>
      <w:r w:rsidRPr="00C6763D">
        <w:rPr>
          <w:rFonts w:ascii="Garamond" w:hAnsi="Garamond"/>
          <w:sz w:val="22"/>
          <w:szCs w:val="22"/>
        </w:rPr>
        <w:t>changes in interest and exchange rates;</w:t>
      </w:r>
    </w:p>
    <w:p w14:paraId="310414F1" w14:textId="77777777" w:rsidR="009C313D" w:rsidRPr="00C6763D" w:rsidRDefault="009C313D" w:rsidP="008C5EBB">
      <w:pPr>
        <w:pStyle w:val="ListParagraph"/>
        <w:numPr>
          <w:ilvl w:val="0"/>
          <w:numId w:val="14"/>
        </w:numPr>
        <w:tabs>
          <w:tab w:val="clear" w:pos="720"/>
        </w:tabs>
        <w:spacing w:after="0" w:line="240" w:lineRule="auto"/>
        <w:ind w:left="567"/>
        <w:jc w:val="both"/>
        <w:rPr>
          <w:rFonts w:ascii="Garamond" w:hAnsi="Garamond"/>
          <w:sz w:val="22"/>
          <w:szCs w:val="22"/>
        </w:rPr>
      </w:pPr>
      <w:r w:rsidRPr="00C6763D">
        <w:rPr>
          <w:rFonts w:ascii="Garamond" w:hAnsi="Garamond"/>
          <w:sz w:val="22"/>
          <w:szCs w:val="22"/>
        </w:rPr>
        <w:t>redemptions;</w:t>
      </w:r>
    </w:p>
    <w:p w14:paraId="04A44117" w14:textId="77777777" w:rsidR="009C313D" w:rsidRPr="00C6763D" w:rsidRDefault="009C313D" w:rsidP="008C5EBB">
      <w:pPr>
        <w:pStyle w:val="ListParagraph"/>
        <w:numPr>
          <w:ilvl w:val="0"/>
          <w:numId w:val="14"/>
        </w:numPr>
        <w:tabs>
          <w:tab w:val="clear" w:pos="720"/>
        </w:tabs>
        <w:spacing w:after="0" w:line="240" w:lineRule="auto"/>
        <w:ind w:left="567"/>
        <w:jc w:val="both"/>
        <w:rPr>
          <w:rFonts w:ascii="Garamond" w:hAnsi="Garamond"/>
          <w:sz w:val="22"/>
          <w:szCs w:val="22"/>
        </w:rPr>
      </w:pPr>
      <w:r w:rsidRPr="00C6763D">
        <w:rPr>
          <w:rFonts w:ascii="Garamond" w:hAnsi="Garamond"/>
          <w:sz w:val="22"/>
          <w:szCs w:val="22"/>
        </w:rPr>
        <w:t>spread changes of indexes to which interest rates of portfolio securities are tied; and</w:t>
      </w:r>
    </w:p>
    <w:p w14:paraId="2C61B32C" w14:textId="77777777" w:rsidR="009C313D" w:rsidRPr="00C6763D" w:rsidRDefault="009C313D" w:rsidP="008C5EBB">
      <w:pPr>
        <w:pStyle w:val="ListParagraph"/>
        <w:numPr>
          <w:ilvl w:val="0"/>
          <w:numId w:val="14"/>
        </w:numPr>
        <w:tabs>
          <w:tab w:val="clear" w:pos="720"/>
        </w:tabs>
        <w:spacing w:after="0" w:line="240" w:lineRule="auto"/>
        <w:ind w:left="567"/>
        <w:jc w:val="both"/>
        <w:rPr>
          <w:rFonts w:ascii="Garamond" w:hAnsi="Garamond"/>
          <w:sz w:val="22"/>
          <w:szCs w:val="22"/>
        </w:rPr>
      </w:pPr>
      <w:r w:rsidRPr="00C6763D">
        <w:rPr>
          <w:rFonts w:ascii="Garamond" w:hAnsi="Garamond"/>
          <w:sz w:val="22"/>
          <w:szCs w:val="22"/>
        </w:rPr>
        <w:t>Macro-economic shocks.</w:t>
      </w:r>
    </w:p>
    <w:p w14:paraId="3B237215"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r w:rsidRPr="00C6763D">
        <w:rPr>
          <w:rFonts w:ascii="Garamond" w:hAnsi="Garamond"/>
          <w:i/>
          <w:iCs/>
          <w:sz w:val="22"/>
          <w:szCs w:val="22"/>
        </w:rPr>
        <w:t>Source:</w:t>
      </w:r>
      <w:hyperlink r:id="rId42" w:history="1">
        <w:r w:rsidRPr="00C6763D">
          <w:rPr>
            <w:rStyle w:val="Hyperlink"/>
            <w:rFonts w:ascii="Garamond" w:hAnsi="Garamond"/>
            <w:i/>
            <w:iCs/>
            <w:sz w:val="22"/>
            <w:szCs w:val="22"/>
          </w:rPr>
          <w:t>https://www.esma.europa.eu/press-news/esma-news/esma-consults-stress-testing-rules-money-market-funds</w:t>
        </w:r>
      </w:hyperlink>
    </w:p>
    <w:p w14:paraId="59DC53F6"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748DF761" w14:textId="77777777" w:rsidR="009C313D" w:rsidRPr="00C6763D" w:rsidRDefault="009C313D" w:rsidP="008C5EBB">
      <w:pPr>
        <w:numPr>
          <w:ilvl w:val="0"/>
          <w:numId w:val="9"/>
        </w:numPr>
        <w:tabs>
          <w:tab w:val="left" w:pos="720"/>
          <w:tab w:val="left" w:pos="1080"/>
        </w:tabs>
        <w:ind w:left="-284"/>
        <w:contextualSpacing/>
        <w:jc w:val="both"/>
        <w:rPr>
          <w:rFonts w:ascii="Garamond" w:hAnsi="Garamond" w:cstheme="minorHAnsi"/>
          <w:b/>
          <w:color w:val="2F5496" w:themeColor="accent5" w:themeShade="BF"/>
          <w:sz w:val="22"/>
          <w:szCs w:val="22"/>
          <w:u w:val="single"/>
        </w:rPr>
      </w:pPr>
      <w:r w:rsidRPr="00C6763D">
        <w:rPr>
          <w:rFonts w:ascii="Garamond" w:hAnsi="Garamond" w:cstheme="minorHAnsi"/>
          <w:b/>
          <w:color w:val="2F5496" w:themeColor="accent5" w:themeShade="BF"/>
          <w:sz w:val="22"/>
          <w:szCs w:val="22"/>
          <w:u w:val="single"/>
        </w:rPr>
        <w:t>World Federation of Exchanges (WFE)</w:t>
      </w:r>
    </w:p>
    <w:p w14:paraId="05583D7A" w14:textId="77777777" w:rsidR="009C313D" w:rsidRPr="00C6763D" w:rsidRDefault="009C313D" w:rsidP="008C5EBB">
      <w:pPr>
        <w:pStyle w:val="ListParagraph"/>
        <w:numPr>
          <w:ilvl w:val="0"/>
          <w:numId w:val="15"/>
        </w:numPr>
        <w:tabs>
          <w:tab w:val="left" w:pos="810"/>
          <w:tab w:val="left" w:pos="1080"/>
        </w:tabs>
        <w:spacing w:after="0" w:line="240" w:lineRule="auto"/>
        <w:ind w:left="0"/>
        <w:jc w:val="both"/>
        <w:rPr>
          <w:rFonts w:ascii="Garamond" w:hAnsi="Garamond"/>
          <w:b/>
          <w:sz w:val="22"/>
          <w:szCs w:val="22"/>
        </w:rPr>
      </w:pPr>
      <w:r w:rsidRPr="00C6763D">
        <w:rPr>
          <w:rFonts w:ascii="Garamond" w:hAnsi="Garamond"/>
          <w:b/>
          <w:sz w:val="22"/>
          <w:szCs w:val="22"/>
        </w:rPr>
        <w:t>The World Federation of Exchanges calls for global reform of Leverage Ratio</w:t>
      </w:r>
    </w:p>
    <w:p w14:paraId="253B20E7"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WFE published its response to the four global standard-setting boards assessing the effectiveness of </w:t>
      </w:r>
      <w:hyperlink r:id="rId43" w:history="1">
        <w:r w:rsidRPr="00C6763D">
          <w:rPr>
            <w:rFonts w:ascii="Garamond" w:hAnsi="Garamond"/>
            <w:sz w:val="22"/>
            <w:szCs w:val="22"/>
          </w:rPr>
          <w:t>incentives to centrally clear over-the-counter (OTC) derivatives</w:t>
        </w:r>
      </w:hyperlink>
      <w:r w:rsidRPr="00C6763D">
        <w:rPr>
          <w:rFonts w:ascii="Garamond" w:hAnsi="Garamond"/>
          <w:sz w:val="22"/>
          <w:szCs w:val="22"/>
        </w:rPr>
        <w:t>. WFE welcomes the work that has gone into implementing important post-crisis reforms to OTC derivatives markets. Whilst agreeing that reforms have generally contributed to incentives to clear, WFE urges concerted action to resolve the persistent issues with the way the leverage ratio treats segregated client initial margin.</w:t>
      </w:r>
    </w:p>
    <w:p w14:paraId="6869FE81"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45558ABB"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WFE agrees with the report's analysis that, left unmodified, the leverage ratio poses disincentives to client clearing, as the current calculation fails to recognise the exposure-reducing impact of segregated client collateral held by a bank. This can render the provision of client clearing uneconomical, driving participants from the market and reducing access to hedging products, potentially increasing risk in the system. The solution is reforming the treatment of client initial margin under the leverage ratio by introducing an offset.</w:t>
      </w:r>
    </w:p>
    <w:p w14:paraId="7DB8090A"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183FAE0F"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WFE believes that the Committees must now work together to deliver a globally consistent approach to the incentives regime and remediate the deficiencies identified in the report. WFE also call for a future study at the global level that considers the regime for clearing both OTC and exchange-traded derivatives.</w:t>
      </w:r>
    </w:p>
    <w:p w14:paraId="5E053ECD"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r w:rsidRPr="00C6763D">
        <w:rPr>
          <w:rFonts w:ascii="Garamond" w:hAnsi="Garamond"/>
          <w:i/>
          <w:iCs/>
          <w:sz w:val="22"/>
          <w:szCs w:val="22"/>
        </w:rPr>
        <w:t>Source:</w:t>
      </w:r>
      <w:hyperlink r:id="rId44" w:history="1">
        <w:r w:rsidRPr="00C6763D">
          <w:rPr>
            <w:rStyle w:val="Hyperlink"/>
            <w:rFonts w:ascii="Garamond" w:hAnsi="Garamond"/>
            <w:i/>
            <w:iCs/>
            <w:sz w:val="22"/>
            <w:szCs w:val="22"/>
          </w:rPr>
          <w:t>https://www.world-exchanges.org/home/index.php/news/world-exchange-news/the-world-federation-of-exchanges-calls-for-global-reform-of-leverage-ratio</w:t>
        </w:r>
      </w:hyperlink>
    </w:p>
    <w:p w14:paraId="0A473803"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p>
    <w:p w14:paraId="693C7007" w14:textId="77777777" w:rsidR="009C313D" w:rsidRPr="00C6763D" w:rsidRDefault="009C313D" w:rsidP="008C5EBB">
      <w:pPr>
        <w:numPr>
          <w:ilvl w:val="0"/>
          <w:numId w:val="9"/>
        </w:numPr>
        <w:tabs>
          <w:tab w:val="left" w:pos="720"/>
          <w:tab w:val="left" w:pos="1080"/>
        </w:tabs>
        <w:ind w:left="-284"/>
        <w:contextualSpacing/>
        <w:jc w:val="both"/>
        <w:rPr>
          <w:rFonts w:ascii="Garamond" w:hAnsi="Garamond" w:cstheme="minorHAnsi"/>
          <w:b/>
          <w:color w:val="2F5496" w:themeColor="accent5" w:themeShade="BF"/>
          <w:sz w:val="22"/>
          <w:szCs w:val="22"/>
          <w:u w:val="single"/>
        </w:rPr>
      </w:pPr>
      <w:r w:rsidRPr="00C6763D">
        <w:rPr>
          <w:rFonts w:ascii="Garamond" w:hAnsi="Garamond" w:cstheme="minorHAnsi"/>
          <w:b/>
          <w:color w:val="2F5496" w:themeColor="accent5" w:themeShade="BF"/>
          <w:sz w:val="22"/>
          <w:szCs w:val="22"/>
          <w:u w:val="single"/>
        </w:rPr>
        <w:t>Australian Securities &amp; Investments Commission (ASIC)</w:t>
      </w:r>
    </w:p>
    <w:p w14:paraId="4EA2AB70" w14:textId="77777777" w:rsidR="009C313D" w:rsidRPr="00C6763D" w:rsidRDefault="009C313D" w:rsidP="008C5EBB">
      <w:pPr>
        <w:pStyle w:val="ListParagraph"/>
        <w:numPr>
          <w:ilvl w:val="0"/>
          <w:numId w:val="11"/>
        </w:numPr>
        <w:tabs>
          <w:tab w:val="left" w:pos="810"/>
          <w:tab w:val="left" w:pos="1080"/>
        </w:tabs>
        <w:spacing w:after="0" w:line="240" w:lineRule="auto"/>
        <w:ind w:left="0"/>
        <w:jc w:val="both"/>
        <w:rPr>
          <w:rFonts w:ascii="Garamond" w:hAnsi="Garamond"/>
          <w:b/>
          <w:sz w:val="22"/>
          <w:szCs w:val="22"/>
        </w:rPr>
      </w:pPr>
      <w:r w:rsidRPr="00C6763D">
        <w:rPr>
          <w:rFonts w:ascii="Garamond" w:hAnsi="Garamond"/>
          <w:b/>
          <w:sz w:val="22"/>
          <w:szCs w:val="22"/>
        </w:rPr>
        <w:t>ASIC reports on climate risk disclosure by Australia’s listed companies</w:t>
      </w:r>
    </w:p>
    <w:p w14:paraId="5197BAEF"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An ASIC report on climate risk disclosure by Australia’s listed companies has found more can be done to improve consistency in disclosure practices across listed companies, with very limited climate risk disclosure outside of the top-200 companies.</w:t>
      </w:r>
      <w:r w:rsidRPr="00C6763D">
        <w:rPr>
          <w:rFonts w:ascii="Garamond" w:eastAsia="Times New Roman" w:hAnsi="Garamond" w:cs="Tahoma"/>
          <w:color w:val="253746"/>
          <w:sz w:val="22"/>
          <w:szCs w:val="22"/>
        </w:rPr>
        <w:t xml:space="preserve"> </w:t>
      </w:r>
      <w:r w:rsidRPr="00C6763D">
        <w:rPr>
          <w:rFonts w:ascii="Garamond" w:hAnsi="Garamond"/>
          <w:sz w:val="22"/>
          <w:szCs w:val="22"/>
        </w:rPr>
        <w:t>ASIC encourages listed companies and their directors and advisors to:</w:t>
      </w:r>
    </w:p>
    <w:p w14:paraId="44EB3518" w14:textId="77777777" w:rsidR="009C313D" w:rsidRPr="00C6763D" w:rsidRDefault="009C313D" w:rsidP="008C5EBB">
      <w:pPr>
        <w:pStyle w:val="ListParagraph"/>
        <w:numPr>
          <w:ilvl w:val="0"/>
          <w:numId w:val="16"/>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adopt a probative and proactive approach to emerging risks, including climate risk;</w:t>
      </w:r>
    </w:p>
    <w:p w14:paraId="0E60C47F" w14:textId="77777777" w:rsidR="009C313D" w:rsidRPr="00C6763D" w:rsidRDefault="009C313D" w:rsidP="008C5EBB">
      <w:pPr>
        <w:pStyle w:val="ListParagraph"/>
        <w:numPr>
          <w:ilvl w:val="0"/>
          <w:numId w:val="16"/>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develop and maintain strong and effective corporate governance which helps in identifying, assessing and managing risk;</w:t>
      </w:r>
    </w:p>
    <w:p w14:paraId="315EE965" w14:textId="77777777" w:rsidR="009C313D" w:rsidRPr="00C6763D" w:rsidRDefault="009C313D" w:rsidP="008C5EBB">
      <w:pPr>
        <w:pStyle w:val="ListParagraph"/>
        <w:numPr>
          <w:ilvl w:val="0"/>
          <w:numId w:val="16"/>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 xml:space="preserve">consider how best to comply with the law where it requires disclosure of material risks; </w:t>
      </w:r>
    </w:p>
    <w:p w14:paraId="212C9671" w14:textId="77777777" w:rsidR="009C313D" w:rsidRPr="00C6763D" w:rsidRDefault="009C313D" w:rsidP="008C5EBB">
      <w:pPr>
        <w:pStyle w:val="ListParagraph"/>
        <w:numPr>
          <w:ilvl w:val="0"/>
          <w:numId w:val="16"/>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disclose meaningful and useful climate risk related information to investors – the voluntary framework developed by the Taskforce on Climate-related Financial Disclosures can assist in this regard.</w:t>
      </w:r>
    </w:p>
    <w:p w14:paraId="46944338"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i/>
          <w:iCs/>
          <w:sz w:val="22"/>
          <w:szCs w:val="22"/>
        </w:rPr>
        <w:t xml:space="preserve">Source: </w:t>
      </w:r>
      <w:hyperlink r:id="rId45" w:history="1">
        <w:r w:rsidRPr="00C6763D">
          <w:rPr>
            <w:rStyle w:val="Hyperlink"/>
            <w:rFonts w:ascii="Garamond" w:hAnsi="Garamond"/>
            <w:i/>
            <w:iCs/>
            <w:sz w:val="22"/>
            <w:szCs w:val="22"/>
          </w:rPr>
          <w:t>https://www.asic.gov.au/about-asic/news-centre/find-a-media-release/2018-releases/18-273mr-asic-reports-on-climate-risk-disclosure-by-australia-s-listed-companies/</w:t>
        </w:r>
      </w:hyperlink>
    </w:p>
    <w:p w14:paraId="40E390D6" w14:textId="77777777" w:rsidR="009C313D" w:rsidRPr="00C6763D" w:rsidRDefault="009C313D" w:rsidP="008C5EBB">
      <w:pPr>
        <w:pStyle w:val="ListParagraph"/>
        <w:numPr>
          <w:ilvl w:val="0"/>
          <w:numId w:val="11"/>
        </w:numPr>
        <w:tabs>
          <w:tab w:val="left" w:pos="810"/>
          <w:tab w:val="left" w:pos="1080"/>
        </w:tabs>
        <w:spacing w:after="0" w:line="240" w:lineRule="auto"/>
        <w:ind w:left="0"/>
        <w:jc w:val="both"/>
        <w:rPr>
          <w:rFonts w:ascii="Garamond" w:hAnsi="Garamond"/>
          <w:b/>
          <w:sz w:val="22"/>
          <w:szCs w:val="22"/>
        </w:rPr>
      </w:pPr>
      <w:r w:rsidRPr="00C6763D">
        <w:rPr>
          <w:rFonts w:ascii="Garamond" w:hAnsi="Garamond"/>
          <w:b/>
          <w:sz w:val="22"/>
          <w:szCs w:val="22"/>
        </w:rPr>
        <w:t>ASIC reports on review of ASX Group’s technology governance and operational risk management standards</w:t>
      </w:r>
    </w:p>
    <w:p w14:paraId="7538453E"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ASIC released a report on the recent review of the Australian Securities Exchange Limited (ASX) Group’s technology governance and operational risk management arrangements.</w:t>
      </w:r>
      <w:r w:rsidRPr="00C6763D">
        <w:rPr>
          <w:rFonts w:ascii="Garamond" w:eastAsia="Times New Roman" w:hAnsi="Garamond" w:cs="Tahoma"/>
          <w:color w:val="253746"/>
          <w:sz w:val="22"/>
          <w:szCs w:val="22"/>
        </w:rPr>
        <w:t xml:space="preserve"> </w:t>
      </w:r>
      <w:r w:rsidRPr="00C6763D">
        <w:rPr>
          <w:rFonts w:ascii="Garamond" w:hAnsi="Garamond"/>
          <w:sz w:val="22"/>
          <w:szCs w:val="22"/>
        </w:rPr>
        <w:t>The review benchmarked ASX Group’s technology governance and operational risk management arrangements against internationally recognised standards. It found ASX Group’s practices were more comparable to those of other global exchanges but lagged behind the better practices in the broader financial services sector.</w:t>
      </w:r>
    </w:p>
    <w:p w14:paraId="0AC5641F"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p>
    <w:p w14:paraId="519EB1D5"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ASX Group recognises the areas for improvement identified in the review. It is undertaking an extensive work program to implement all of the recommendations and already had improvements in progress in almost half of the identified areas before the review started or before the recommendations were finalised.  </w:t>
      </w:r>
    </w:p>
    <w:p w14:paraId="5019178A" w14:textId="77777777" w:rsidR="009C313D" w:rsidRPr="00C6763D" w:rsidRDefault="009C313D" w:rsidP="009C313D">
      <w:pPr>
        <w:pStyle w:val="ListParagraph"/>
        <w:tabs>
          <w:tab w:val="left" w:pos="810"/>
          <w:tab w:val="left" w:pos="1080"/>
        </w:tabs>
        <w:spacing w:after="0" w:line="240" w:lineRule="auto"/>
        <w:ind w:left="0"/>
        <w:jc w:val="both"/>
        <w:rPr>
          <w:rStyle w:val="Hyperlink"/>
          <w:rFonts w:ascii="Garamond" w:hAnsi="Garamond"/>
          <w:i/>
          <w:iCs/>
          <w:sz w:val="22"/>
          <w:szCs w:val="22"/>
        </w:rPr>
      </w:pPr>
      <w:r w:rsidRPr="00C6763D">
        <w:rPr>
          <w:rFonts w:ascii="Garamond" w:hAnsi="Garamond"/>
          <w:i/>
          <w:iCs/>
          <w:sz w:val="22"/>
          <w:szCs w:val="22"/>
        </w:rPr>
        <w:t xml:space="preserve">Source: </w:t>
      </w:r>
      <w:hyperlink r:id="rId46" w:history="1">
        <w:r w:rsidRPr="00C6763D">
          <w:rPr>
            <w:rStyle w:val="Hyperlink"/>
            <w:rFonts w:ascii="Garamond" w:hAnsi="Garamond"/>
            <w:i/>
            <w:iCs/>
            <w:sz w:val="22"/>
            <w:szCs w:val="22"/>
          </w:rPr>
          <w:t>https://www.asic.gov.au/about-asic/news-centre/find-a-media-release/2018-releases/18-264mr-asic-reports-on-review-of-asx-group-s-technology-governance-and-operational-risk-management-standards/</w:t>
        </w:r>
      </w:hyperlink>
    </w:p>
    <w:p w14:paraId="6DA8D6D5"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p>
    <w:p w14:paraId="01469115" w14:textId="77777777" w:rsidR="009C313D" w:rsidRPr="00C6763D" w:rsidRDefault="009C313D" w:rsidP="008C5EBB">
      <w:pPr>
        <w:numPr>
          <w:ilvl w:val="0"/>
          <w:numId w:val="9"/>
        </w:numPr>
        <w:tabs>
          <w:tab w:val="left" w:pos="720"/>
          <w:tab w:val="left" w:pos="1080"/>
        </w:tabs>
        <w:ind w:left="-284"/>
        <w:contextualSpacing/>
        <w:jc w:val="both"/>
        <w:rPr>
          <w:rFonts w:ascii="Garamond" w:hAnsi="Garamond" w:cstheme="minorHAnsi"/>
          <w:b/>
          <w:color w:val="2F5496" w:themeColor="accent5" w:themeShade="BF"/>
          <w:sz w:val="22"/>
          <w:szCs w:val="22"/>
          <w:u w:val="single"/>
        </w:rPr>
      </w:pPr>
      <w:r w:rsidRPr="00C6763D">
        <w:rPr>
          <w:rFonts w:ascii="Garamond" w:hAnsi="Garamond" w:cstheme="minorHAnsi"/>
          <w:b/>
          <w:color w:val="2F5496" w:themeColor="accent5" w:themeShade="BF"/>
          <w:sz w:val="22"/>
          <w:szCs w:val="22"/>
          <w:u w:val="single"/>
        </w:rPr>
        <w:t>Monetary Authority of Singapore (MAS)</w:t>
      </w:r>
    </w:p>
    <w:p w14:paraId="0B389518" w14:textId="77777777" w:rsidR="009C313D" w:rsidRPr="00C6763D" w:rsidRDefault="009C313D" w:rsidP="008C5EBB">
      <w:pPr>
        <w:pStyle w:val="ListParagraph"/>
        <w:numPr>
          <w:ilvl w:val="0"/>
          <w:numId w:val="12"/>
        </w:numPr>
        <w:tabs>
          <w:tab w:val="left" w:pos="810"/>
          <w:tab w:val="left" w:pos="1080"/>
        </w:tabs>
        <w:spacing w:after="0" w:line="240" w:lineRule="auto"/>
        <w:ind w:left="0"/>
        <w:jc w:val="both"/>
        <w:rPr>
          <w:rFonts w:ascii="Garamond" w:hAnsi="Garamond"/>
          <w:b/>
          <w:bCs/>
          <w:sz w:val="22"/>
          <w:szCs w:val="22"/>
        </w:rPr>
      </w:pPr>
      <w:r w:rsidRPr="00C6763D">
        <w:rPr>
          <w:rFonts w:ascii="Garamond" w:hAnsi="Garamond"/>
          <w:b/>
          <w:bCs/>
          <w:sz w:val="22"/>
          <w:szCs w:val="22"/>
        </w:rPr>
        <w:t>MAS consults on measures to strengthen cyber resilience of financial institutions</w:t>
      </w:r>
    </w:p>
    <w:p w14:paraId="14BC719F"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MAS issued for consultation proposed requirements for financial institutions (FIs) in Singapore to implement essential cyber security measures to protect their IT systems. These requirements will help FIs strengthen their cyber resilience and guard against cyber attacks.</w:t>
      </w:r>
    </w:p>
    <w:p w14:paraId="1C5F8CB6"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 xml:space="preserve"> FIs will be required to implement six cyber security measures:</w:t>
      </w:r>
    </w:p>
    <w:p w14:paraId="18A5D6D5" w14:textId="77777777" w:rsidR="009C313D" w:rsidRPr="00C6763D" w:rsidRDefault="009C313D" w:rsidP="008C5EBB">
      <w:pPr>
        <w:pStyle w:val="ListParagraph"/>
        <w:numPr>
          <w:ilvl w:val="0"/>
          <w:numId w:val="17"/>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address system security flaws in a timely manner;</w:t>
      </w:r>
    </w:p>
    <w:p w14:paraId="2D2F67C2" w14:textId="77777777" w:rsidR="009C313D" w:rsidRPr="00C6763D" w:rsidRDefault="009C313D" w:rsidP="008C5EBB">
      <w:pPr>
        <w:pStyle w:val="ListParagraph"/>
        <w:numPr>
          <w:ilvl w:val="0"/>
          <w:numId w:val="17"/>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establish and implement robust security for systems;</w:t>
      </w:r>
    </w:p>
    <w:p w14:paraId="0EAC4C6B" w14:textId="77777777" w:rsidR="009C313D" w:rsidRPr="00C6763D" w:rsidRDefault="009C313D" w:rsidP="008C5EBB">
      <w:pPr>
        <w:pStyle w:val="ListParagraph"/>
        <w:numPr>
          <w:ilvl w:val="0"/>
          <w:numId w:val="17"/>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deploy security devices to secure system connections;</w:t>
      </w:r>
    </w:p>
    <w:p w14:paraId="02FC52EB" w14:textId="77777777" w:rsidR="009C313D" w:rsidRPr="00C6763D" w:rsidRDefault="009C313D" w:rsidP="008C5EBB">
      <w:pPr>
        <w:pStyle w:val="ListParagraph"/>
        <w:numPr>
          <w:ilvl w:val="0"/>
          <w:numId w:val="17"/>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 xml:space="preserve">install anti-virus software to mitigate the risk of malware infection; </w:t>
      </w:r>
    </w:p>
    <w:p w14:paraId="2505B962" w14:textId="77777777" w:rsidR="009C313D" w:rsidRPr="00C6763D" w:rsidRDefault="009C313D" w:rsidP="008C5EBB">
      <w:pPr>
        <w:pStyle w:val="ListParagraph"/>
        <w:numPr>
          <w:ilvl w:val="0"/>
          <w:numId w:val="17"/>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restrict the use of system administrator accounts that can modify system configurations; and</w:t>
      </w:r>
    </w:p>
    <w:p w14:paraId="67A5A2AE" w14:textId="77777777" w:rsidR="009C313D" w:rsidRPr="00C6763D" w:rsidRDefault="009C313D" w:rsidP="008C5EBB">
      <w:pPr>
        <w:pStyle w:val="ListParagraph"/>
        <w:numPr>
          <w:ilvl w:val="0"/>
          <w:numId w:val="17"/>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strengthen user authentication for system administrator accounts on critical systems.</w:t>
      </w:r>
    </w:p>
    <w:p w14:paraId="585EDDA4"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r w:rsidRPr="00C6763D">
        <w:rPr>
          <w:rFonts w:ascii="Garamond" w:hAnsi="Garamond"/>
          <w:i/>
          <w:iCs/>
          <w:sz w:val="22"/>
          <w:szCs w:val="22"/>
        </w:rPr>
        <w:t xml:space="preserve"> Source: </w:t>
      </w:r>
      <w:hyperlink r:id="rId47" w:history="1">
        <w:r w:rsidRPr="00C6763D">
          <w:rPr>
            <w:rStyle w:val="Hyperlink"/>
            <w:rFonts w:ascii="Garamond" w:hAnsi="Garamond"/>
            <w:i/>
            <w:iCs/>
            <w:sz w:val="22"/>
            <w:szCs w:val="22"/>
          </w:rPr>
          <w:t>http://www.mas.gov.sg/News-and-Publications/Media-Releases/2018/MAS-consults-on-measures-to-strengthen-cyber-resilience-of-financial-institutions.aspx</w:t>
        </w:r>
      </w:hyperlink>
    </w:p>
    <w:p w14:paraId="4A69B871"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i/>
          <w:iCs/>
          <w:sz w:val="22"/>
          <w:szCs w:val="22"/>
        </w:rPr>
      </w:pPr>
    </w:p>
    <w:p w14:paraId="54D5950D" w14:textId="77777777" w:rsidR="009C313D" w:rsidRPr="00C6763D" w:rsidRDefault="009C313D" w:rsidP="008C5EBB">
      <w:pPr>
        <w:pStyle w:val="ListParagraph"/>
        <w:numPr>
          <w:ilvl w:val="0"/>
          <w:numId w:val="12"/>
        </w:numPr>
        <w:tabs>
          <w:tab w:val="left" w:pos="810"/>
          <w:tab w:val="left" w:pos="1080"/>
        </w:tabs>
        <w:spacing w:after="0" w:line="240" w:lineRule="auto"/>
        <w:ind w:left="0"/>
        <w:jc w:val="both"/>
        <w:rPr>
          <w:rFonts w:ascii="Garamond" w:hAnsi="Garamond"/>
          <w:b/>
          <w:bCs/>
          <w:sz w:val="22"/>
          <w:szCs w:val="22"/>
        </w:rPr>
      </w:pPr>
      <w:r w:rsidRPr="00C6763D">
        <w:rPr>
          <w:rFonts w:ascii="Garamond" w:hAnsi="Garamond"/>
          <w:b/>
          <w:bCs/>
          <w:sz w:val="22"/>
          <w:szCs w:val="22"/>
        </w:rPr>
        <w:t>MAS introduces new corporate structure to enhance fund ecosystem in Singapore</w:t>
      </w:r>
    </w:p>
    <w:p w14:paraId="20C3F0F0"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MAS has finalised the features of the new corporate structure for investment funds, the Variable Capital Company (VCC). The introduction of the VCC structure will position Singapore to become a key fund domiciliation hub, and strengthen Singapore’s position as a full-service international fund management centre. The new VCC legislative framework will: </w:t>
      </w:r>
    </w:p>
    <w:p w14:paraId="17FED92B" w14:textId="77777777" w:rsidR="009C313D" w:rsidRPr="00C6763D" w:rsidRDefault="009C313D" w:rsidP="008C5EBB">
      <w:pPr>
        <w:pStyle w:val="ListParagraph"/>
        <w:numPr>
          <w:ilvl w:val="0"/>
          <w:numId w:val="18"/>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Provide greater flexibility. </w:t>
      </w:r>
    </w:p>
    <w:p w14:paraId="26DE0005" w14:textId="77777777" w:rsidR="009C313D" w:rsidRPr="00C6763D" w:rsidRDefault="009C313D" w:rsidP="008C5EBB">
      <w:pPr>
        <w:pStyle w:val="ListParagraph"/>
        <w:numPr>
          <w:ilvl w:val="0"/>
          <w:numId w:val="18"/>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Achieve cost efficiencies. </w:t>
      </w:r>
    </w:p>
    <w:p w14:paraId="2DB3788A" w14:textId="77777777" w:rsidR="009C313D" w:rsidRPr="00C6763D" w:rsidRDefault="009C313D" w:rsidP="008C5EBB">
      <w:pPr>
        <w:pStyle w:val="ListParagraph"/>
        <w:numPr>
          <w:ilvl w:val="0"/>
          <w:numId w:val="18"/>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Cater to the needs of global investment funds. </w:t>
      </w:r>
    </w:p>
    <w:p w14:paraId="59240CDD" w14:textId="77777777" w:rsidR="009C313D" w:rsidRPr="00C6763D" w:rsidRDefault="009C313D" w:rsidP="008C5EBB">
      <w:pPr>
        <w:pStyle w:val="ListParagraph"/>
        <w:numPr>
          <w:ilvl w:val="0"/>
          <w:numId w:val="18"/>
        </w:numPr>
        <w:tabs>
          <w:tab w:val="left" w:pos="810"/>
          <w:tab w:val="left" w:pos="1080"/>
        </w:tabs>
        <w:spacing w:after="0" w:line="240" w:lineRule="auto"/>
        <w:ind w:left="567"/>
        <w:jc w:val="both"/>
        <w:rPr>
          <w:rFonts w:ascii="Garamond" w:hAnsi="Garamond"/>
          <w:sz w:val="22"/>
          <w:szCs w:val="22"/>
        </w:rPr>
      </w:pPr>
      <w:r w:rsidRPr="00C6763D">
        <w:rPr>
          <w:rFonts w:ascii="Garamond" w:hAnsi="Garamond"/>
          <w:sz w:val="22"/>
          <w:szCs w:val="22"/>
        </w:rPr>
        <w:t xml:space="preserve">Enhance safeguards. </w:t>
      </w:r>
    </w:p>
    <w:p w14:paraId="570E661B" w14:textId="77777777" w:rsidR="009C313D" w:rsidRPr="00C6763D" w:rsidRDefault="009C313D" w:rsidP="009C313D">
      <w:pPr>
        <w:tabs>
          <w:tab w:val="left" w:pos="810"/>
          <w:tab w:val="left" w:pos="1080"/>
        </w:tabs>
        <w:jc w:val="both"/>
        <w:rPr>
          <w:rStyle w:val="Hyperlink"/>
          <w:rFonts w:ascii="Garamond" w:hAnsi="Garamond"/>
          <w:i/>
          <w:iCs/>
          <w:sz w:val="22"/>
          <w:szCs w:val="22"/>
        </w:rPr>
      </w:pPr>
      <w:r w:rsidRPr="00C6763D">
        <w:rPr>
          <w:rFonts w:ascii="Garamond" w:hAnsi="Garamond"/>
          <w:i/>
          <w:iCs/>
          <w:sz w:val="22"/>
          <w:szCs w:val="22"/>
        </w:rPr>
        <w:t>Source:</w:t>
      </w:r>
      <w:hyperlink r:id="rId48" w:history="1">
        <w:r w:rsidRPr="00C6763D">
          <w:rPr>
            <w:rStyle w:val="Hyperlink"/>
            <w:rFonts w:ascii="Garamond" w:hAnsi="Garamond"/>
            <w:i/>
            <w:iCs/>
            <w:sz w:val="22"/>
            <w:szCs w:val="22"/>
          </w:rPr>
          <w:t>http://www.mas.gov.sg/News-and-Publications/Media-Releases/2018/MAS-introduces-new-corporate-structure-to-enhance-fund-ecosystem-in-Singapore.aspx</w:t>
        </w:r>
      </w:hyperlink>
    </w:p>
    <w:p w14:paraId="5E700242" w14:textId="77777777" w:rsidR="009C313D" w:rsidRPr="00C6763D" w:rsidRDefault="009C313D" w:rsidP="009C313D">
      <w:pPr>
        <w:tabs>
          <w:tab w:val="left" w:pos="810"/>
          <w:tab w:val="left" w:pos="1080"/>
        </w:tabs>
        <w:jc w:val="both"/>
        <w:rPr>
          <w:rFonts w:ascii="Garamond" w:hAnsi="Garamond"/>
          <w:i/>
          <w:iCs/>
          <w:sz w:val="22"/>
          <w:szCs w:val="22"/>
        </w:rPr>
      </w:pPr>
    </w:p>
    <w:p w14:paraId="0A137FC3" w14:textId="77777777" w:rsidR="009C313D" w:rsidRPr="00C6763D" w:rsidRDefault="009C313D" w:rsidP="008C5EBB">
      <w:pPr>
        <w:pStyle w:val="ListParagraph"/>
        <w:numPr>
          <w:ilvl w:val="0"/>
          <w:numId w:val="12"/>
        </w:numPr>
        <w:tabs>
          <w:tab w:val="left" w:pos="810"/>
          <w:tab w:val="left" w:pos="1080"/>
        </w:tabs>
        <w:spacing w:after="0" w:line="240" w:lineRule="auto"/>
        <w:ind w:left="0"/>
        <w:jc w:val="both"/>
        <w:rPr>
          <w:rFonts w:ascii="Garamond" w:hAnsi="Garamond"/>
          <w:b/>
          <w:bCs/>
          <w:sz w:val="22"/>
          <w:szCs w:val="22"/>
        </w:rPr>
      </w:pPr>
      <w:r w:rsidRPr="00C6763D">
        <w:rPr>
          <w:rFonts w:ascii="Garamond" w:hAnsi="Garamond"/>
          <w:b/>
          <w:bCs/>
          <w:sz w:val="22"/>
          <w:szCs w:val="22"/>
        </w:rPr>
        <w:t>World's First Cross-Border, Open-Architecture Platform to Improve Financial Inclusion</w:t>
      </w:r>
    </w:p>
    <w:p w14:paraId="291910E4"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The ASEAN Financial Innovation Network (AFIN) announced the launch of API Exchange (APIX), an online Global FinTech Marketplace and Sandbox platform for financial institutions (FIs). APIX is the world’s first cross-border, open-architecture platform which will enable:</w:t>
      </w:r>
    </w:p>
    <w:p w14:paraId="41A9C562"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i. FIs and FinTech firms to connect to one another through a globally curated marketplace; </w:t>
      </w:r>
      <w:r w:rsidRPr="00C6763D">
        <w:rPr>
          <w:rFonts w:ascii="Garamond" w:hAnsi="Garamond"/>
          <w:sz w:val="22"/>
          <w:szCs w:val="22"/>
        </w:rPr>
        <w:br/>
        <w:t>ii. collaborative experiments in a sandbox among financial industry participants; and</w:t>
      </w:r>
      <w:r w:rsidRPr="00C6763D">
        <w:rPr>
          <w:rFonts w:ascii="Garamond" w:hAnsi="Garamond"/>
          <w:sz w:val="22"/>
          <w:szCs w:val="22"/>
        </w:rPr>
        <w:br/>
        <w:t>iii. adoption of APIs to drive digital transformation and financial inclusion across Asia-Pacific.</w:t>
      </w:r>
    </w:p>
    <w:p w14:paraId="2906102D" w14:textId="77777777" w:rsidR="009C313D" w:rsidRPr="00C6763D" w:rsidRDefault="009C313D" w:rsidP="009C313D">
      <w:pPr>
        <w:tabs>
          <w:tab w:val="left" w:pos="810"/>
          <w:tab w:val="left" w:pos="1080"/>
        </w:tabs>
        <w:jc w:val="both"/>
        <w:rPr>
          <w:rStyle w:val="Hyperlink"/>
          <w:rFonts w:ascii="Garamond" w:hAnsi="Garamond"/>
          <w:i/>
          <w:iCs/>
          <w:sz w:val="22"/>
          <w:szCs w:val="22"/>
        </w:rPr>
      </w:pPr>
      <w:r w:rsidRPr="00C6763D">
        <w:rPr>
          <w:rFonts w:ascii="Garamond" w:hAnsi="Garamond"/>
          <w:i/>
          <w:iCs/>
          <w:sz w:val="22"/>
          <w:szCs w:val="22"/>
        </w:rPr>
        <w:t>Source:</w:t>
      </w:r>
      <w:hyperlink r:id="rId49" w:history="1">
        <w:r w:rsidRPr="00C6763D">
          <w:rPr>
            <w:rStyle w:val="Hyperlink"/>
            <w:rFonts w:ascii="Garamond" w:hAnsi="Garamond"/>
            <w:i/>
            <w:iCs/>
            <w:sz w:val="22"/>
            <w:szCs w:val="22"/>
          </w:rPr>
          <w:t>http://www.mas.gov.sg/News-and-Publications/Media-Releases/2018/Worlds-First-Cross-Border-Open-Architecture-Platform-to-Improve-Financial-Inclusion.aspx</w:t>
        </w:r>
      </w:hyperlink>
    </w:p>
    <w:p w14:paraId="68A76470" w14:textId="77777777" w:rsidR="009C313D" w:rsidRPr="00C6763D" w:rsidRDefault="009C313D" w:rsidP="009C313D">
      <w:pPr>
        <w:tabs>
          <w:tab w:val="left" w:pos="810"/>
          <w:tab w:val="left" w:pos="1080"/>
        </w:tabs>
        <w:jc w:val="both"/>
        <w:rPr>
          <w:rFonts w:ascii="Garamond" w:hAnsi="Garamond"/>
          <w:i/>
          <w:iCs/>
          <w:sz w:val="22"/>
          <w:szCs w:val="22"/>
        </w:rPr>
      </w:pPr>
    </w:p>
    <w:p w14:paraId="78C51193" w14:textId="77777777" w:rsidR="009C313D" w:rsidRPr="00C6763D" w:rsidRDefault="009C313D" w:rsidP="008C5EBB">
      <w:pPr>
        <w:pStyle w:val="ListParagraph"/>
        <w:numPr>
          <w:ilvl w:val="0"/>
          <w:numId w:val="12"/>
        </w:numPr>
        <w:tabs>
          <w:tab w:val="left" w:pos="810"/>
          <w:tab w:val="left" w:pos="1080"/>
        </w:tabs>
        <w:spacing w:after="0" w:line="240" w:lineRule="auto"/>
        <w:ind w:left="0"/>
        <w:jc w:val="both"/>
        <w:rPr>
          <w:rFonts w:ascii="Garamond" w:hAnsi="Garamond"/>
          <w:b/>
          <w:bCs/>
          <w:sz w:val="22"/>
          <w:szCs w:val="22"/>
        </w:rPr>
      </w:pPr>
      <w:r w:rsidRPr="00C6763D">
        <w:rPr>
          <w:rFonts w:ascii="Garamond" w:hAnsi="Garamond"/>
          <w:b/>
          <w:bCs/>
          <w:sz w:val="22"/>
          <w:szCs w:val="22"/>
        </w:rPr>
        <w:t>MAS Outlines Enforcement Approach to Deter, Detect and Investigate Breaches of Rules and Regulations</w:t>
      </w:r>
    </w:p>
    <w:p w14:paraId="3B401C07" w14:textId="77777777" w:rsidR="009C313D" w:rsidRPr="00C6763D" w:rsidRDefault="009C313D" w:rsidP="009C313D">
      <w:pPr>
        <w:pStyle w:val="ListParagraph"/>
        <w:tabs>
          <w:tab w:val="left" w:pos="810"/>
          <w:tab w:val="left" w:pos="1080"/>
        </w:tabs>
        <w:spacing w:after="0" w:line="240" w:lineRule="auto"/>
        <w:ind w:left="0"/>
        <w:jc w:val="both"/>
        <w:rPr>
          <w:rFonts w:ascii="Garamond" w:hAnsi="Garamond"/>
          <w:sz w:val="22"/>
          <w:szCs w:val="22"/>
        </w:rPr>
      </w:pPr>
      <w:r w:rsidRPr="00C6763D">
        <w:rPr>
          <w:rFonts w:ascii="Garamond" w:hAnsi="Garamond"/>
          <w:sz w:val="22"/>
          <w:szCs w:val="22"/>
        </w:rPr>
        <w:t>MAS published an Enforcement monograph to provide greater clarity and transparency into how MAS deters, detects, investigates and takes action against breaches of the rules and regulations it administers.  This monograph builds on the earlier monograph on Capital Markets Enforcement published in January 2016. The revised monograph sets out the following: 1) the approach that the MAS takes towards enforcement; 2)the role that enforcement plays in the wider objective of financial industry oversight; and 3)the key areas of MAS’s enforcement practice and powers across the financial industry.</w:t>
      </w:r>
    </w:p>
    <w:p w14:paraId="25801A7A" w14:textId="77777777" w:rsidR="009C313D" w:rsidRPr="00C6763D" w:rsidRDefault="009C313D" w:rsidP="009C313D">
      <w:pPr>
        <w:rPr>
          <w:rFonts w:ascii="Garamond" w:hAnsi="Garamond"/>
          <w:sz w:val="22"/>
          <w:szCs w:val="22"/>
        </w:rPr>
      </w:pPr>
      <w:r w:rsidRPr="00C6763D">
        <w:rPr>
          <w:rFonts w:ascii="Garamond" w:hAnsi="Garamond"/>
          <w:i/>
          <w:iCs/>
          <w:sz w:val="22"/>
          <w:szCs w:val="22"/>
        </w:rPr>
        <w:t xml:space="preserve">Source: </w:t>
      </w:r>
      <w:hyperlink r:id="rId50" w:history="1">
        <w:r w:rsidRPr="00C6763D">
          <w:rPr>
            <w:rStyle w:val="Hyperlink"/>
            <w:rFonts w:ascii="Garamond" w:hAnsi="Garamond"/>
            <w:i/>
            <w:iCs/>
            <w:sz w:val="22"/>
            <w:szCs w:val="22"/>
          </w:rPr>
          <w:t>http://www.mas.gov.sg/News-and-Publications/Media-Releases/2018/MAS-Outlines-Enforcement-Approach-to-Deter-Detect-and-Investigate-Breaches-of-Rules-and-Regulations.aspx</w:t>
        </w:r>
      </w:hyperlink>
    </w:p>
    <w:p w14:paraId="3E847D4E" w14:textId="77777777" w:rsidR="009C313D" w:rsidRDefault="009C313D" w:rsidP="009C313D">
      <w:pPr>
        <w:rPr>
          <w:rFonts w:ascii="Garamond" w:hAnsi="Garamond"/>
        </w:rPr>
      </w:pPr>
      <w:r>
        <w:rPr>
          <w:rFonts w:ascii="Garamond" w:hAnsi="Garamond"/>
        </w:rPr>
        <w:br w:type="page"/>
      </w:r>
    </w:p>
    <w:p w14:paraId="7BC80202" w14:textId="77777777" w:rsidR="009C313D" w:rsidRDefault="009C313D" w:rsidP="009C313D">
      <w:pPr>
        <w:jc w:val="center"/>
        <w:outlineLvl w:val="0"/>
        <w:rPr>
          <w:rFonts w:ascii="Garamond" w:hAnsi="Garamond" w:cs="Helvetica"/>
          <w:b/>
          <w:color w:val="000099"/>
          <w:sz w:val="32"/>
          <w:szCs w:val="40"/>
        </w:rPr>
      </w:pPr>
      <w:r w:rsidRPr="003F07E9">
        <w:rPr>
          <w:rFonts w:ascii="Garamond" w:hAnsi="Garamond" w:cs="Helvetica"/>
          <w:b/>
          <w:color w:val="000099"/>
          <w:sz w:val="32"/>
          <w:szCs w:val="40"/>
        </w:rPr>
        <w:t>POLICY DEVELOPMENTS AND ACTIONS TAKEN</w:t>
      </w:r>
    </w:p>
    <w:p w14:paraId="4301FD6A" w14:textId="77777777" w:rsidR="009C313D" w:rsidRPr="00D824AD" w:rsidRDefault="009C313D" w:rsidP="009C313D">
      <w:pPr>
        <w:jc w:val="center"/>
        <w:outlineLvl w:val="0"/>
        <w:rPr>
          <w:rFonts w:ascii="Garamond" w:hAnsi="Garamond" w:cs="Arial"/>
          <w:b/>
          <w:u w:val="single"/>
        </w:rPr>
      </w:pPr>
      <w:r w:rsidRPr="00D824AD">
        <w:rPr>
          <w:rFonts w:ascii="Garamond" w:hAnsi="Garamond" w:cs="Arial"/>
          <w:b/>
          <w:u w:val="single"/>
        </w:rPr>
        <w:t>Policy Developments during September 2018</w:t>
      </w:r>
    </w:p>
    <w:p w14:paraId="3E639A8F" w14:textId="77777777" w:rsidR="009C313D" w:rsidRPr="00D824AD" w:rsidRDefault="009C313D" w:rsidP="009C313D">
      <w:pPr>
        <w:jc w:val="both"/>
        <w:rPr>
          <w:rFonts w:ascii="Garamond" w:hAnsi="Garamond" w:cs="Arial"/>
          <w:b/>
        </w:rPr>
      </w:pPr>
    </w:p>
    <w:p w14:paraId="0E2D2BA1" w14:textId="77777777" w:rsidR="009C313D" w:rsidRPr="00D824AD" w:rsidRDefault="009C313D" w:rsidP="009C313D">
      <w:pPr>
        <w:jc w:val="both"/>
        <w:rPr>
          <w:rFonts w:ascii="Garamond" w:hAnsi="Garamond" w:cs="Arial"/>
        </w:rPr>
      </w:pPr>
      <w:r w:rsidRPr="00D824AD">
        <w:rPr>
          <w:rFonts w:ascii="Garamond" w:hAnsi="Garamond" w:cs="Arial"/>
          <w:b/>
        </w:rPr>
        <w:t>1. Amendment to SEBI (Credit Rating Agencies) Regulations, 1999 and modification to SEBI Circular dated May 30, 2018:</w:t>
      </w:r>
      <w:r w:rsidRPr="00D824AD">
        <w:rPr>
          <w:rFonts w:ascii="Garamond" w:hAnsi="Garamond" w:cs="Arial"/>
        </w:rPr>
        <w:t xml:space="preserve"> SEBI</w:t>
      </w:r>
      <w:r w:rsidRPr="00D824AD">
        <w:rPr>
          <w:rFonts w:ascii="Garamond" w:hAnsi="Garamond"/>
        </w:rPr>
        <w:t xml:space="preserve"> </w:t>
      </w:r>
      <w:r w:rsidRPr="00D824AD">
        <w:rPr>
          <w:rFonts w:ascii="Garamond" w:hAnsi="Garamond" w:cs="Arial"/>
        </w:rPr>
        <w:t>has amended the Securities and Exchange Board of India (Credit Rating Agencies) (Second Amendment) Regulations, 2018, and permitted Credit Rating Agencies to undertake the rating of financial instruments under the respective guidelines of the following financial sector regulators/ authorities: Securities and Exchange Board of India, Reserve Bank of India, Insurance Regulatory and Development Authority of India, Pension Fund Regulatory and Development Authority, Ministry of Corporate Affairs and Insolvency and Bankruptcy Board of India. CRAs are also allowed to undertake research activities, incidental to rating, such as research for Economy, Industries and Companies.</w:t>
      </w:r>
    </w:p>
    <w:p w14:paraId="75EF847F" w14:textId="77777777" w:rsidR="009C313D" w:rsidRPr="00D824AD" w:rsidRDefault="009C313D" w:rsidP="009C313D">
      <w:pPr>
        <w:jc w:val="both"/>
        <w:rPr>
          <w:rFonts w:ascii="Garamond" w:hAnsi="Garamond" w:cs="Arial"/>
        </w:rPr>
      </w:pPr>
    </w:p>
    <w:p w14:paraId="00BAE125" w14:textId="77777777" w:rsidR="009C313D" w:rsidRPr="00D824AD" w:rsidRDefault="009C313D" w:rsidP="009C313D">
      <w:pPr>
        <w:jc w:val="both"/>
        <w:rPr>
          <w:rFonts w:ascii="Garamond" w:hAnsi="Garamond" w:cs="Arial"/>
        </w:rPr>
      </w:pPr>
      <w:r w:rsidRPr="00D824AD">
        <w:rPr>
          <w:rFonts w:ascii="Garamond" w:hAnsi="Garamond" w:cs="Arial"/>
        </w:rPr>
        <w:t xml:space="preserve">Details available at </w:t>
      </w:r>
      <w:hyperlink r:id="rId51" w:history="1">
        <w:r w:rsidRPr="00D824AD">
          <w:rPr>
            <w:rStyle w:val="Hyperlink"/>
            <w:rFonts w:ascii="Garamond" w:hAnsi="Garamond" w:cs="Arial"/>
          </w:rPr>
          <w:t>https://www.sebi.gov.in/legal/circulars/sep-2018/amendment-to-sebi-credit-rating-agencies-regulations-1999-and-modification-to-sebi-circular-dated-may-30-2018_40366.html</w:t>
        </w:r>
      </w:hyperlink>
    </w:p>
    <w:p w14:paraId="1C5BF63A" w14:textId="77777777" w:rsidR="009C313D" w:rsidRPr="00D824AD" w:rsidRDefault="009C313D" w:rsidP="009C313D">
      <w:pPr>
        <w:jc w:val="both"/>
        <w:rPr>
          <w:rFonts w:ascii="Garamond" w:hAnsi="Garamond" w:cs="Arial"/>
        </w:rPr>
      </w:pPr>
    </w:p>
    <w:p w14:paraId="0F01C1E0" w14:textId="77777777" w:rsidR="009C313D" w:rsidRPr="00D824AD" w:rsidRDefault="009C313D" w:rsidP="009C313D">
      <w:pPr>
        <w:spacing w:line="237" w:lineRule="auto"/>
        <w:ind w:right="430"/>
        <w:jc w:val="both"/>
        <w:outlineLvl w:val="0"/>
        <w:rPr>
          <w:rFonts w:ascii="Garamond" w:hAnsi="Garamond"/>
        </w:rPr>
      </w:pPr>
      <w:r w:rsidRPr="00D824AD">
        <w:rPr>
          <w:rFonts w:ascii="Garamond" w:hAnsi="Garamond" w:cs="Arial"/>
          <w:b/>
          <w:i/>
        </w:rPr>
        <w:t>Source: SEBI/HO/MIRSD/DOS3/CIR/P/2018/130 dated 19 September, 2018</w:t>
      </w:r>
    </w:p>
    <w:p w14:paraId="51777332" w14:textId="77777777" w:rsidR="009C313D" w:rsidRPr="00D824AD" w:rsidRDefault="009C313D" w:rsidP="009C313D">
      <w:pPr>
        <w:jc w:val="both"/>
        <w:rPr>
          <w:rFonts w:ascii="Garamond" w:hAnsi="Garamond" w:cs="Arial"/>
        </w:rPr>
      </w:pPr>
    </w:p>
    <w:p w14:paraId="6E8B2BED" w14:textId="77777777" w:rsidR="009C313D" w:rsidRPr="00D824AD" w:rsidRDefault="009C313D" w:rsidP="009C313D">
      <w:pPr>
        <w:jc w:val="both"/>
        <w:rPr>
          <w:rFonts w:ascii="Garamond" w:hAnsi="Garamond" w:cs="Arial"/>
        </w:rPr>
      </w:pPr>
      <w:r w:rsidRPr="00D824AD">
        <w:rPr>
          <w:rFonts w:ascii="Garamond" w:hAnsi="Garamond" w:cs="Arial"/>
          <w:b/>
        </w:rPr>
        <w:t xml:space="preserve">2. Know Your Client requirements for Foreign Portfolio Investors (FPIs): </w:t>
      </w:r>
      <w:r w:rsidRPr="00D824AD">
        <w:rPr>
          <w:rFonts w:ascii="Garamond" w:hAnsi="Garamond" w:cs="Arial"/>
        </w:rPr>
        <w:t>SEBI decided that Beneficial ownership criteria in Prevention of Money-laundering (Maintenance of Records) Rules, 2005 should be made applicable for purpose of KYC and not for determining eligibility of FPIs. The clubbing of investment limit for FPIs should not be done on the basis of beneficial owner (BO) as per PMLA Rules. Accordingly, there will be a separate set of norms for determining conditions where Non-Resident Indians (NRIs) and Overseas Citizens of India (OCIs) and Resident Indians (RIs) are constituents and also the basis for clubbing of investment limits.</w:t>
      </w:r>
    </w:p>
    <w:p w14:paraId="6C2114B0" w14:textId="77777777" w:rsidR="009C313D" w:rsidRPr="00D824AD" w:rsidRDefault="009C313D" w:rsidP="009C313D">
      <w:pPr>
        <w:jc w:val="both"/>
        <w:rPr>
          <w:rFonts w:ascii="Garamond" w:hAnsi="Garamond" w:cs="Arial"/>
        </w:rPr>
      </w:pPr>
    </w:p>
    <w:p w14:paraId="4C238BDD" w14:textId="77777777" w:rsidR="009C313D" w:rsidRPr="00D824AD" w:rsidRDefault="009C313D" w:rsidP="009C313D">
      <w:pPr>
        <w:jc w:val="both"/>
        <w:rPr>
          <w:rFonts w:ascii="Garamond" w:hAnsi="Garamond" w:cs="Arial"/>
        </w:rPr>
      </w:pPr>
      <w:r w:rsidRPr="00D824AD">
        <w:rPr>
          <w:rFonts w:ascii="Garamond" w:hAnsi="Garamond" w:cs="Arial"/>
        </w:rPr>
        <w:t xml:space="preserve">As per the new KYC norms, </w:t>
      </w:r>
      <w:r w:rsidRPr="00D824AD">
        <w:rPr>
          <w:rFonts w:ascii="Garamond" w:hAnsi="Garamond"/>
        </w:rPr>
        <w:t>FPIs are to comply with the following Know Your Client (KYC) requirements: -</w:t>
      </w:r>
    </w:p>
    <w:p w14:paraId="0AB974BB" w14:textId="77777777" w:rsidR="009C313D" w:rsidRPr="00D824AD" w:rsidRDefault="009C313D" w:rsidP="008C5EBB">
      <w:pPr>
        <w:pStyle w:val="ListParagraph"/>
        <w:numPr>
          <w:ilvl w:val="0"/>
          <w:numId w:val="20"/>
        </w:numPr>
        <w:spacing w:after="0" w:line="240" w:lineRule="auto"/>
        <w:ind w:left="426" w:hanging="426"/>
        <w:contextualSpacing w:val="0"/>
        <w:jc w:val="both"/>
        <w:rPr>
          <w:rFonts w:ascii="Garamond" w:hAnsi="Garamond" w:cs="Arial"/>
          <w:sz w:val="24"/>
          <w:szCs w:val="24"/>
        </w:rPr>
      </w:pPr>
      <w:r w:rsidRPr="00D824AD">
        <w:rPr>
          <w:rFonts w:ascii="Garamond" w:hAnsi="Garamond" w:cs="Arial"/>
          <w:sz w:val="24"/>
          <w:szCs w:val="24"/>
        </w:rPr>
        <w:t xml:space="preserve">Identification and verification of Beneficial Owners – For Category II &amp; III FPIs </w:t>
      </w:r>
    </w:p>
    <w:p w14:paraId="07BFDC70" w14:textId="77777777" w:rsidR="009C313D" w:rsidRPr="00D824AD" w:rsidRDefault="009C313D" w:rsidP="008C5EBB">
      <w:pPr>
        <w:pStyle w:val="ListParagraph"/>
        <w:numPr>
          <w:ilvl w:val="0"/>
          <w:numId w:val="20"/>
        </w:numPr>
        <w:spacing w:after="0" w:line="240" w:lineRule="auto"/>
        <w:ind w:left="426" w:hanging="426"/>
        <w:contextualSpacing w:val="0"/>
        <w:jc w:val="both"/>
        <w:rPr>
          <w:rFonts w:ascii="Garamond" w:hAnsi="Garamond" w:cs="Arial"/>
          <w:sz w:val="24"/>
          <w:szCs w:val="24"/>
        </w:rPr>
      </w:pPr>
      <w:r w:rsidRPr="00D824AD">
        <w:rPr>
          <w:rFonts w:ascii="Garamond" w:hAnsi="Garamond" w:cs="Arial"/>
          <w:sz w:val="24"/>
          <w:szCs w:val="24"/>
        </w:rPr>
        <w:t xml:space="preserve">Periodic KYC review  </w:t>
      </w:r>
    </w:p>
    <w:p w14:paraId="6678787F" w14:textId="77777777" w:rsidR="009C313D" w:rsidRPr="00D824AD" w:rsidRDefault="009C313D" w:rsidP="008C5EBB">
      <w:pPr>
        <w:pStyle w:val="ListParagraph"/>
        <w:numPr>
          <w:ilvl w:val="0"/>
          <w:numId w:val="20"/>
        </w:numPr>
        <w:spacing w:after="0" w:line="240" w:lineRule="auto"/>
        <w:ind w:left="426" w:hanging="426"/>
        <w:contextualSpacing w:val="0"/>
        <w:jc w:val="both"/>
        <w:rPr>
          <w:rFonts w:ascii="Garamond" w:hAnsi="Garamond" w:cs="Arial"/>
          <w:sz w:val="24"/>
          <w:szCs w:val="24"/>
        </w:rPr>
      </w:pPr>
      <w:r w:rsidRPr="00D824AD">
        <w:rPr>
          <w:rFonts w:ascii="Garamond" w:hAnsi="Garamond" w:cs="Arial"/>
          <w:sz w:val="24"/>
          <w:szCs w:val="24"/>
        </w:rPr>
        <w:t xml:space="preserve">KYC documentation for Category III FPI </w:t>
      </w:r>
    </w:p>
    <w:p w14:paraId="36B388BD" w14:textId="77777777" w:rsidR="009C313D" w:rsidRPr="00D824AD" w:rsidRDefault="009C313D" w:rsidP="008C5EBB">
      <w:pPr>
        <w:pStyle w:val="ListParagraph"/>
        <w:numPr>
          <w:ilvl w:val="0"/>
          <w:numId w:val="20"/>
        </w:numPr>
        <w:spacing w:after="0" w:line="240" w:lineRule="auto"/>
        <w:ind w:left="426" w:hanging="426"/>
        <w:contextualSpacing w:val="0"/>
        <w:jc w:val="both"/>
        <w:rPr>
          <w:rFonts w:ascii="Garamond" w:hAnsi="Garamond" w:cs="Arial"/>
          <w:sz w:val="24"/>
          <w:szCs w:val="24"/>
        </w:rPr>
      </w:pPr>
      <w:r w:rsidRPr="00D824AD">
        <w:rPr>
          <w:rFonts w:ascii="Garamond" w:hAnsi="Garamond" w:cs="Arial"/>
          <w:sz w:val="24"/>
          <w:szCs w:val="24"/>
        </w:rPr>
        <w:t xml:space="preserve">Exempted documents to be provided during investigations/ enquiry </w:t>
      </w:r>
    </w:p>
    <w:p w14:paraId="20918404" w14:textId="77777777" w:rsidR="009C313D" w:rsidRPr="00D824AD" w:rsidRDefault="009C313D" w:rsidP="008C5EBB">
      <w:pPr>
        <w:pStyle w:val="ListParagraph"/>
        <w:numPr>
          <w:ilvl w:val="0"/>
          <w:numId w:val="20"/>
        </w:numPr>
        <w:spacing w:after="0" w:line="240" w:lineRule="auto"/>
        <w:ind w:left="426" w:hanging="426"/>
        <w:contextualSpacing w:val="0"/>
        <w:jc w:val="both"/>
        <w:rPr>
          <w:rFonts w:ascii="Garamond" w:hAnsi="Garamond" w:cs="Arial"/>
          <w:sz w:val="24"/>
          <w:szCs w:val="24"/>
        </w:rPr>
      </w:pPr>
      <w:r w:rsidRPr="00D824AD">
        <w:rPr>
          <w:rFonts w:ascii="Garamond" w:hAnsi="Garamond" w:cs="Arial"/>
          <w:sz w:val="24"/>
          <w:szCs w:val="24"/>
        </w:rPr>
        <w:t xml:space="preserve">Data security </w:t>
      </w:r>
    </w:p>
    <w:p w14:paraId="098260A1" w14:textId="77777777" w:rsidR="009C313D" w:rsidRPr="00D824AD" w:rsidRDefault="009C313D" w:rsidP="008C5EBB">
      <w:pPr>
        <w:pStyle w:val="ListParagraph"/>
        <w:numPr>
          <w:ilvl w:val="0"/>
          <w:numId w:val="20"/>
        </w:numPr>
        <w:spacing w:after="0" w:line="240" w:lineRule="auto"/>
        <w:ind w:left="426" w:hanging="426"/>
        <w:contextualSpacing w:val="0"/>
        <w:jc w:val="both"/>
        <w:rPr>
          <w:rFonts w:ascii="Garamond" w:hAnsi="Garamond" w:cs="Arial"/>
          <w:sz w:val="24"/>
          <w:szCs w:val="24"/>
        </w:rPr>
      </w:pPr>
      <w:r w:rsidRPr="00D824AD">
        <w:rPr>
          <w:rFonts w:ascii="Garamond" w:hAnsi="Garamond" w:cs="Arial"/>
          <w:sz w:val="24"/>
          <w:szCs w:val="24"/>
        </w:rPr>
        <w:t xml:space="preserve">Period for maintenance of records </w:t>
      </w:r>
    </w:p>
    <w:p w14:paraId="69C1A56D" w14:textId="77777777" w:rsidR="009C313D" w:rsidRPr="00D824AD" w:rsidRDefault="009C313D" w:rsidP="008C5EBB">
      <w:pPr>
        <w:pStyle w:val="ListParagraph"/>
        <w:numPr>
          <w:ilvl w:val="0"/>
          <w:numId w:val="20"/>
        </w:numPr>
        <w:spacing w:after="0" w:line="240" w:lineRule="auto"/>
        <w:ind w:left="426" w:hanging="426"/>
        <w:contextualSpacing w:val="0"/>
        <w:jc w:val="both"/>
        <w:rPr>
          <w:rFonts w:ascii="Garamond" w:hAnsi="Garamond" w:cs="Arial"/>
          <w:sz w:val="24"/>
          <w:szCs w:val="24"/>
        </w:rPr>
      </w:pPr>
      <w:r w:rsidRPr="00D824AD">
        <w:rPr>
          <w:rFonts w:ascii="Garamond" w:hAnsi="Garamond" w:cs="Arial"/>
          <w:sz w:val="24"/>
          <w:szCs w:val="24"/>
        </w:rPr>
        <w:t xml:space="preserve">Timelines for compliance </w:t>
      </w:r>
    </w:p>
    <w:p w14:paraId="44F4357E" w14:textId="77777777" w:rsidR="009C313D" w:rsidRPr="00D824AD" w:rsidRDefault="009C313D" w:rsidP="009C313D">
      <w:pPr>
        <w:jc w:val="both"/>
        <w:rPr>
          <w:rFonts w:ascii="Garamond" w:hAnsi="Garamond" w:cs="Arial"/>
        </w:rPr>
      </w:pPr>
    </w:p>
    <w:p w14:paraId="67B4F604" w14:textId="77777777" w:rsidR="009C313D" w:rsidRPr="00D824AD" w:rsidRDefault="009C313D" w:rsidP="009C313D">
      <w:pPr>
        <w:jc w:val="both"/>
        <w:rPr>
          <w:rFonts w:ascii="Garamond" w:hAnsi="Garamond" w:cs="Arial"/>
        </w:rPr>
      </w:pPr>
      <w:r w:rsidRPr="00D824AD">
        <w:rPr>
          <w:rFonts w:ascii="Garamond" w:hAnsi="Garamond" w:cs="Arial"/>
        </w:rPr>
        <w:t xml:space="preserve">Details available at </w:t>
      </w:r>
      <w:hyperlink r:id="rId52" w:history="1">
        <w:r w:rsidRPr="00D824AD">
          <w:rPr>
            <w:rStyle w:val="Hyperlink"/>
            <w:rFonts w:ascii="Garamond" w:hAnsi="Garamond" w:cs="Arial"/>
          </w:rPr>
          <w:t>https://www.sebi.gov.in/legal/circulars/sep-2018/know-your-client-requirements-for-foreign-portfolio-investors-fpis-_40408.html</w:t>
        </w:r>
      </w:hyperlink>
    </w:p>
    <w:p w14:paraId="244EF017" w14:textId="77777777" w:rsidR="009C313D" w:rsidRPr="00D824AD" w:rsidRDefault="009C313D" w:rsidP="009C313D">
      <w:pPr>
        <w:jc w:val="both"/>
        <w:rPr>
          <w:rFonts w:ascii="Garamond" w:hAnsi="Garamond" w:cs="Arial"/>
        </w:rPr>
      </w:pPr>
    </w:p>
    <w:p w14:paraId="035D66C5" w14:textId="77777777" w:rsidR="009C313D" w:rsidRPr="00D824AD" w:rsidRDefault="009C313D" w:rsidP="009C313D">
      <w:pPr>
        <w:spacing w:line="237" w:lineRule="auto"/>
        <w:ind w:right="-15"/>
        <w:outlineLvl w:val="0"/>
        <w:rPr>
          <w:rFonts w:ascii="Garamond" w:hAnsi="Garamond"/>
          <w:b/>
          <w:u w:val="single"/>
        </w:rPr>
      </w:pPr>
      <w:r w:rsidRPr="00D824AD">
        <w:rPr>
          <w:rFonts w:ascii="Garamond" w:hAnsi="Garamond" w:cs="Arial"/>
          <w:b/>
          <w:i/>
        </w:rPr>
        <w:t>Source: CIR/IMD/FPIC/CIR/P/2018/131 dated 21 September, 2018</w:t>
      </w:r>
    </w:p>
    <w:p w14:paraId="313C40D3" w14:textId="77777777" w:rsidR="009C313D" w:rsidRPr="00D824AD" w:rsidRDefault="009C313D" w:rsidP="009C313D">
      <w:pPr>
        <w:jc w:val="both"/>
        <w:rPr>
          <w:rFonts w:ascii="Garamond" w:hAnsi="Garamond" w:cs="Arial"/>
        </w:rPr>
      </w:pPr>
    </w:p>
    <w:p w14:paraId="6F8FAD66" w14:textId="77777777" w:rsidR="009C313D" w:rsidRPr="00D824AD" w:rsidRDefault="009C313D" w:rsidP="009C313D">
      <w:pPr>
        <w:jc w:val="both"/>
        <w:rPr>
          <w:rFonts w:ascii="Garamond" w:hAnsi="Garamond"/>
        </w:rPr>
      </w:pPr>
      <w:r w:rsidRPr="00D824AD">
        <w:rPr>
          <w:rFonts w:ascii="Garamond" w:hAnsi="Garamond" w:cs="Arial"/>
          <w:b/>
        </w:rPr>
        <w:t xml:space="preserve">3. Eligibility conditions for Foreign Portfolio Investors (FPIs): </w:t>
      </w:r>
      <w:r w:rsidRPr="00D824AD">
        <w:rPr>
          <w:rFonts w:ascii="Garamond" w:hAnsi="Garamond"/>
        </w:rPr>
        <w:t xml:space="preserve">SEBI decided that Beneficial ownership criteria in Prevention of Money-laundering (Maintenance of Records) Rules, 2005 should be made applicable for purpose of KYC and not for determining eligibility of FPIs. The clubbing of investment limit for FPIs should not be done on the basis of beneficial owner (BO) as per PMLA Rules. Accordingly, there will be a separate set of norms for determining conditions where Non-Resident Indians (NRIs) and Overseas Citizens of India (OCIs) and Resident Indians (RIs) are constituents. Accordingly, it has been decided to put in place the following eligibility norms. Non-Resident Indians (NRIs) and Overseas Citizens of India (OCIs) shall have the same meaning as assigned to them under regulation 2 of the Foreign Exchange Management (Transfer or issue of security by a Person Resident outside India) Regulations, 2017.  </w:t>
      </w:r>
    </w:p>
    <w:p w14:paraId="75FC1E95" w14:textId="77777777" w:rsidR="009C313D" w:rsidRPr="00D824AD" w:rsidRDefault="009C313D" w:rsidP="009C313D">
      <w:pPr>
        <w:spacing w:after="236" w:line="237" w:lineRule="auto"/>
        <w:ind w:right="259"/>
        <w:jc w:val="both"/>
        <w:rPr>
          <w:rFonts w:ascii="Garamond" w:hAnsi="Garamond"/>
        </w:rPr>
      </w:pPr>
      <w:r w:rsidRPr="00D824AD">
        <w:rPr>
          <w:rFonts w:ascii="Garamond" w:hAnsi="Garamond"/>
        </w:rPr>
        <w:t xml:space="preserve">NRIs/ OCIs/ Resident Indians (RIs) shall be allowed to be constituents of FPIs subject to the following conditions: - </w:t>
      </w:r>
    </w:p>
    <w:p w14:paraId="642E3622" w14:textId="77777777" w:rsidR="009C313D" w:rsidRPr="00D824AD" w:rsidRDefault="009C313D" w:rsidP="008C5EBB">
      <w:pPr>
        <w:numPr>
          <w:ilvl w:val="0"/>
          <w:numId w:val="21"/>
        </w:numPr>
        <w:spacing w:after="236" w:line="237" w:lineRule="auto"/>
        <w:ind w:left="567" w:right="259" w:hanging="567"/>
        <w:jc w:val="both"/>
        <w:rPr>
          <w:rFonts w:ascii="Garamond" w:hAnsi="Garamond"/>
        </w:rPr>
      </w:pPr>
      <w:r w:rsidRPr="00D824AD">
        <w:rPr>
          <w:rFonts w:ascii="Garamond" w:hAnsi="Garamond"/>
        </w:rPr>
        <w:t xml:space="preserve">Contributions by NRI/ OCI/ RI including those of NRI/ OCI/ RI controlled Investment Manager should be below 25 per cent from a single NRI/ OCI/ RI and in aggregate should be below 50 per cent </w:t>
      </w:r>
      <w:r>
        <w:rPr>
          <w:rFonts w:ascii="Garamond" w:hAnsi="Garamond"/>
        </w:rPr>
        <w:t>of</w:t>
      </w:r>
      <w:r w:rsidRPr="00D824AD">
        <w:rPr>
          <w:rFonts w:ascii="Garamond" w:hAnsi="Garamond"/>
        </w:rPr>
        <w:t xml:space="preserve"> corpus of FPI.  </w:t>
      </w:r>
    </w:p>
    <w:p w14:paraId="5BDFA7DE" w14:textId="77777777" w:rsidR="009C313D" w:rsidRPr="00D824AD" w:rsidRDefault="009C313D" w:rsidP="008C5EBB">
      <w:pPr>
        <w:numPr>
          <w:ilvl w:val="0"/>
          <w:numId w:val="21"/>
        </w:numPr>
        <w:spacing w:after="236" w:line="237" w:lineRule="auto"/>
        <w:ind w:left="567" w:right="259" w:hanging="567"/>
        <w:jc w:val="both"/>
        <w:rPr>
          <w:rFonts w:ascii="Garamond" w:hAnsi="Garamond"/>
        </w:rPr>
      </w:pPr>
      <w:r w:rsidRPr="00D824AD">
        <w:rPr>
          <w:rFonts w:ascii="Garamond" w:hAnsi="Garamond"/>
        </w:rPr>
        <w:t xml:space="preserve">NRI/ OCI/ RI should not be in control of FPI. </w:t>
      </w:r>
    </w:p>
    <w:p w14:paraId="2E37D09B" w14:textId="77777777" w:rsidR="009C313D" w:rsidRPr="00D824AD" w:rsidRDefault="009C313D" w:rsidP="009C313D">
      <w:pPr>
        <w:jc w:val="both"/>
        <w:rPr>
          <w:rFonts w:ascii="Garamond" w:hAnsi="Garamond" w:cs="Arial"/>
        </w:rPr>
      </w:pPr>
      <w:r w:rsidRPr="00D824AD">
        <w:rPr>
          <w:rFonts w:ascii="Garamond" w:hAnsi="Garamond" w:cs="Arial"/>
        </w:rPr>
        <w:t xml:space="preserve">FPIs can be controlled by investment managers (IMs) which are controlled and / or owned by NRI/ OCI/ RI if following conditions are satisfied: - </w:t>
      </w:r>
    </w:p>
    <w:p w14:paraId="2E4AA5CC" w14:textId="77777777" w:rsidR="009C313D" w:rsidRPr="00D824AD" w:rsidRDefault="009C313D" w:rsidP="009C313D">
      <w:pPr>
        <w:jc w:val="both"/>
        <w:rPr>
          <w:rFonts w:ascii="Garamond" w:hAnsi="Garamond" w:cs="Arial"/>
        </w:rPr>
      </w:pPr>
    </w:p>
    <w:p w14:paraId="00C754A3" w14:textId="77777777" w:rsidR="009C313D" w:rsidRPr="00D824AD" w:rsidRDefault="009C313D" w:rsidP="008C5EBB">
      <w:pPr>
        <w:numPr>
          <w:ilvl w:val="0"/>
          <w:numId w:val="22"/>
        </w:numPr>
        <w:spacing w:after="236" w:line="237" w:lineRule="auto"/>
        <w:ind w:right="259" w:hanging="720"/>
        <w:jc w:val="both"/>
        <w:rPr>
          <w:rFonts w:ascii="Garamond" w:hAnsi="Garamond" w:cs="Arial"/>
        </w:rPr>
      </w:pPr>
      <w:r w:rsidRPr="00D824AD">
        <w:rPr>
          <w:rFonts w:ascii="Garamond" w:hAnsi="Garamond" w:cs="Arial"/>
        </w:rPr>
        <w:t xml:space="preserve">IM is </w:t>
      </w:r>
      <w:r w:rsidRPr="00D824AD">
        <w:rPr>
          <w:rFonts w:ascii="Garamond" w:hAnsi="Garamond"/>
        </w:rPr>
        <w:t>appropriately</w:t>
      </w:r>
      <w:r w:rsidRPr="00D824AD">
        <w:rPr>
          <w:rFonts w:ascii="Garamond" w:hAnsi="Garamond" w:cs="Arial"/>
        </w:rPr>
        <w:t xml:space="preserve"> regulated in its home jurisdiction and registers itself with SEBI as non-investing FPI; or </w:t>
      </w:r>
    </w:p>
    <w:p w14:paraId="7A06964D" w14:textId="77777777" w:rsidR="009C313D" w:rsidRPr="00D824AD" w:rsidRDefault="009C313D" w:rsidP="008C5EBB">
      <w:pPr>
        <w:numPr>
          <w:ilvl w:val="0"/>
          <w:numId w:val="22"/>
        </w:numPr>
        <w:spacing w:after="236" w:line="237" w:lineRule="auto"/>
        <w:ind w:right="259" w:hanging="720"/>
        <w:jc w:val="both"/>
        <w:rPr>
          <w:rFonts w:ascii="Garamond" w:hAnsi="Garamond" w:cs="Arial"/>
        </w:rPr>
      </w:pPr>
      <w:r w:rsidRPr="00D824AD">
        <w:rPr>
          <w:rFonts w:ascii="Garamond" w:hAnsi="Garamond" w:cs="Arial"/>
        </w:rPr>
        <w:t>IM is incorporated or setup under Indian laws and appropriately registered with SEBI.</w:t>
      </w:r>
    </w:p>
    <w:p w14:paraId="69C104CD" w14:textId="77777777" w:rsidR="009C313D" w:rsidRPr="00D824AD" w:rsidRDefault="009C313D" w:rsidP="009C313D">
      <w:pPr>
        <w:spacing w:after="236" w:line="237" w:lineRule="auto"/>
        <w:ind w:right="143"/>
        <w:jc w:val="both"/>
        <w:rPr>
          <w:rFonts w:ascii="Garamond" w:hAnsi="Garamond"/>
          <w:b/>
          <w:u w:val="single"/>
        </w:rPr>
      </w:pPr>
      <w:r w:rsidRPr="00D824AD">
        <w:rPr>
          <w:rFonts w:ascii="Garamond" w:hAnsi="Garamond"/>
        </w:rPr>
        <w:t xml:space="preserve">A non-investing FPI may be directly or indirectly fully owned and/ or controlled by an NRI/ OCI/ RI.  The restriction that NRI/ OCI/ RI should not be in control of FPI   shall also not apply to FPIs which are ‘offshore funds’ for which no-objection certificate has been provided by the </w:t>
      </w:r>
      <w:r>
        <w:rPr>
          <w:rFonts w:ascii="Garamond" w:hAnsi="Garamond"/>
        </w:rPr>
        <w:t>SEBI</w:t>
      </w:r>
      <w:r w:rsidRPr="00D824AD">
        <w:rPr>
          <w:rFonts w:ascii="Garamond" w:hAnsi="Garamond"/>
        </w:rPr>
        <w:t xml:space="preserve"> in terms of SEBI (Mutual Funds) Regulations, 1996. These restrictions in regard to eligibility conditions will not be applicable to FPIs investing only in mutual funds in India. Existing FPIs and new applicants shall be given a time period of two years from the date of coming into force of the amended regulations or from the date of registration, whichever is later in order to satisfy these eligibility conditions. In case of temporary breach, a time period of 90 days will be given to ensure compliance with above conditions. </w:t>
      </w:r>
    </w:p>
    <w:p w14:paraId="2CE22961" w14:textId="77777777" w:rsidR="009C313D" w:rsidRPr="00D824AD" w:rsidRDefault="009C313D" w:rsidP="009C313D">
      <w:pPr>
        <w:spacing w:after="236" w:line="237" w:lineRule="auto"/>
        <w:ind w:right="143"/>
        <w:jc w:val="both"/>
        <w:rPr>
          <w:rFonts w:ascii="Garamond" w:hAnsi="Garamond" w:cs="Arial"/>
        </w:rPr>
      </w:pPr>
      <w:r w:rsidRPr="00D824AD">
        <w:rPr>
          <w:rFonts w:ascii="Garamond" w:hAnsi="Garamond" w:cs="Arial"/>
        </w:rPr>
        <w:t xml:space="preserve">Details available at </w:t>
      </w:r>
      <w:hyperlink r:id="rId53" w:history="1">
        <w:r w:rsidRPr="00D824AD">
          <w:rPr>
            <w:rStyle w:val="Hyperlink"/>
            <w:rFonts w:ascii="Garamond" w:hAnsi="Garamond" w:cs="Arial"/>
          </w:rPr>
          <w:t>https://www.sebi.gov.in/legal/circulars/sep-2018/eligibility-conditions-for-foreign-portfolio-investors-fpis-_40409.html</w:t>
        </w:r>
      </w:hyperlink>
    </w:p>
    <w:p w14:paraId="7B5A4035" w14:textId="77777777" w:rsidR="009C313D" w:rsidRPr="00D824AD" w:rsidRDefault="009C313D" w:rsidP="009C313D">
      <w:pPr>
        <w:outlineLvl w:val="0"/>
        <w:rPr>
          <w:rFonts w:ascii="Garamond" w:hAnsi="Garamond" w:cs="Arial"/>
          <w:b/>
          <w:i/>
        </w:rPr>
      </w:pPr>
      <w:r w:rsidRPr="00D824AD">
        <w:rPr>
          <w:rFonts w:ascii="Garamond" w:hAnsi="Garamond" w:cs="Arial"/>
          <w:b/>
          <w:i/>
        </w:rPr>
        <w:t>Source: CIR/IMD/FPIC/CIR/P/2018/132 dated 21 September, 2018</w:t>
      </w:r>
    </w:p>
    <w:p w14:paraId="505E2684" w14:textId="77777777" w:rsidR="009C313D" w:rsidRPr="00D824AD" w:rsidRDefault="009C313D" w:rsidP="009C313D">
      <w:pPr>
        <w:spacing w:after="236" w:line="237" w:lineRule="auto"/>
        <w:ind w:right="143"/>
        <w:jc w:val="both"/>
        <w:rPr>
          <w:rFonts w:ascii="Garamond" w:hAnsi="Garamond"/>
        </w:rPr>
      </w:pPr>
    </w:p>
    <w:p w14:paraId="46F87A22" w14:textId="77777777" w:rsidR="009C313D" w:rsidRPr="00D824AD" w:rsidRDefault="009C313D" w:rsidP="009C313D">
      <w:pPr>
        <w:jc w:val="both"/>
        <w:rPr>
          <w:rFonts w:ascii="Garamond" w:hAnsi="Garamond"/>
        </w:rPr>
      </w:pPr>
      <w:r w:rsidRPr="00D824AD">
        <w:rPr>
          <w:rFonts w:ascii="Garamond" w:hAnsi="Garamond" w:cs="Arial"/>
          <w:b/>
        </w:rPr>
        <w:t xml:space="preserve">4. Applicability of Circulars issued for Commodity Derivatives markets: </w:t>
      </w:r>
      <w:r w:rsidRPr="00D824AD">
        <w:rPr>
          <w:rFonts w:ascii="Garamond" w:hAnsi="Garamond"/>
        </w:rPr>
        <w:t xml:space="preserve">After taking over the regulation of commodity derivatives market, SEBI has issued various circulars applicable to Commodity derivatives exchanges. As per the amendments in </w:t>
      </w:r>
      <w:r w:rsidRPr="00D824AD">
        <w:rPr>
          <w:rFonts w:ascii="Garamond" w:eastAsia="Arial" w:hAnsi="Garamond" w:cs="Arial"/>
          <w:i/>
        </w:rPr>
        <w:t xml:space="preserve">Securities Contracts (Regulation) (Stock Exchanges and Clearing Corporations) Regulations, </w:t>
      </w:r>
      <w:r w:rsidRPr="00D824AD">
        <w:rPr>
          <w:rFonts w:ascii="Garamond" w:hAnsi="Garamond"/>
        </w:rPr>
        <w:t xml:space="preserve">2012 as notified on </w:t>
      </w:r>
      <w:hyperlink r:id="rId54">
        <w:r w:rsidRPr="00D824AD">
          <w:rPr>
            <w:rFonts w:ascii="Garamond" w:hAnsi="Garamond"/>
          </w:rPr>
          <w:t>April 02, 2018 in</w:t>
        </w:r>
      </w:hyperlink>
      <w:hyperlink r:id="rId55">
        <w:r w:rsidRPr="00D824AD">
          <w:rPr>
            <w:rFonts w:ascii="Garamond" w:hAnsi="Garamond"/>
          </w:rPr>
          <w:t xml:space="preserve"> </w:t>
        </w:r>
      </w:hyperlink>
      <w:r w:rsidRPr="00D824AD">
        <w:rPr>
          <w:rFonts w:ascii="Garamond" w:hAnsi="Garamond"/>
        </w:rPr>
        <w:t>the Gazette of Indi</w:t>
      </w:r>
      <w:hyperlink r:id="rId56">
        <w:r w:rsidRPr="00D824AD">
          <w:rPr>
            <w:rFonts w:ascii="Garamond" w:hAnsi="Garamond"/>
          </w:rPr>
          <w:t>a</w:t>
        </w:r>
      </w:hyperlink>
      <w:hyperlink r:id="rId57">
        <w:r w:rsidRPr="00D824AD">
          <w:rPr>
            <w:rFonts w:ascii="Garamond" w:hAnsi="Garamond"/>
          </w:rPr>
          <w:t>,</w:t>
        </w:r>
      </w:hyperlink>
      <w:r w:rsidRPr="00D824AD">
        <w:rPr>
          <w:rFonts w:ascii="Garamond" w:hAnsi="Garamond"/>
        </w:rPr>
        <w:t xml:space="preserve"> there would be no separate category of ‘Commodity Derivatives Exchanges’ w</w:t>
      </w:r>
      <w:r>
        <w:rPr>
          <w:rFonts w:ascii="Garamond" w:hAnsi="Garamond"/>
        </w:rPr>
        <w:t xml:space="preserve">ith </w:t>
      </w:r>
      <w:r w:rsidRPr="00D824AD">
        <w:rPr>
          <w:rFonts w:ascii="Garamond" w:hAnsi="Garamond"/>
        </w:rPr>
        <w:t>e</w:t>
      </w:r>
      <w:r>
        <w:rPr>
          <w:rFonts w:ascii="Garamond" w:hAnsi="Garamond"/>
        </w:rPr>
        <w:t xml:space="preserve">ffect </w:t>
      </w:r>
      <w:r w:rsidRPr="00D824AD">
        <w:rPr>
          <w:rFonts w:ascii="Garamond" w:hAnsi="Garamond"/>
        </w:rPr>
        <w:t>f</w:t>
      </w:r>
      <w:r>
        <w:rPr>
          <w:rFonts w:ascii="Garamond" w:hAnsi="Garamond"/>
        </w:rPr>
        <w:t>rom</w:t>
      </w:r>
      <w:r w:rsidRPr="00D824AD">
        <w:rPr>
          <w:rFonts w:ascii="Garamond" w:hAnsi="Garamond"/>
        </w:rPr>
        <w:t xml:space="preserve"> October 1, 2018. Accordingly, it is clarified that all the norms issued for Commodity Derivatives Exchanges till date shall be applicable to Commodity Derivatives Segments of Recognised Stock Exchanges/Recognised Clearing Corporations to the extent applicable.</w:t>
      </w:r>
    </w:p>
    <w:p w14:paraId="45723E92" w14:textId="77777777" w:rsidR="009C313D" w:rsidRPr="00D824AD" w:rsidRDefault="009C313D" w:rsidP="009C313D">
      <w:pPr>
        <w:jc w:val="both"/>
        <w:rPr>
          <w:rFonts w:ascii="Garamond" w:hAnsi="Garamond"/>
        </w:rPr>
      </w:pPr>
    </w:p>
    <w:p w14:paraId="4AD7472C" w14:textId="77777777" w:rsidR="009C313D" w:rsidRPr="00D824AD" w:rsidRDefault="009C313D" w:rsidP="009C313D">
      <w:pPr>
        <w:jc w:val="both"/>
        <w:rPr>
          <w:rFonts w:ascii="Garamond" w:hAnsi="Garamond"/>
        </w:rPr>
      </w:pPr>
      <w:r w:rsidRPr="00D824AD">
        <w:rPr>
          <w:rFonts w:ascii="Garamond" w:hAnsi="Garamond"/>
        </w:rPr>
        <w:t xml:space="preserve">Details available at </w:t>
      </w:r>
      <w:hyperlink r:id="rId58" w:history="1">
        <w:r w:rsidRPr="00D824AD">
          <w:rPr>
            <w:rStyle w:val="Hyperlink"/>
            <w:rFonts w:ascii="Garamond" w:hAnsi="Garamond"/>
          </w:rPr>
          <w:t>https://www.sebi.gov.in/legal/circulars/sep-2018/applicability-of-circulars-issued-for-commodity-derivatives-markets_40515.html</w:t>
        </w:r>
      </w:hyperlink>
    </w:p>
    <w:p w14:paraId="3FD23E8C" w14:textId="77777777" w:rsidR="009C313D" w:rsidRPr="00D824AD" w:rsidRDefault="009C313D" w:rsidP="009C313D">
      <w:pPr>
        <w:jc w:val="both"/>
        <w:rPr>
          <w:rFonts w:ascii="Garamond" w:hAnsi="Garamond"/>
        </w:rPr>
      </w:pPr>
    </w:p>
    <w:p w14:paraId="7FB65959" w14:textId="77777777" w:rsidR="009C313D" w:rsidRPr="00D824AD" w:rsidRDefault="009C313D" w:rsidP="009C313D">
      <w:pPr>
        <w:spacing w:after="236" w:line="237" w:lineRule="auto"/>
        <w:ind w:right="143"/>
        <w:jc w:val="both"/>
        <w:rPr>
          <w:rFonts w:ascii="Garamond" w:hAnsi="Garamond"/>
          <w:b/>
          <w:u w:val="single"/>
        </w:rPr>
      </w:pPr>
      <w:r w:rsidRPr="00D824AD">
        <w:rPr>
          <w:rFonts w:ascii="Garamond" w:hAnsi="Garamond" w:cs="Arial"/>
          <w:b/>
          <w:i/>
        </w:rPr>
        <w:t>Source: SEBI/HO/CDMRD/DMP/CIR/P/2018/133 dated 28 September, 2018</w:t>
      </w:r>
    </w:p>
    <w:p w14:paraId="118E9908" w14:textId="77777777" w:rsidR="009C313D" w:rsidRPr="00D824AD" w:rsidRDefault="009C313D" w:rsidP="009C313D">
      <w:pPr>
        <w:spacing w:after="160" w:line="259" w:lineRule="auto"/>
        <w:rPr>
          <w:rFonts w:ascii="Garamond" w:hAnsi="Garamond" w:cs="Arial"/>
        </w:rPr>
      </w:pPr>
      <w:r w:rsidRPr="00D824AD">
        <w:rPr>
          <w:rFonts w:ascii="Garamond" w:hAnsi="Garamond" w:cs="Arial"/>
        </w:rPr>
        <w:br w:type="page"/>
      </w:r>
    </w:p>
    <w:p w14:paraId="26917863" w14:textId="77777777" w:rsidR="009C313D" w:rsidRPr="00D824AD" w:rsidRDefault="009C313D" w:rsidP="009C313D">
      <w:pPr>
        <w:jc w:val="center"/>
        <w:outlineLvl w:val="0"/>
        <w:rPr>
          <w:rFonts w:ascii="Garamond" w:hAnsi="Garamond"/>
          <w:b/>
          <w:u w:val="single"/>
        </w:rPr>
      </w:pPr>
      <w:r w:rsidRPr="00D824AD">
        <w:rPr>
          <w:rFonts w:ascii="Garamond" w:hAnsi="Garamond"/>
          <w:b/>
          <w:u w:val="single"/>
        </w:rPr>
        <w:t>Regulatory Actions taken by SEBI</w:t>
      </w:r>
    </w:p>
    <w:p w14:paraId="35C43573" w14:textId="77777777" w:rsidR="009C313D" w:rsidRPr="00D824AD" w:rsidRDefault="009C313D" w:rsidP="009C313D">
      <w:pPr>
        <w:jc w:val="both"/>
        <w:rPr>
          <w:rFonts w:ascii="Garamond" w:hAnsi="Garamond"/>
          <w:b/>
          <w:u w:val="single"/>
        </w:rPr>
      </w:pPr>
    </w:p>
    <w:p w14:paraId="43433B31" w14:textId="77777777" w:rsidR="009C313D" w:rsidRPr="00D824AD" w:rsidRDefault="009C313D" w:rsidP="009C313D">
      <w:pPr>
        <w:jc w:val="both"/>
        <w:outlineLvl w:val="0"/>
        <w:rPr>
          <w:rFonts w:ascii="Garamond" w:hAnsi="Garamond"/>
          <w:b/>
        </w:rPr>
      </w:pPr>
      <w:r w:rsidRPr="00D824AD">
        <w:rPr>
          <w:rFonts w:ascii="Garamond" w:hAnsi="Garamond"/>
          <w:b/>
        </w:rPr>
        <w:t>Orders of Adjudicating Officer:</w:t>
      </w:r>
    </w:p>
    <w:p w14:paraId="0542AC68" w14:textId="77777777" w:rsidR="009C313D" w:rsidRPr="00D824AD" w:rsidRDefault="009C313D" w:rsidP="008C5EBB">
      <w:pPr>
        <w:pStyle w:val="Default"/>
        <w:numPr>
          <w:ilvl w:val="0"/>
          <w:numId w:val="23"/>
        </w:numPr>
        <w:ind w:left="426" w:hanging="426"/>
        <w:jc w:val="both"/>
        <w:rPr>
          <w:rFonts w:ascii="Garamond" w:hAnsi="Garamond"/>
          <w:i/>
        </w:rPr>
      </w:pPr>
      <w:r w:rsidRPr="00D824AD">
        <w:rPr>
          <w:rFonts w:ascii="Garamond" w:hAnsi="Garamond"/>
          <w:bCs/>
        </w:rPr>
        <w:t xml:space="preserve">SEBI passed an order, dated 05 September 2018, in the matter of Incap Financial Services Ltd imposing a total penalty of </w:t>
      </w:r>
      <w:r w:rsidRPr="00D824AD">
        <w:rPr>
          <w:rFonts w:ascii="Cambria Math" w:hAnsi="Cambria Math" w:cs="Cambria Math"/>
          <w:bCs/>
        </w:rPr>
        <w:t>₹</w:t>
      </w:r>
      <w:r w:rsidRPr="00D824AD">
        <w:rPr>
          <w:rFonts w:ascii="Garamond" w:hAnsi="Garamond"/>
          <w:bCs/>
        </w:rPr>
        <w:t xml:space="preserve"> 50,000 (Rupees Fifty Thousand Only) on Chandrakanta S Mandowara for the violation of regulation 7(1) of SAST Regulations.</w:t>
      </w:r>
    </w:p>
    <w:p w14:paraId="69DCD0F2" w14:textId="77777777" w:rsidR="009C313D" w:rsidRPr="00D824AD" w:rsidRDefault="009C313D" w:rsidP="009C313D">
      <w:pPr>
        <w:pStyle w:val="ListParagraph"/>
        <w:rPr>
          <w:rFonts w:ascii="Garamond" w:hAnsi="Garamond"/>
          <w:i/>
          <w:strike/>
          <w:sz w:val="24"/>
          <w:szCs w:val="24"/>
        </w:rPr>
      </w:pPr>
    </w:p>
    <w:p w14:paraId="5748B279" w14:textId="77777777" w:rsidR="009C313D" w:rsidRPr="00D824AD" w:rsidRDefault="009C313D" w:rsidP="008C5EBB">
      <w:pPr>
        <w:pStyle w:val="Default"/>
        <w:numPr>
          <w:ilvl w:val="0"/>
          <w:numId w:val="23"/>
        </w:numPr>
        <w:ind w:left="426" w:hanging="426"/>
        <w:jc w:val="both"/>
        <w:rPr>
          <w:rFonts w:ascii="Garamond" w:hAnsi="Garamond"/>
          <w:i/>
        </w:rPr>
      </w:pPr>
      <w:r w:rsidRPr="00D824AD">
        <w:rPr>
          <w:rFonts w:ascii="Garamond" w:hAnsi="Garamond"/>
          <w:bCs/>
        </w:rPr>
        <w:t xml:space="preserve">SEBI passed an order, dated 06 September 2018, in the matter of Saianand Commercial Limited imposing a total penalty of </w:t>
      </w:r>
      <w:r w:rsidRPr="00D824AD">
        <w:rPr>
          <w:rFonts w:ascii="Cambria Math" w:hAnsi="Cambria Math" w:cs="Cambria Math"/>
          <w:bCs/>
        </w:rPr>
        <w:t>₹</w:t>
      </w:r>
      <w:r w:rsidRPr="00D824AD">
        <w:rPr>
          <w:rFonts w:ascii="Garamond" w:hAnsi="Garamond"/>
          <w:bCs/>
        </w:rPr>
        <w:t xml:space="preserve"> 6,00,000 (Rupees Six Lakh Only) on Ashok Shivlal Rupani and others for the violation of regulation 30(4) of LODR Regulations read with clause 36 of Listing Agreement read with section 21 and section 24 of SCRA.</w:t>
      </w:r>
    </w:p>
    <w:p w14:paraId="1AF3AEA4" w14:textId="77777777" w:rsidR="009C313D" w:rsidRPr="00D824AD" w:rsidRDefault="009C313D" w:rsidP="009C313D">
      <w:pPr>
        <w:pStyle w:val="ListParagraph"/>
        <w:rPr>
          <w:rFonts w:ascii="Garamond" w:hAnsi="Garamond"/>
          <w:i/>
          <w:sz w:val="24"/>
          <w:szCs w:val="24"/>
        </w:rPr>
      </w:pPr>
    </w:p>
    <w:p w14:paraId="117F8586"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06 September 2018, in the matter of Saianand Commercial Limited imposing a total penalty of </w:t>
      </w:r>
      <w:r w:rsidRPr="00D824AD">
        <w:rPr>
          <w:rFonts w:ascii="Cambria Math" w:hAnsi="Cambria Math" w:cs="Cambria Math"/>
          <w:bCs/>
        </w:rPr>
        <w:t>₹</w:t>
      </w:r>
      <w:r w:rsidRPr="00D824AD">
        <w:rPr>
          <w:rFonts w:ascii="Garamond" w:hAnsi="Garamond"/>
          <w:bCs/>
        </w:rPr>
        <w:t xml:space="preserve"> 2,00,000 (Rupees Two Lakh Only) on Sopan Maruti Shelar for the violation of regulation 13(3) and 13(5) of PIT Regulations read with regulation 12(2) of PIT Regulations.</w:t>
      </w:r>
    </w:p>
    <w:p w14:paraId="64322524" w14:textId="77777777" w:rsidR="009C313D" w:rsidRPr="00D824AD" w:rsidRDefault="009C313D" w:rsidP="009C313D">
      <w:pPr>
        <w:pStyle w:val="ListParagraph"/>
        <w:rPr>
          <w:rFonts w:ascii="Garamond" w:hAnsi="Garamond"/>
          <w:bCs/>
          <w:sz w:val="24"/>
          <w:szCs w:val="24"/>
        </w:rPr>
      </w:pPr>
    </w:p>
    <w:p w14:paraId="72C7D082"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06 September 2018, in the matter of Falcon Tyres Ltd and Dunlop India Ltd imposing a penalty of </w:t>
      </w:r>
      <w:r w:rsidRPr="00D824AD">
        <w:rPr>
          <w:rFonts w:ascii="Cambria Math" w:hAnsi="Cambria Math" w:cs="Cambria Math"/>
          <w:bCs/>
        </w:rPr>
        <w:t>₹</w:t>
      </w:r>
      <w:r w:rsidRPr="00D824AD">
        <w:rPr>
          <w:rFonts w:ascii="Garamond" w:hAnsi="Garamond"/>
          <w:bCs/>
        </w:rPr>
        <w:t xml:space="preserve"> 10,00,000 (Rupees Ten Lakh Only) each on Stephens Financial Services P Ltd, Sonali Kumar Roy and Satya N Singh for the violation of section 11C(3) and 11C(5) of SEBI Act, 1992.</w:t>
      </w:r>
    </w:p>
    <w:p w14:paraId="769703C8" w14:textId="77777777" w:rsidR="009C313D" w:rsidRPr="00D824AD" w:rsidRDefault="009C313D" w:rsidP="009C313D">
      <w:pPr>
        <w:pStyle w:val="ListParagraph"/>
        <w:rPr>
          <w:rFonts w:ascii="Garamond" w:hAnsi="Garamond"/>
          <w:bCs/>
          <w:sz w:val="24"/>
          <w:szCs w:val="24"/>
        </w:rPr>
      </w:pPr>
    </w:p>
    <w:p w14:paraId="1A7919E7"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07 September 2018, in the matter of Incap Financial Services Ltd imposing a total penalty of </w:t>
      </w:r>
      <w:r w:rsidRPr="00D824AD">
        <w:rPr>
          <w:rFonts w:ascii="Cambria Math" w:hAnsi="Cambria Math" w:cs="Cambria Math"/>
          <w:bCs/>
        </w:rPr>
        <w:t>₹</w:t>
      </w:r>
      <w:r w:rsidRPr="00D824AD">
        <w:rPr>
          <w:rFonts w:ascii="Garamond" w:hAnsi="Garamond"/>
          <w:bCs/>
        </w:rPr>
        <w:t xml:space="preserve"> 50,000 (Rupees Fifty Thousand Only) on Vijay Purushottam Das for the violation of regulation 13(1) of PIT Regulations.</w:t>
      </w:r>
    </w:p>
    <w:p w14:paraId="32E36B57" w14:textId="77777777" w:rsidR="009C313D" w:rsidRPr="00D824AD" w:rsidRDefault="009C313D" w:rsidP="009C313D">
      <w:pPr>
        <w:pStyle w:val="ListParagraph"/>
        <w:rPr>
          <w:rFonts w:ascii="Garamond" w:hAnsi="Garamond"/>
          <w:bCs/>
          <w:sz w:val="24"/>
          <w:szCs w:val="24"/>
        </w:rPr>
      </w:pPr>
    </w:p>
    <w:p w14:paraId="5999B9D4" w14:textId="77777777" w:rsidR="009C313D" w:rsidRPr="00D824AD" w:rsidRDefault="009C313D" w:rsidP="008C5EBB">
      <w:pPr>
        <w:pStyle w:val="Default"/>
        <w:numPr>
          <w:ilvl w:val="0"/>
          <w:numId w:val="23"/>
        </w:numPr>
        <w:ind w:left="426" w:hanging="426"/>
        <w:jc w:val="both"/>
        <w:rPr>
          <w:rFonts w:ascii="Garamond" w:hAnsi="Garamond"/>
          <w:i/>
        </w:rPr>
      </w:pPr>
      <w:r w:rsidRPr="00D824AD">
        <w:rPr>
          <w:rFonts w:ascii="Garamond" w:hAnsi="Garamond"/>
          <w:bCs/>
        </w:rPr>
        <w:t xml:space="preserve">SEBI passed an order, dated 10 September 2018, in the matter of Shakti Pumps (India) Ltd. imposing a total penalty of </w:t>
      </w:r>
      <w:r w:rsidRPr="00D824AD">
        <w:rPr>
          <w:rFonts w:ascii="Cambria Math" w:hAnsi="Cambria Math" w:cs="Cambria Math"/>
          <w:bCs/>
        </w:rPr>
        <w:t>₹</w:t>
      </w:r>
      <w:r w:rsidRPr="00D824AD">
        <w:rPr>
          <w:rFonts w:ascii="Garamond" w:hAnsi="Garamond"/>
          <w:bCs/>
        </w:rPr>
        <w:t xml:space="preserve"> 1,52,00,000 (Rupees One Crore Fifty</w:t>
      </w:r>
      <w:r>
        <w:rPr>
          <w:rFonts w:ascii="Garamond" w:hAnsi="Garamond"/>
          <w:bCs/>
        </w:rPr>
        <w:t xml:space="preserve"> </w:t>
      </w:r>
      <w:r w:rsidRPr="00D824AD">
        <w:rPr>
          <w:rFonts w:ascii="Garamond" w:hAnsi="Garamond"/>
          <w:bCs/>
        </w:rPr>
        <w:t>Two Lakh Only) on Benko Trading Private Limited and 33 others for the violation of regulation 3 (a), (b), (c), (d), 4(1), 4(2) (a), (b), (e) and (g) of PFUTP Regulations.</w:t>
      </w:r>
    </w:p>
    <w:p w14:paraId="797ACFF5" w14:textId="77777777" w:rsidR="009C313D" w:rsidRPr="00D824AD" w:rsidRDefault="009C313D" w:rsidP="009C313D">
      <w:pPr>
        <w:pStyle w:val="ListParagraph"/>
        <w:rPr>
          <w:rFonts w:ascii="Garamond" w:hAnsi="Garamond"/>
          <w:i/>
          <w:strike/>
          <w:sz w:val="24"/>
          <w:szCs w:val="24"/>
        </w:rPr>
      </w:pPr>
    </w:p>
    <w:p w14:paraId="7788D0F4" w14:textId="77777777" w:rsidR="009C313D" w:rsidRPr="00D824AD" w:rsidRDefault="009C313D" w:rsidP="008C5EBB">
      <w:pPr>
        <w:pStyle w:val="Default"/>
        <w:numPr>
          <w:ilvl w:val="0"/>
          <w:numId w:val="23"/>
        </w:numPr>
        <w:ind w:left="426" w:hanging="426"/>
        <w:jc w:val="both"/>
        <w:rPr>
          <w:rFonts w:ascii="Garamond" w:hAnsi="Garamond"/>
          <w:i/>
        </w:rPr>
      </w:pPr>
      <w:r w:rsidRPr="00D824AD">
        <w:rPr>
          <w:rFonts w:ascii="Garamond" w:hAnsi="Garamond"/>
          <w:bCs/>
        </w:rPr>
        <w:t xml:space="preserve">SEBI passed an order, dated 12 September 2018, in the matter of RCL Foods Limited imposing a penalty of </w:t>
      </w:r>
      <w:r w:rsidRPr="00D824AD">
        <w:rPr>
          <w:rFonts w:ascii="Cambria Math" w:hAnsi="Cambria Math" w:cs="Cambria Math"/>
          <w:bCs/>
        </w:rPr>
        <w:t>₹</w:t>
      </w:r>
      <w:r w:rsidRPr="00D824AD">
        <w:rPr>
          <w:rFonts w:ascii="Garamond" w:hAnsi="Garamond"/>
          <w:bCs/>
        </w:rPr>
        <w:t xml:space="preserve"> 1,00,000 (Rupees One Lakh Only) each on Mr. Ratan Chand Lodha and Ms. Shobha Lodha for the violation of regulation 13(4A) read with regulation 13(5) of PIT Regulations.</w:t>
      </w:r>
    </w:p>
    <w:p w14:paraId="56C510A8" w14:textId="77777777" w:rsidR="009C313D" w:rsidRPr="00D824AD" w:rsidRDefault="009C313D" w:rsidP="009C313D">
      <w:pPr>
        <w:pStyle w:val="ListParagraph"/>
        <w:rPr>
          <w:rFonts w:ascii="Garamond" w:hAnsi="Garamond"/>
          <w:i/>
          <w:sz w:val="24"/>
          <w:szCs w:val="24"/>
        </w:rPr>
      </w:pPr>
    </w:p>
    <w:p w14:paraId="611CEC26"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12 September 2018, in the matter of Gujarat Arth Ltd. imposing a total penalty of </w:t>
      </w:r>
      <w:r w:rsidRPr="00D824AD">
        <w:rPr>
          <w:rFonts w:ascii="Cambria Math" w:hAnsi="Cambria Math" w:cs="Cambria Math"/>
          <w:bCs/>
        </w:rPr>
        <w:t>₹</w:t>
      </w:r>
      <w:r w:rsidRPr="00D824AD">
        <w:rPr>
          <w:rFonts w:ascii="Garamond" w:hAnsi="Garamond"/>
          <w:bCs/>
        </w:rPr>
        <w:t xml:space="preserve"> 10,00,000 (Rupees Ten Lakh Only) on Shivram M. Meena for the violation of regulation 7(1) read with regulation 7(2) of the Takeover Regulations and regulation 13 (1) of the </w:t>
      </w:r>
      <w:r>
        <w:rPr>
          <w:rFonts w:ascii="Garamond" w:hAnsi="Garamond"/>
          <w:bCs/>
        </w:rPr>
        <w:t>PIT</w:t>
      </w:r>
      <w:r w:rsidRPr="00D824AD">
        <w:rPr>
          <w:rFonts w:ascii="Garamond" w:hAnsi="Garamond"/>
          <w:bCs/>
        </w:rPr>
        <w:t xml:space="preserve"> Regulations.</w:t>
      </w:r>
    </w:p>
    <w:p w14:paraId="2D9C55F5" w14:textId="77777777" w:rsidR="009C313D" w:rsidRPr="00C522B1" w:rsidRDefault="009C313D" w:rsidP="009C313D">
      <w:pPr>
        <w:rPr>
          <w:rFonts w:ascii="Garamond" w:hAnsi="Garamond"/>
          <w:bCs/>
        </w:rPr>
      </w:pPr>
    </w:p>
    <w:p w14:paraId="619A5DE9" w14:textId="77777777" w:rsidR="009C313D" w:rsidRPr="00C522B1" w:rsidRDefault="009C313D" w:rsidP="008C5EBB">
      <w:pPr>
        <w:pStyle w:val="Default"/>
        <w:numPr>
          <w:ilvl w:val="0"/>
          <w:numId w:val="23"/>
        </w:numPr>
        <w:ind w:left="426" w:hanging="426"/>
        <w:jc w:val="both"/>
        <w:rPr>
          <w:rFonts w:ascii="Garamond" w:hAnsi="Garamond"/>
          <w:bCs/>
        </w:rPr>
      </w:pPr>
      <w:r w:rsidRPr="00C522B1">
        <w:rPr>
          <w:rFonts w:ascii="Garamond" w:hAnsi="Garamond"/>
          <w:bCs/>
        </w:rPr>
        <w:t xml:space="preserve">SEBI passed an order, dated 14 September 2018, in matter of Sumangal Industries Limited imposing a total penalty of </w:t>
      </w:r>
      <w:r w:rsidRPr="00C522B1">
        <w:rPr>
          <w:rFonts w:ascii="Cambria Math" w:hAnsi="Cambria Math" w:cs="Cambria Math"/>
          <w:bCs/>
        </w:rPr>
        <w:t>₹</w:t>
      </w:r>
      <w:r w:rsidRPr="00C522B1">
        <w:rPr>
          <w:rFonts w:ascii="Garamond" w:hAnsi="Garamond"/>
          <w:bCs/>
        </w:rPr>
        <w:t xml:space="preserve"> 1,00,00,000 (Rupees One Crore Only) on Sumangal Industries Limited, Mr. Subrata Adhikary, Mr. Sajal Bhattacharya, Mr. Indusekhar Chakraborty, Ms. Madhumita Adhikary, Mr. Somnath Adhikary, Mr. Gopal Chandra Adhikary, Ms. Sarbani Adhikary, Mr. Astick Kumar Roy and Ms. Debika Adhikary</w:t>
      </w:r>
      <w:r>
        <w:rPr>
          <w:rFonts w:ascii="Garamond" w:hAnsi="Garamond"/>
          <w:bCs/>
        </w:rPr>
        <w:t xml:space="preserve"> </w:t>
      </w:r>
      <w:r w:rsidRPr="00C522B1">
        <w:rPr>
          <w:rFonts w:ascii="Garamond" w:hAnsi="Garamond"/>
          <w:bCs/>
        </w:rPr>
        <w:t>for not complying with the directions issued vide order dated 09 July, 2013.</w:t>
      </w:r>
    </w:p>
    <w:p w14:paraId="7A119F8A" w14:textId="77777777" w:rsidR="009C313D" w:rsidRPr="00C522B1" w:rsidRDefault="009C313D" w:rsidP="009C313D">
      <w:pPr>
        <w:rPr>
          <w:rFonts w:ascii="Garamond" w:hAnsi="Garamond"/>
          <w:bCs/>
        </w:rPr>
      </w:pPr>
    </w:p>
    <w:p w14:paraId="1122608E" w14:textId="77777777" w:rsidR="009C313D" w:rsidRPr="006B12AA" w:rsidRDefault="009C313D" w:rsidP="008C5EBB">
      <w:pPr>
        <w:pStyle w:val="Default"/>
        <w:numPr>
          <w:ilvl w:val="0"/>
          <w:numId w:val="23"/>
        </w:numPr>
        <w:ind w:left="426" w:hanging="426"/>
        <w:jc w:val="both"/>
        <w:rPr>
          <w:rFonts w:ascii="Garamond" w:hAnsi="Garamond"/>
          <w:i/>
        </w:rPr>
      </w:pPr>
      <w:r w:rsidRPr="00C522B1">
        <w:rPr>
          <w:rFonts w:ascii="Garamond" w:hAnsi="Garamond"/>
          <w:bCs/>
        </w:rPr>
        <w:t>SEBI passed an order, dated 18 September 2018, in respect of Premium Industries India Limited imposing a total penalty of Rs 6,70,000 (Rupees Six Lakh Seventy Thousand Only) on Premium</w:t>
      </w:r>
      <w:r w:rsidRPr="006B12AA">
        <w:rPr>
          <w:rFonts w:ascii="Garamond" w:hAnsi="Garamond"/>
          <w:bCs/>
        </w:rPr>
        <w:t xml:space="preserve"> Industries India Limited for its failure to obtain the SCORES authentication and also to redress investor grievances</w:t>
      </w:r>
      <w:r>
        <w:rPr>
          <w:rFonts w:ascii="Garamond" w:hAnsi="Garamond"/>
          <w:bCs/>
        </w:rPr>
        <w:t xml:space="preserve"> </w:t>
      </w:r>
      <w:r w:rsidRPr="006B12AA">
        <w:rPr>
          <w:rFonts w:ascii="Garamond" w:hAnsi="Garamond"/>
          <w:bCs/>
        </w:rPr>
        <w:t>pending therein.</w:t>
      </w:r>
    </w:p>
    <w:p w14:paraId="6EDEDEF5" w14:textId="77777777" w:rsidR="009C313D" w:rsidRPr="00B53C8C" w:rsidRDefault="009C313D" w:rsidP="009C313D">
      <w:pPr>
        <w:pStyle w:val="ListParagraph"/>
        <w:rPr>
          <w:rFonts w:ascii="Garamond" w:hAnsi="Garamond"/>
          <w:i/>
          <w:strike/>
        </w:rPr>
      </w:pPr>
    </w:p>
    <w:p w14:paraId="771C3FC2" w14:textId="77777777" w:rsidR="009C313D" w:rsidRPr="005E1704" w:rsidRDefault="009C313D" w:rsidP="008C5EBB">
      <w:pPr>
        <w:pStyle w:val="Default"/>
        <w:numPr>
          <w:ilvl w:val="0"/>
          <w:numId w:val="23"/>
        </w:numPr>
        <w:ind w:left="426" w:hanging="426"/>
        <w:jc w:val="both"/>
        <w:rPr>
          <w:rFonts w:ascii="Garamond" w:hAnsi="Garamond"/>
          <w:i/>
        </w:rPr>
      </w:pPr>
      <w:r w:rsidRPr="005E1704">
        <w:rPr>
          <w:rFonts w:ascii="Garamond" w:hAnsi="Garamond"/>
          <w:bCs/>
        </w:rPr>
        <w:t>SEBI passed an order, dated 18 September 2018, in the matter of Karmbhoomi Real Estate Limited imposing a total penalty of Rs 50,00,000 (Rupees Fifty Lakh Only) on Karmbhoomi Real Estate Limited and its directors for the violation of  Section 12(1B) of SEBI Act and Regulation 3 of</w:t>
      </w:r>
      <w:r>
        <w:rPr>
          <w:rFonts w:ascii="Garamond" w:hAnsi="Garamond"/>
          <w:bCs/>
        </w:rPr>
        <w:t xml:space="preserve"> </w:t>
      </w:r>
      <w:r w:rsidRPr="005E1704">
        <w:rPr>
          <w:rFonts w:ascii="Garamond" w:hAnsi="Garamond"/>
          <w:bCs/>
        </w:rPr>
        <w:t>the SEBI (Collective Investment Scheme) Regulations.</w:t>
      </w:r>
    </w:p>
    <w:p w14:paraId="11C6DEE7" w14:textId="77777777" w:rsidR="009C313D" w:rsidRPr="00EF5FD3" w:rsidRDefault="009C313D" w:rsidP="009C313D">
      <w:pPr>
        <w:pStyle w:val="ListParagraph"/>
        <w:rPr>
          <w:rFonts w:ascii="Garamond" w:hAnsi="Garamond"/>
          <w:i/>
        </w:rPr>
      </w:pPr>
    </w:p>
    <w:p w14:paraId="15620D47" w14:textId="77777777" w:rsidR="009C313D" w:rsidRPr="0033604D" w:rsidRDefault="009C313D" w:rsidP="008C5EBB">
      <w:pPr>
        <w:pStyle w:val="Default"/>
        <w:numPr>
          <w:ilvl w:val="0"/>
          <w:numId w:val="23"/>
        </w:numPr>
        <w:ind w:left="426" w:hanging="426"/>
        <w:jc w:val="both"/>
        <w:rPr>
          <w:rFonts w:ascii="Garamond" w:hAnsi="Garamond"/>
          <w:bCs/>
        </w:rPr>
      </w:pPr>
      <w:r w:rsidRPr="0033604D">
        <w:rPr>
          <w:rFonts w:ascii="Garamond" w:hAnsi="Garamond"/>
          <w:bCs/>
        </w:rPr>
        <w:t>SEBI passed an order, dated 19 September 2018, in respect of Cardinal Capital Partners imposing a total penalty of Rs 3,00,000 (Rupees Three Lakh Only) on Cardinal Capital Partners for the violation of Regulation 7A and Regulation 13A of FII Regulations and SEBI Circular CIR/IMD/FIIC/1/2010 dated April 15, 2010 and regulation 10(c) of FII Regulations corresponding to Regulation 23(1)(c) of FPI</w:t>
      </w:r>
      <w:r>
        <w:rPr>
          <w:rFonts w:ascii="Garamond" w:hAnsi="Garamond"/>
          <w:bCs/>
        </w:rPr>
        <w:t xml:space="preserve"> Regulations.</w:t>
      </w:r>
    </w:p>
    <w:p w14:paraId="6DA40999" w14:textId="77777777" w:rsidR="009C313D" w:rsidRDefault="009C313D" w:rsidP="009C313D">
      <w:pPr>
        <w:pStyle w:val="ListParagraph"/>
        <w:rPr>
          <w:rFonts w:ascii="Garamond" w:hAnsi="Garamond"/>
          <w:bCs/>
        </w:rPr>
      </w:pPr>
    </w:p>
    <w:p w14:paraId="4911243F" w14:textId="77777777" w:rsidR="009C313D" w:rsidRDefault="009C313D" w:rsidP="008C5EBB">
      <w:pPr>
        <w:pStyle w:val="Default"/>
        <w:numPr>
          <w:ilvl w:val="0"/>
          <w:numId w:val="23"/>
        </w:numPr>
        <w:ind w:left="426" w:hanging="426"/>
        <w:jc w:val="both"/>
        <w:rPr>
          <w:rFonts w:ascii="Garamond" w:hAnsi="Garamond"/>
          <w:bCs/>
        </w:rPr>
      </w:pPr>
      <w:r w:rsidRPr="006A5ADB">
        <w:rPr>
          <w:rFonts w:ascii="Garamond" w:hAnsi="Garamond"/>
          <w:bCs/>
        </w:rPr>
        <w:t>SEBI passed an order, dated 19 September 2018, in the matter of inspection of books and records of S K Infosolutions Pvt Ltd imposing a total penalty of Rs 5,00,000 (Rupees Five Lakh Only) on S K Infosolutions Pvt Ltd for the violation of</w:t>
      </w:r>
      <w:r>
        <w:rPr>
          <w:rFonts w:ascii="Garamond" w:hAnsi="Garamond"/>
          <w:bCs/>
        </w:rPr>
        <w:t>:</w:t>
      </w:r>
    </w:p>
    <w:p w14:paraId="31A873DB" w14:textId="77777777" w:rsidR="009C313D" w:rsidRDefault="009C313D" w:rsidP="008C5EBB">
      <w:pPr>
        <w:pStyle w:val="Default"/>
        <w:numPr>
          <w:ilvl w:val="1"/>
          <w:numId w:val="23"/>
        </w:numPr>
        <w:ind w:left="851"/>
        <w:jc w:val="both"/>
        <w:rPr>
          <w:rFonts w:ascii="Garamond" w:hAnsi="Garamond"/>
          <w:bCs/>
        </w:rPr>
      </w:pPr>
      <w:r w:rsidRPr="006A5ADB">
        <w:rPr>
          <w:rFonts w:ascii="Garamond" w:hAnsi="Garamond"/>
          <w:bCs/>
        </w:rPr>
        <w:t xml:space="preserve"> Regulation 9A (1)(b) of SEBI(Registrars to an Issue and Share Transfer Agents), Regulations,</w:t>
      </w:r>
    </w:p>
    <w:p w14:paraId="267172C6" w14:textId="77777777" w:rsidR="009C313D" w:rsidRDefault="009C313D" w:rsidP="008C5EBB">
      <w:pPr>
        <w:pStyle w:val="Default"/>
        <w:numPr>
          <w:ilvl w:val="1"/>
          <w:numId w:val="23"/>
        </w:numPr>
        <w:ind w:left="851"/>
        <w:jc w:val="both"/>
        <w:rPr>
          <w:rFonts w:ascii="Garamond" w:hAnsi="Garamond"/>
          <w:bCs/>
        </w:rPr>
      </w:pPr>
      <w:r w:rsidRPr="006A5ADB">
        <w:rPr>
          <w:rFonts w:ascii="Garamond" w:hAnsi="Garamond"/>
          <w:bCs/>
        </w:rPr>
        <w:t>Instruction 1 under heading “Agreement to be entered into with Issuer / body corporate”</w:t>
      </w:r>
      <w:r>
        <w:rPr>
          <w:rFonts w:ascii="Garamond" w:hAnsi="Garamond"/>
          <w:bCs/>
        </w:rPr>
        <w:t xml:space="preserve"> </w:t>
      </w:r>
      <w:r w:rsidRPr="006A5ADB">
        <w:rPr>
          <w:rFonts w:ascii="Garamond" w:hAnsi="Garamond"/>
          <w:bCs/>
        </w:rPr>
        <w:t>of RRTI Circular No. 1(94-95) dated 11/10/2014</w:t>
      </w:r>
      <w:r>
        <w:rPr>
          <w:rFonts w:ascii="Garamond" w:hAnsi="Garamond"/>
          <w:bCs/>
        </w:rPr>
        <w:t>,</w:t>
      </w:r>
    </w:p>
    <w:p w14:paraId="694CE414" w14:textId="77777777" w:rsidR="009C313D" w:rsidRDefault="009C313D" w:rsidP="008C5EBB">
      <w:pPr>
        <w:pStyle w:val="Default"/>
        <w:numPr>
          <w:ilvl w:val="1"/>
          <w:numId w:val="23"/>
        </w:numPr>
        <w:ind w:left="851"/>
        <w:jc w:val="both"/>
        <w:rPr>
          <w:rFonts w:ascii="Garamond" w:hAnsi="Garamond"/>
          <w:bCs/>
        </w:rPr>
      </w:pPr>
      <w:r w:rsidRPr="006A5ADB">
        <w:rPr>
          <w:rFonts w:ascii="Garamond" w:hAnsi="Garamond"/>
          <w:bCs/>
        </w:rPr>
        <w:t>Clause 9 (1) of SEBI (Prohibition of Insider Trading) Regulations and</w:t>
      </w:r>
    </w:p>
    <w:p w14:paraId="45D6BE6A" w14:textId="77777777" w:rsidR="009C313D" w:rsidRPr="006A5ADB" w:rsidRDefault="009C313D" w:rsidP="008C5EBB">
      <w:pPr>
        <w:pStyle w:val="Default"/>
        <w:numPr>
          <w:ilvl w:val="1"/>
          <w:numId w:val="23"/>
        </w:numPr>
        <w:ind w:left="851"/>
        <w:jc w:val="both"/>
        <w:rPr>
          <w:rFonts w:ascii="Garamond" w:hAnsi="Garamond"/>
          <w:bCs/>
        </w:rPr>
      </w:pPr>
      <w:r w:rsidRPr="006A5ADB">
        <w:rPr>
          <w:rFonts w:ascii="Garamond" w:hAnsi="Garamond"/>
          <w:bCs/>
        </w:rPr>
        <w:t>Regulation 18 (2) and clause 2 of Code of Conduct read with Regulation 13 of RTA &amp; STA Regulations.</w:t>
      </w:r>
    </w:p>
    <w:p w14:paraId="5A53B89B" w14:textId="77777777" w:rsidR="009C313D" w:rsidRDefault="009C313D" w:rsidP="009C313D">
      <w:pPr>
        <w:pStyle w:val="ListParagraph"/>
        <w:rPr>
          <w:rFonts w:ascii="Garamond" w:hAnsi="Garamond"/>
          <w:bCs/>
        </w:rPr>
      </w:pPr>
    </w:p>
    <w:p w14:paraId="58DDF2D1" w14:textId="77777777" w:rsidR="009C313D" w:rsidRPr="00BE5853" w:rsidRDefault="009C313D" w:rsidP="008C5EBB">
      <w:pPr>
        <w:pStyle w:val="Default"/>
        <w:numPr>
          <w:ilvl w:val="0"/>
          <w:numId w:val="23"/>
        </w:numPr>
        <w:ind w:left="426" w:hanging="426"/>
        <w:jc w:val="both"/>
        <w:rPr>
          <w:rFonts w:ascii="Garamond" w:hAnsi="Garamond"/>
          <w:bCs/>
        </w:rPr>
      </w:pPr>
      <w:r w:rsidRPr="005B3BEA">
        <w:rPr>
          <w:rFonts w:ascii="Garamond" w:hAnsi="Garamond"/>
          <w:bCs/>
        </w:rPr>
        <w:t xml:space="preserve">SEBI passed an order, dated 19 September 2018, in respect of Gujarat Meditech Limited imposing a total penalty of Rs 2,00,000 (Rupees Two Lakh Only) on Gujarat Meditech Limited for the violation of </w:t>
      </w:r>
      <w:r w:rsidRPr="00D422E2">
        <w:rPr>
          <w:rFonts w:ascii="Garamond" w:hAnsi="Garamond"/>
          <w:bCs/>
        </w:rPr>
        <w:t>the provisions of Regulation 7(3) of</w:t>
      </w:r>
      <w:r w:rsidRPr="005B3BEA">
        <w:rPr>
          <w:rFonts w:ascii="Garamond" w:hAnsi="Garamond"/>
          <w:bCs/>
        </w:rPr>
        <w:t xml:space="preserve"> SAST Regulations.</w:t>
      </w:r>
    </w:p>
    <w:p w14:paraId="55B913F7" w14:textId="77777777" w:rsidR="009C313D" w:rsidRDefault="009C313D" w:rsidP="009C313D">
      <w:pPr>
        <w:pStyle w:val="ListParagraph"/>
        <w:rPr>
          <w:rFonts w:ascii="Garamond" w:hAnsi="Garamond"/>
          <w:bCs/>
        </w:rPr>
      </w:pPr>
    </w:p>
    <w:p w14:paraId="383FD4FB" w14:textId="77777777" w:rsidR="009C313D" w:rsidRPr="00296D86" w:rsidRDefault="009C313D" w:rsidP="008C5EBB">
      <w:pPr>
        <w:pStyle w:val="Default"/>
        <w:numPr>
          <w:ilvl w:val="0"/>
          <w:numId w:val="23"/>
        </w:numPr>
        <w:ind w:left="426" w:hanging="426"/>
        <w:jc w:val="both"/>
        <w:rPr>
          <w:rFonts w:ascii="Garamond" w:hAnsi="Garamond"/>
          <w:bCs/>
        </w:rPr>
      </w:pPr>
      <w:r w:rsidRPr="00296D86">
        <w:rPr>
          <w:rFonts w:ascii="Garamond" w:hAnsi="Garamond"/>
          <w:bCs/>
        </w:rPr>
        <w:t>SEBI passed an order, dated 19 September 2018, in respect of Gold Dust Trading Co. imposing a total penalty of Rs 4,00,000 (Rupees Four Lakh Only) on Gold Dust Trading Co. (Prop. Shri Harjit Jantri Singh) for the violation of the provisions of Regulation 29(1) and Regulation</w:t>
      </w:r>
      <w:r>
        <w:rPr>
          <w:rFonts w:ascii="Garamond" w:hAnsi="Garamond"/>
          <w:bCs/>
        </w:rPr>
        <w:t xml:space="preserve"> </w:t>
      </w:r>
      <w:r w:rsidRPr="00296D86">
        <w:rPr>
          <w:rFonts w:ascii="Garamond" w:hAnsi="Garamond"/>
          <w:bCs/>
        </w:rPr>
        <w:t>29(2) of the SAST Regulations</w:t>
      </w:r>
      <w:r>
        <w:rPr>
          <w:rFonts w:ascii="Garamond" w:hAnsi="Garamond"/>
          <w:bCs/>
        </w:rPr>
        <w:t>,</w:t>
      </w:r>
      <w:r w:rsidRPr="00296D86">
        <w:rPr>
          <w:rFonts w:ascii="Garamond" w:hAnsi="Garamond"/>
          <w:bCs/>
        </w:rPr>
        <w:t xml:space="preserve"> and </w:t>
      </w:r>
      <w:r w:rsidRPr="00363B7E">
        <w:rPr>
          <w:rFonts w:ascii="Garamond" w:hAnsi="Garamond"/>
          <w:bCs/>
        </w:rPr>
        <w:t xml:space="preserve">Regulation 13(1) and Regulation 13(3) of the </w:t>
      </w:r>
      <w:r w:rsidRPr="00296D86">
        <w:rPr>
          <w:rFonts w:ascii="Garamond" w:hAnsi="Garamond"/>
          <w:bCs/>
        </w:rPr>
        <w:t>PIT Regulations.</w:t>
      </w:r>
    </w:p>
    <w:p w14:paraId="03DA6A64" w14:textId="77777777" w:rsidR="009C313D" w:rsidRDefault="009C313D" w:rsidP="009C313D">
      <w:pPr>
        <w:pStyle w:val="ListParagraph"/>
        <w:rPr>
          <w:rFonts w:ascii="Garamond" w:hAnsi="Garamond"/>
          <w:bCs/>
        </w:rPr>
      </w:pPr>
    </w:p>
    <w:p w14:paraId="6D30438F" w14:textId="77777777" w:rsidR="009C313D" w:rsidRDefault="009C313D" w:rsidP="008C5EBB">
      <w:pPr>
        <w:pStyle w:val="Default"/>
        <w:numPr>
          <w:ilvl w:val="0"/>
          <w:numId w:val="23"/>
        </w:numPr>
        <w:ind w:left="426" w:hanging="426"/>
        <w:jc w:val="both"/>
        <w:rPr>
          <w:rFonts w:ascii="Garamond" w:hAnsi="Garamond"/>
          <w:bCs/>
        </w:rPr>
      </w:pPr>
      <w:r w:rsidRPr="00972347">
        <w:rPr>
          <w:rFonts w:ascii="Garamond" w:hAnsi="Garamond"/>
          <w:bCs/>
        </w:rPr>
        <w:t>SEBI passed an order, dated 19 September 2018, in the matter of Excel Castronics Ltd. imposing a total penalty of Rs 4,00,000 (Rupees Four Lakh Only) on Sampati Financial Services Ltd. for the violation of</w:t>
      </w:r>
      <w:r>
        <w:rPr>
          <w:rFonts w:ascii="Garamond" w:hAnsi="Garamond"/>
          <w:bCs/>
        </w:rPr>
        <w:t xml:space="preserve"> </w:t>
      </w:r>
      <w:r w:rsidRPr="00972347">
        <w:rPr>
          <w:rFonts w:ascii="Garamond" w:hAnsi="Garamond"/>
          <w:bCs/>
        </w:rPr>
        <w:t>Regulation 13(1) read with 13(5) of PIT Regulations and Regulation 29(1) read</w:t>
      </w:r>
      <w:r>
        <w:rPr>
          <w:rFonts w:ascii="Garamond" w:hAnsi="Garamond"/>
          <w:bCs/>
        </w:rPr>
        <w:t xml:space="preserve"> </w:t>
      </w:r>
      <w:r w:rsidRPr="00972347">
        <w:rPr>
          <w:rFonts w:ascii="Garamond" w:hAnsi="Garamond"/>
          <w:bCs/>
        </w:rPr>
        <w:t>with Regulation 29(3) of SAST Regulations.</w:t>
      </w:r>
    </w:p>
    <w:p w14:paraId="6F9CBEDB" w14:textId="77777777" w:rsidR="009C313D" w:rsidRDefault="009C313D" w:rsidP="009C313D">
      <w:pPr>
        <w:pStyle w:val="ListParagraph"/>
        <w:rPr>
          <w:rFonts w:ascii="Garamond" w:hAnsi="Garamond"/>
          <w:bCs/>
        </w:rPr>
      </w:pPr>
    </w:p>
    <w:p w14:paraId="6B52C5C7" w14:textId="77777777" w:rsidR="009C313D" w:rsidRDefault="009C313D" w:rsidP="008C5EBB">
      <w:pPr>
        <w:pStyle w:val="Default"/>
        <w:numPr>
          <w:ilvl w:val="0"/>
          <w:numId w:val="23"/>
        </w:numPr>
        <w:ind w:left="426" w:hanging="426"/>
        <w:jc w:val="both"/>
        <w:rPr>
          <w:rFonts w:ascii="Garamond" w:hAnsi="Garamond"/>
          <w:bCs/>
        </w:rPr>
      </w:pPr>
      <w:r w:rsidRPr="006F0A56">
        <w:rPr>
          <w:rFonts w:ascii="Garamond" w:hAnsi="Garamond"/>
          <w:bCs/>
        </w:rPr>
        <w:t xml:space="preserve">SEBI passed an order, dated 21 September 2018, in the matter of GCV Services Limited imposing a total penalty of Rs 1,00,000 (Rupees One Lakh Only) on Prakash B. Dhebhar HUF for the violation of </w:t>
      </w:r>
      <w:r>
        <w:rPr>
          <w:rFonts w:ascii="Garamond" w:hAnsi="Garamond"/>
          <w:bCs/>
        </w:rPr>
        <w:t xml:space="preserve">regulation </w:t>
      </w:r>
      <w:r w:rsidRPr="006F0A56">
        <w:rPr>
          <w:rFonts w:ascii="Garamond" w:hAnsi="Garamond"/>
          <w:bCs/>
        </w:rPr>
        <w:t>3(3) and 3(4) read with 3(5),</w:t>
      </w:r>
      <w:r>
        <w:rPr>
          <w:rFonts w:ascii="Garamond" w:hAnsi="Garamond"/>
          <w:bCs/>
        </w:rPr>
        <w:t xml:space="preserve"> 7(1) read with 7(2)</w:t>
      </w:r>
      <w:r w:rsidRPr="006F0A56">
        <w:rPr>
          <w:rFonts w:ascii="Garamond" w:hAnsi="Garamond"/>
          <w:bCs/>
        </w:rPr>
        <w:t xml:space="preserve"> of </w:t>
      </w:r>
      <w:r>
        <w:rPr>
          <w:rFonts w:ascii="Garamond" w:hAnsi="Garamond"/>
          <w:bCs/>
        </w:rPr>
        <w:t>SAST</w:t>
      </w:r>
      <w:r w:rsidRPr="006F0A56">
        <w:rPr>
          <w:rFonts w:ascii="Garamond" w:hAnsi="Garamond"/>
          <w:bCs/>
        </w:rPr>
        <w:t xml:space="preserve"> Regulations and </w:t>
      </w:r>
      <w:r>
        <w:rPr>
          <w:rFonts w:ascii="Garamond" w:hAnsi="Garamond"/>
          <w:bCs/>
        </w:rPr>
        <w:t xml:space="preserve">regulation </w:t>
      </w:r>
      <w:r w:rsidRPr="00223B0B">
        <w:rPr>
          <w:rFonts w:ascii="Garamond" w:hAnsi="Garamond"/>
          <w:bCs/>
        </w:rPr>
        <w:t>13(1)</w:t>
      </w:r>
      <w:r>
        <w:rPr>
          <w:rFonts w:ascii="Garamond" w:hAnsi="Garamond"/>
          <w:bCs/>
        </w:rPr>
        <w:t xml:space="preserve"> PIT </w:t>
      </w:r>
      <w:r w:rsidRPr="006F0A56">
        <w:rPr>
          <w:rFonts w:ascii="Garamond" w:hAnsi="Garamond"/>
          <w:bCs/>
        </w:rPr>
        <w:t>Regulations.</w:t>
      </w:r>
    </w:p>
    <w:p w14:paraId="617A44A0" w14:textId="77777777" w:rsidR="009C313D" w:rsidRDefault="009C313D" w:rsidP="009C313D">
      <w:pPr>
        <w:pStyle w:val="ListParagraph"/>
        <w:rPr>
          <w:rFonts w:ascii="Garamond" w:hAnsi="Garamond"/>
          <w:bCs/>
        </w:rPr>
      </w:pPr>
    </w:p>
    <w:p w14:paraId="2AA7862B" w14:textId="77777777" w:rsidR="009C313D" w:rsidRPr="00837AD7" w:rsidRDefault="009C313D" w:rsidP="008C5EBB">
      <w:pPr>
        <w:pStyle w:val="Default"/>
        <w:numPr>
          <w:ilvl w:val="0"/>
          <w:numId w:val="23"/>
        </w:numPr>
        <w:ind w:left="426" w:hanging="426"/>
        <w:jc w:val="both"/>
        <w:rPr>
          <w:rFonts w:ascii="Garamond" w:hAnsi="Garamond"/>
          <w:bCs/>
        </w:rPr>
      </w:pPr>
      <w:r w:rsidRPr="00837AD7">
        <w:rPr>
          <w:rFonts w:ascii="Garamond" w:hAnsi="Garamond"/>
          <w:bCs/>
        </w:rPr>
        <w:t>SEBI passed an order, dated 21 September 2018, in the matter of Falcon Tyres Ltd imposing a total penalty of Rs 35,00,000 (Rupees Thirty Five Lakh Only) on Falcon Tyres Ltd for the violation of Section 11C (3) of SEBI Act.</w:t>
      </w:r>
    </w:p>
    <w:p w14:paraId="77D2E381" w14:textId="77777777" w:rsidR="009C313D" w:rsidRDefault="009C313D" w:rsidP="009C313D">
      <w:pPr>
        <w:pStyle w:val="ListParagraph"/>
        <w:rPr>
          <w:rFonts w:ascii="Garamond" w:hAnsi="Garamond"/>
          <w:bCs/>
        </w:rPr>
      </w:pPr>
    </w:p>
    <w:p w14:paraId="706EBB6E" w14:textId="77777777" w:rsidR="009C313D" w:rsidRPr="00C522B1" w:rsidRDefault="009C313D" w:rsidP="008C5EBB">
      <w:pPr>
        <w:pStyle w:val="Default"/>
        <w:numPr>
          <w:ilvl w:val="0"/>
          <w:numId w:val="23"/>
        </w:numPr>
        <w:ind w:left="426" w:hanging="426"/>
        <w:jc w:val="both"/>
        <w:rPr>
          <w:rFonts w:ascii="Garamond" w:hAnsi="Garamond"/>
          <w:bCs/>
        </w:rPr>
      </w:pPr>
      <w:r w:rsidRPr="00B46152">
        <w:rPr>
          <w:rFonts w:ascii="Garamond" w:hAnsi="Garamond"/>
          <w:bCs/>
        </w:rPr>
        <w:t>SEBI passed an order, dated 21 September 2018, in the matter of Excel Castronics Ltd. imposing a total penalty of Rs 4,00,000 (Rupees Four Lakh Only) on Payal J Madiyar for the violation of Regulation 13(1) read with 13(5) of PIT Regulations and Regulation 29(1) read with Regulation 29(3) of SAST</w:t>
      </w:r>
      <w:r>
        <w:rPr>
          <w:rFonts w:ascii="Garamond" w:hAnsi="Garamond"/>
          <w:bCs/>
        </w:rPr>
        <w:t xml:space="preserve"> </w:t>
      </w:r>
      <w:r w:rsidRPr="00B46152">
        <w:rPr>
          <w:rFonts w:ascii="Garamond" w:hAnsi="Garamond"/>
          <w:bCs/>
        </w:rPr>
        <w:t>Regulations.</w:t>
      </w:r>
    </w:p>
    <w:p w14:paraId="631956A2" w14:textId="77777777" w:rsidR="009C313D" w:rsidRPr="00D824AD" w:rsidRDefault="009C313D" w:rsidP="009C313D">
      <w:pPr>
        <w:rPr>
          <w:rFonts w:ascii="Garamond" w:hAnsi="Garamond"/>
          <w:bCs/>
        </w:rPr>
      </w:pPr>
    </w:p>
    <w:p w14:paraId="5E1D5F70" w14:textId="77777777" w:rsidR="009C313D" w:rsidRPr="00D824AD" w:rsidRDefault="009C313D" w:rsidP="008C5EBB">
      <w:pPr>
        <w:pStyle w:val="Default"/>
        <w:numPr>
          <w:ilvl w:val="0"/>
          <w:numId w:val="23"/>
        </w:numPr>
        <w:ind w:left="426" w:hanging="426"/>
        <w:jc w:val="both"/>
        <w:rPr>
          <w:rFonts w:ascii="Garamond" w:hAnsi="Garamond"/>
          <w:i/>
        </w:rPr>
      </w:pPr>
      <w:r w:rsidRPr="00D824AD">
        <w:rPr>
          <w:rFonts w:ascii="Garamond" w:hAnsi="Garamond"/>
          <w:bCs/>
        </w:rPr>
        <w:t xml:space="preserve">SEBI passed an order, dated 24 September 2018, in the matter of Binny Limited imposing a total penalty of </w:t>
      </w:r>
      <w:r>
        <w:rPr>
          <w:rFonts w:ascii="Cambria Math" w:hAnsi="Cambria Math" w:cs="Cambria Math"/>
          <w:bCs/>
        </w:rPr>
        <w:t>₹</w:t>
      </w:r>
      <w:r w:rsidRPr="00D824AD">
        <w:rPr>
          <w:rFonts w:ascii="Garamond" w:hAnsi="Garamond"/>
          <w:bCs/>
        </w:rPr>
        <w:t xml:space="preserve"> 1,00,000 (Rupees One Lakh Only) on Tiger Farms &amp; Enterprise Pvt. Ltd. for the violation of regulation 13(2A) of PIT Regulations.</w:t>
      </w:r>
    </w:p>
    <w:p w14:paraId="27E33CAE" w14:textId="77777777" w:rsidR="009C313D" w:rsidRPr="00D824AD" w:rsidRDefault="009C313D" w:rsidP="009C313D">
      <w:pPr>
        <w:pStyle w:val="ListParagraph"/>
        <w:rPr>
          <w:rFonts w:ascii="Garamond" w:hAnsi="Garamond"/>
          <w:i/>
          <w:strike/>
        </w:rPr>
      </w:pPr>
    </w:p>
    <w:p w14:paraId="539BB5C1" w14:textId="77777777" w:rsidR="009C313D" w:rsidRPr="00D824AD" w:rsidRDefault="009C313D" w:rsidP="008C5EBB">
      <w:pPr>
        <w:pStyle w:val="Default"/>
        <w:numPr>
          <w:ilvl w:val="0"/>
          <w:numId w:val="23"/>
        </w:numPr>
        <w:ind w:left="426" w:hanging="426"/>
        <w:jc w:val="both"/>
        <w:rPr>
          <w:rFonts w:ascii="Garamond" w:hAnsi="Garamond"/>
          <w:i/>
        </w:rPr>
      </w:pPr>
      <w:r w:rsidRPr="00D824AD">
        <w:rPr>
          <w:rFonts w:ascii="Garamond" w:hAnsi="Garamond"/>
          <w:bCs/>
        </w:rPr>
        <w:t xml:space="preserve">SEBI passed an order, dated 25 September 2018, in respect of Shashikant Patel (noticee) imposing a cumulative penalty of </w:t>
      </w:r>
      <w:r>
        <w:rPr>
          <w:rFonts w:ascii="Cambria Math" w:hAnsi="Cambria Math" w:cs="Cambria Math"/>
          <w:bCs/>
        </w:rPr>
        <w:t>₹</w:t>
      </w:r>
      <w:r w:rsidRPr="00D824AD">
        <w:rPr>
          <w:rFonts w:ascii="Garamond" w:hAnsi="Garamond"/>
          <w:bCs/>
        </w:rPr>
        <w:t xml:space="preserve"> 1,50,000/- (Rupees one Lakh Fifty Thousand only) on the Noticee under Section 15A (b) of the SEBI Act, 1992 for the violation of provisions of Regulation 13(4) and 13(4A) r/w Reg. 13(5) of SEBI (PIT) Regulations, 1992 and provisions of Regulation 31(2) r/w Reg. 31(3) of SEBI (SAST) Regulations, 2011, and under Section 15HB of the SEBI Act, 1992 for the violation of provisions of clause 3.3-1 of code of conduct specified under Schedule-I of Part A read with Regulation 12(1) of SEBI (PIT) Regulations, 1992 and a penalty of </w:t>
      </w:r>
      <w:r>
        <w:rPr>
          <w:rFonts w:ascii="Cambria Math" w:hAnsi="Cambria Math" w:cs="Cambria Math"/>
          <w:bCs/>
        </w:rPr>
        <w:t>₹</w:t>
      </w:r>
      <w:r w:rsidRPr="00D824AD">
        <w:rPr>
          <w:rFonts w:ascii="Garamond" w:hAnsi="Garamond"/>
          <w:bCs/>
        </w:rPr>
        <w:t xml:space="preserve"> 2,00,000 (Rupees Two Lakh only) on the Noticee under Section 15G of the SEBI Act, 1992 for the violation of Regulation 3(i) of PIT Regulations, 1992 by dealing in securities when in possession of unpublished price sensitive information which is appropriate in the facts and circumstances of the case.</w:t>
      </w:r>
    </w:p>
    <w:p w14:paraId="17987F16" w14:textId="77777777" w:rsidR="009C313D" w:rsidRPr="00D824AD" w:rsidRDefault="009C313D" w:rsidP="009C313D">
      <w:pPr>
        <w:pStyle w:val="ListParagraph"/>
        <w:rPr>
          <w:rFonts w:ascii="Garamond" w:hAnsi="Garamond"/>
          <w:i/>
        </w:rPr>
      </w:pPr>
    </w:p>
    <w:p w14:paraId="50503DE4" w14:textId="77777777" w:rsidR="009C313D" w:rsidRPr="00D824AD" w:rsidRDefault="009C313D" w:rsidP="008C5EBB">
      <w:pPr>
        <w:pStyle w:val="Default"/>
        <w:numPr>
          <w:ilvl w:val="0"/>
          <w:numId w:val="23"/>
        </w:numPr>
        <w:ind w:left="426"/>
        <w:jc w:val="both"/>
        <w:rPr>
          <w:rFonts w:ascii="Garamond" w:hAnsi="Garamond"/>
          <w:bCs/>
        </w:rPr>
      </w:pPr>
      <w:r w:rsidRPr="00D824AD">
        <w:rPr>
          <w:rFonts w:ascii="Garamond" w:hAnsi="Garamond"/>
          <w:bCs/>
        </w:rPr>
        <w:t>SEBI passed an order, dated 26 September 2018, in the matter of Vertex Spinning Ltd. imposing following penalties on 12 Entities for the violation of following provisions of SCRA and SAST Regulations.</w:t>
      </w:r>
    </w:p>
    <w:p w14:paraId="316337EF" w14:textId="77777777" w:rsidR="009C313D" w:rsidRPr="00D824AD" w:rsidRDefault="009C313D" w:rsidP="009C313D">
      <w:pPr>
        <w:pStyle w:val="ListParagraph"/>
        <w:rPr>
          <w:rFonts w:ascii="Garamond" w:hAnsi="Garamond"/>
          <w:bCs/>
        </w:rPr>
      </w:pPr>
    </w:p>
    <w:tbl>
      <w:tblPr>
        <w:tblW w:w="9031" w:type="dxa"/>
        <w:tblInd w:w="427" w:type="dxa"/>
        <w:tblCellMar>
          <w:right w:w="51" w:type="dxa"/>
        </w:tblCellMar>
        <w:tblLook w:val="04A0" w:firstRow="1" w:lastRow="0" w:firstColumn="1" w:lastColumn="0" w:noHBand="0" w:noVBand="1"/>
      </w:tblPr>
      <w:tblGrid>
        <w:gridCol w:w="955"/>
        <w:gridCol w:w="2030"/>
        <w:gridCol w:w="1297"/>
        <w:gridCol w:w="357"/>
        <w:gridCol w:w="1552"/>
        <w:gridCol w:w="1672"/>
        <w:gridCol w:w="1168"/>
      </w:tblGrid>
      <w:tr w:rsidR="009C313D" w:rsidRPr="00D824AD" w14:paraId="30D115D8" w14:textId="77777777" w:rsidTr="00560A50">
        <w:trPr>
          <w:trHeight w:val="929"/>
        </w:trPr>
        <w:tc>
          <w:tcPr>
            <w:tcW w:w="991" w:type="dxa"/>
            <w:tcBorders>
              <w:top w:val="single" w:sz="4" w:space="0" w:color="000000"/>
              <w:left w:val="single" w:sz="4" w:space="0" w:color="000000"/>
              <w:bottom w:val="single" w:sz="4" w:space="0" w:color="000000"/>
              <w:right w:val="single" w:sz="4" w:space="0" w:color="000000"/>
            </w:tcBorders>
          </w:tcPr>
          <w:p w14:paraId="46659913" w14:textId="77777777" w:rsidR="009C313D" w:rsidRPr="00D824AD" w:rsidRDefault="009C313D" w:rsidP="00560A50">
            <w:pPr>
              <w:spacing w:line="276" w:lineRule="auto"/>
              <w:ind w:left="106"/>
              <w:rPr>
                <w:rFonts w:ascii="Garamond" w:hAnsi="Garamond"/>
              </w:rPr>
            </w:pPr>
            <w:r>
              <w:rPr>
                <w:rFonts w:ascii="Garamond" w:eastAsia="Arial" w:hAnsi="Garamond" w:cs="Arial"/>
                <w:b/>
              </w:rPr>
              <w:t xml:space="preserve">Sl. </w:t>
            </w:r>
            <w:r w:rsidRPr="00D824AD">
              <w:rPr>
                <w:rFonts w:ascii="Garamond" w:eastAsia="Arial" w:hAnsi="Garamond" w:cs="Arial"/>
                <w:b/>
              </w:rPr>
              <w:t xml:space="preserve">No. </w:t>
            </w:r>
          </w:p>
        </w:tc>
        <w:tc>
          <w:tcPr>
            <w:tcW w:w="2085" w:type="dxa"/>
            <w:tcBorders>
              <w:top w:val="single" w:sz="4" w:space="0" w:color="000000"/>
              <w:left w:val="single" w:sz="4" w:space="0" w:color="000000"/>
              <w:bottom w:val="single" w:sz="4" w:space="0" w:color="000000"/>
              <w:right w:val="single" w:sz="4" w:space="0" w:color="000000"/>
            </w:tcBorders>
          </w:tcPr>
          <w:p w14:paraId="42AE5228"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Name of the </w:t>
            </w:r>
            <w:r>
              <w:rPr>
                <w:rFonts w:ascii="Garamond" w:eastAsia="Arial" w:hAnsi="Garamond" w:cs="Arial"/>
                <w:b/>
              </w:rPr>
              <w:t>Entity</w:t>
            </w:r>
            <w:r w:rsidRPr="00D824AD">
              <w:rPr>
                <w:rFonts w:ascii="Garamond" w:eastAsia="Arial" w:hAnsi="Garamond" w:cs="Arial"/>
                <w:b/>
              </w:rPr>
              <w:t xml:space="preserve"> </w:t>
            </w:r>
          </w:p>
        </w:tc>
        <w:tc>
          <w:tcPr>
            <w:tcW w:w="1259" w:type="dxa"/>
            <w:tcBorders>
              <w:top w:val="single" w:sz="4" w:space="0" w:color="000000"/>
              <w:left w:val="single" w:sz="4" w:space="0" w:color="000000"/>
              <w:bottom w:val="single" w:sz="4" w:space="0" w:color="000000"/>
              <w:right w:val="nil"/>
            </w:tcBorders>
          </w:tcPr>
          <w:p w14:paraId="3492A3B8"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Nature </w:t>
            </w:r>
            <w:r>
              <w:rPr>
                <w:rFonts w:ascii="Garamond" w:eastAsia="Arial" w:hAnsi="Garamond" w:cs="Arial"/>
                <w:b/>
              </w:rPr>
              <w:t>V</w:t>
            </w:r>
            <w:r w:rsidRPr="00D824AD">
              <w:rPr>
                <w:rFonts w:ascii="Garamond" w:eastAsia="Arial" w:hAnsi="Garamond" w:cs="Arial"/>
                <w:b/>
              </w:rPr>
              <w:t xml:space="preserve">iolations </w:t>
            </w:r>
          </w:p>
        </w:tc>
        <w:tc>
          <w:tcPr>
            <w:tcW w:w="301" w:type="dxa"/>
            <w:tcBorders>
              <w:top w:val="single" w:sz="4" w:space="0" w:color="000000"/>
              <w:left w:val="nil"/>
              <w:bottom w:val="single" w:sz="4" w:space="0" w:color="000000"/>
              <w:right w:val="single" w:sz="4" w:space="0" w:color="000000"/>
            </w:tcBorders>
          </w:tcPr>
          <w:p w14:paraId="789FA5DA" w14:textId="77777777" w:rsidR="009C313D" w:rsidRPr="00D824AD" w:rsidRDefault="009C313D" w:rsidP="00560A50">
            <w:pPr>
              <w:spacing w:line="276" w:lineRule="auto"/>
              <w:rPr>
                <w:rFonts w:ascii="Garamond" w:hAnsi="Garamond"/>
              </w:rPr>
            </w:pPr>
            <w:r w:rsidRPr="00D824AD">
              <w:rPr>
                <w:rFonts w:ascii="Garamond" w:eastAsia="Arial" w:hAnsi="Garamond" w:cs="Arial"/>
                <w:b/>
              </w:rPr>
              <w:t xml:space="preserve">of </w:t>
            </w:r>
          </w:p>
        </w:tc>
        <w:tc>
          <w:tcPr>
            <w:tcW w:w="1558" w:type="dxa"/>
            <w:tcBorders>
              <w:top w:val="single" w:sz="4" w:space="0" w:color="000000"/>
              <w:left w:val="single" w:sz="4" w:space="0" w:color="000000"/>
              <w:bottom w:val="single" w:sz="4" w:space="0" w:color="000000"/>
              <w:right w:val="single" w:sz="4" w:space="0" w:color="000000"/>
            </w:tcBorders>
          </w:tcPr>
          <w:p w14:paraId="1FAA9E7F" w14:textId="77777777" w:rsidR="009C313D" w:rsidRPr="00D824AD" w:rsidRDefault="009C313D" w:rsidP="00560A50">
            <w:pPr>
              <w:ind w:left="108"/>
              <w:rPr>
                <w:rFonts w:ascii="Garamond" w:hAnsi="Garamond"/>
              </w:rPr>
            </w:pPr>
            <w:r w:rsidRPr="00D824AD">
              <w:rPr>
                <w:rFonts w:ascii="Garamond" w:eastAsia="Arial" w:hAnsi="Garamond" w:cs="Arial"/>
                <w:b/>
              </w:rPr>
              <w:t xml:space="preserve">Violation </w:t>
            </w:r>
            <w:r w:rsidRPr="00D824AD">
              <w:rPr>
                <w:rFonts w:ascii="Garamond" w:eastAsia="Arial" w:hAnsi="Garamond" w:cs="Arial"/>
                <w:b/>
              </w:rPr>
              <w:tab/>
              <w:t xml:space="preserve">of </w:t>
            </w:r>
          </w:p>
          <w:p w14:paraId="6F8F432E" w14:textId="77777777" w:rsidR="009C313D" w:rsidRPr="00D824AD" w:rsidRDefault="009C313D" w:rsidP="00560A50">
            <w:pPr>
              <w:ind w:left="108"/>
              <w:rPr>
                <w:rFonts w:ascii="Garamond" w:hAnsi="Garamond"/>
              </w:rPr>
            </w:pPr>
            <w:r w:rsidRPr="00D824AD">
              <w:rPr>
                <w:rFonts w:ascii="Garamond" w:eastAsia="Arial" w:hAnsi="Garamond" w:cs="Arial"/>
                <w:b/>
              </w:rPr>
              <w:t xml:space="preserve">Act </w:t>
            </w:r>
            <w:r w:rsidRPr="00D824AD">
              <w:rPr>
                <w:rFonts w:ascii="Garamond" w:eastAsia="Arial" w:hAnsi="Garamond" w:cs="Arial"/>
                <w:b/>
              </w:rPr>
              <w:tab/>
              <w:t xml:space="preserve">/ </w:t>
            </w:r>
          </w:p>
          <w:p w14:paraId="66111BC4" w14:textId="77777777" w:rsidR="009C313D" w:rsidRPr="00D824AD" w:rsidRDefault="009C313D" w:rsidP="00560A50">
            <w:pPr>
              <w:ind w:left="108"/>
              <w:rPr>
                <w:rFonts w:ascii="Garamond" w:hAnsi="Garamond"/>
              </w:rPr>
            </w:pPr>
            <w:r w:rsidRPr="00D824AD">
              <w:rPr>
                <w:rFonts w:ascii="Garamond" w:eastAsia="Arial" w:hAnsi="Garamond" w:cs="Arial"/>
                <w:b/>
              </w:rPr>
              <w:t xml:space="preserve">Notification / </w:t>
            </w:r>
          </w:p>
          <w:p w14:paraId="39632950"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Regulation </w:t>
            </w:r>
          </w:p>
        </w:tc>
        <w:tc>
          <w:tcPr>
            <w:tcW w:w="1702" w:type="dxa"/>
            <w:tcBorders>
              <w:top w:val="single" w:sz="4" w:space="0" w:color="000000"/>
              <w:left w:val="single" w:sz="4" w:space="0" w:color="000000"/>
              <w:bottom w:val="single" w:sz="4" w:space="0" w:color="000000"/>
              <w:right w:val="single" w:sz="4" w:space="0" w:color="000000"/>
            </w:tcBorders>
          </w:tcPr>
          <w:p w14:paraId="2C34A640"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Penalty </w:t>
            </w:r>
            <w:r>
              <w:rPr>
                <w:rFonts w:ascii="Garamond" w:eastAsia="Arial" w:hAnsi="Garamond" w:cs="Arial"/>
                <w:b/>
              </w:rPr>
              <w:t>A</w:t>
            </w:r>
            <w:r w:rsidRPr="00D824AD">
              <w:rPr>
                <w:rFonts w:ascii="Garamond" w:eastAsia="Arial" w:hAnsi="Garamond" w:cs="Arial"/>
                <w:b/>
              </w:rPr>
              <w:t xml:space="preserve">mount in </w:t>
            </w:r>
            <w:r>
              <w:rPr>
                <w:rFonts w:ascii="Garamond" w:eastAsia="Arial" w:hAnsi="Garamond" w:cs="Arial"/>
                <w:b/>
              </w:rPr>
              <w:t>Figures</w:t>
            </w:r>
            <w:r w:rsidRPr="00D824AD">
              <w:rPr>
                <w:rFonts w:ascii="Garamond" w:eastAsia="Arial" w:hAnsi="Garamond" w:cs="Arial"/>
                <w:b/>
              </w:rPr>
              <w:t xml:space="preserve">and </w:t>
            </w:r>
            <w:r>
              <w:rPr>
                <w:rFonts w:ascii="Garamond" w:eastAsia="Arial" w:hAnsi="Garamond" w:cs="Arial"/>
                <w:b/>
              </w:rPr>
              <w:t>W</w:t>
            </w:r>
            <w:r w:rsidRPr="00D824AD">
              <w:rPr>
                <w:rFonts w:ascii="Garamond" w:eastAsia="Arial" w:hAnsi="Garamond" w:cs="Arial"/>
                <w:b/>
              </w:rPr>
              <w:t xml:space="preserve">ords </w:t>
            </w:r>
          </w:p>
        </w:tc>
        <w:tc>
          <w:tcPr>
            <w:tcW w:w="1135" w:type="dxa"/>
            <w:tcBorders>
              <w:top w:val="single" w:sz="4" w:space="0" w:color="000000"/>
              <w:left w:val="single" w:sz="4" w:space="0" w:color="000000"/>
              <w:bottom w:val="single" w:sz="4" w:space="0" w:color="000000"/>
              <w:right w:val="single" w:sz="4" w:space="0" w:color="000000"/>
            </w:tcBorders>
          </w:tcPr>
          <w:p w14:paraId="7ADAA3F6"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Penalty </w:t>
            </w:r>
            <w:r>
              <w:rPr>
                <w:rFonts w:ascii="Garamond" w:eastAsia="Arial" w:hAnsi="Garamond" w:cs="Arial"/>
                <w:b/>
              </w:rPr>
              <w:t>I</w:t>
            </w:r>
            <w:r w:rsidRPr="00D824AD">
              <w:rPr>
                <w:rFonts w:ascii="Garamond" w:eastAsia="Arial" w:hAnsi="Garamond" w:cs="Arial"/>
                <w:b/>
              </w:rPr>
              <w:t xml:space="preserve">mposed under  </w:t>
            </w:r>
          </w:p>
        </w:tc>
      </w:tr>
      <w:tr w:rsidR="009C313D" w:rsidRPr="00D824AD" w14:paraId="02AE53B6" w14:textId="77777777" w:rsidTr="00560A50">
        <w:trPr>
          <w:trHeight w:val="706"/>
        </w:trPr>
        <w:tc>
          <w:tcPr>
            <w:tcW w:w="991" w:type="dxa"/>
            <w:tcBorders>
              <w:top w:val="single" w:sz="4" w:space="0" w:color="000000"/>
              <w:left w:val="single" w:sz="4" w:space="0" w:color="000000"/>
              <w:bottom w:val="single" w:sz="4" w:space="0" w:color="000000"/>
              <w:right w:val="single" w:sz="4" w:space="0" w:color="000000"/>
            </w:tcBorders>
          </w:tcPr>
          <w:p w14:paraId="603FD483"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1 </w:t>
            </w:r>
          </w:p>
        </w:tc>
        <w:tc>
          <w:tcPr>
            <w:tcW w:w="2085" w:type="dxa"/>
            <w:tcBorders>
              <w:top w:val="single" w:sz="4" w:space="0" w:color="000000"/>
              <w:left w:val="single" w:sz="4" w:space="0" w:color="000000"/>
              <w:bottom w:val="single" w:sz="4" w:space="0" w:color="000000"/>
              <w:right w:val="single" w:sz="4" w:space="0" w:color="000000"/>
            </w:tcBorders>
          </w:tcPr>
          <w:p w14:paraId="0BC885A7" w14:textId="77777777" w:rsidR="009C313D" w:rsidRPr="00D824AD" w:rsidRDefault="009C313D" w:rsidP="00560A50">
            <w:pPr>
              <w:spacing w:line="276" w:lineRule="auto"/>
              <w:rPr>
                <w:rFonts w:ascii="Garamond" w:hAnsi="Garamond"/>
              </w:rPr>
            </w:pPr>
            <w:r w:rsidRPr="00D824AD">
              <w:rPr>
                <w:rFonts w:ascii="Garamond" w:hAnsi="Garamond"/>
              </w:rPr>
              <w:t xml:space="preserve">Cheta Dogra </w:t>
            </w:r>
          </w:p>
        </w:tc>
        <w:tc>
          <w:tcPr>
            <w:tcW w:w="1560" w:type="dxa"/>
            <w:gridSpan w:val="2"/>
            <w:vMerge w:val="restart"/>
            <w:tcBorders>
              <w:top w:val="single" w:sz="4" w:space="0" w:color="000000"/>
              <w:left w:val="single" w:sz="4" w:space="0" w:color="000000"/>
              <w:bottom w:val="single" w:sz="4" w:space="0" w:color="000000"/>
              <w:right w:val="single" w:sz="4" w:space="0" w:color="000000"/>
            </w:tcBorders>
          </w:tcPr>
          <w:p w14:paraId="26BC05E7" w14:textId="77777777" w:rsidR="009C313D" w:rsidRPr="00D824AD" w:rsidRDefault="009C313D" w:rsidP="00560A50">
            <w:pPr>
              <w:spacing w:line="235" w:lineRule="auto"/>
              <w:rPr>
                <w:rFonts w:ascii="Garamond" w:hAnsi="Garamond"/>
              </w:rPr>
            </w:pPr>
            <w:r w:rsidRPr="00D824AD">
              <w:rPr>
                <w:rFonts w:ascii="Garamond" w:hAnsi="Garamond"/>
              </w:rPr>
              <w:t>Received shares in off</w:t>
            </w:r>
            <w:r>
              <w:rPr>
                <w:rFonts w:ascii="Garamond" w:hAnsi="Garamond"/>
              </w:rPr>
              <w:t xml:space="preserve"> </w:t>
            </w:r>
            <w:r w:rsidRPr="00D824AD">
              <w:rPr>
                <w:rFonts w:ascii="Garamond" w:hAnsi="Garamond"/>
              </w:rPr>
              <w:t xml:space="preserve">market without payment of </w:t>
            </w:r>
          </w:p>
          <w:p w14:paraId="163B252B" w14:textId="77777777" w:rsidR="009C313D" w:rsidRPr="00D824AD" w:rsidRDefault="009C313D" w:rsidP="00560A50">
            <w:pPr>
              <w:spacing w:line="276" w:lineRule="auto"/>
              <w:rPr>
                <w:rFonts w:ascii="Garamond" w:hAnsi="Garamond"/>
              </w:rPr>
            </w:pPr>
            <w:r w:rsidRPr="00D824AD">
              <w:rPr>
                <w:rFonts w:ascii="Garamond" w:hAnsi="Garamond"/>
              </w:rPr>
              <w:t xml:space="preserve">consideration </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14:paraId="760DA993" w14:textId="77777777" w:rsidR="009C313D" w:rsidRPr="00D824AD" w:rsidRDefault="009C313D" w:rsidP="00560A50">
            <w:pPr>
              <w:spacing w:line="235" w:lineRule="auto"/>
              <w:ind w:right="1"/>
              <w:rPr>
                <w:rFonts w:ascii="Garamond" w:hAnsi="Garamond"/>
              </w:rPr>
            </w:pPr>
            <w:r w:rsidRPr="00D824AD">
              <w:rPr>
                <w:rFonts w:ascii="Garamond" w:hAnsi="Garamond"/>
              </w:rPr>
              <w:t xml:space="preserve">Section 16 of SCRA, 1956 read with SEBI </w:t>
            </w:r>
          </w:p>
          <w:p w14:paraId="052F6D22" w14:textId="77777777" w:rsidR="009C313D" w:rsidRPr="00D824AD" w:rsidRDefault="009C313D" w:rsidP="00560A50">
            <w:pPr>
              <w:rPr>
                <w:rFonts w:ascii="Garamond" w:hAnsi="Garamond"/>
              </w:rPr>
            </w:pPr>
            <w:r w:rsidRPr="00D824AD">
              <w:rPr>
                <w:rFonts w:ascii="Garamond" w:hAnsi="Garamond"/>
              </w:rPr>
              <w:t xml:space="preserve">Notification </w:t>
            </w:r>
          </w:p>
          <w:p w14:paraId="077A673B" w14:textId="77777777" w:rsidR="009C313D" w:rsidRPr="00D824AD" w:rsidRDefault="009C313D" w:rsidP="00560A50">
            <w:pPr>
              <w:spacing w:line="234" w:lineRule="auto"/>
              <w:ind w:right="1"/>
              <w:rPr>
                <w:rFonts w:ascii="Garamond" w:hAnsi="Garamond"/>
              </w:rPr>
            </w:pPr>
            <w:r w:rsidRPr="00D824AD">
              <w:rPr>
                <w:rFonts w:ascii="Garamond" w:hAnsi="Garamond"/>
              </w:rPr>
              <w:t xml:space="preserve">G.S.R 219 (E) dated March 02, 2000, </w:t>
            </w:r>
          </w:p>
          <w:p w14:paraId="7DD6E68C" w14:textId="77777777" w:rsidR="009C313D" w:rsidRPr="00D824AD" w:rsidRDefault="009C313D" w:rsidP="00560A50">
            <w:pPr>
              <w:spacing w:line="276" w:lineRule="auto"/>
              <w:rPr>
                <w:rFonts w:ascii="Garamond" w:hAnsi="Garamond"/>
              </w:rPr>
            </w:pPr>
            <w:r w:rsidRPr="00D824AD">
              <w:rPr>
                <w:rFonts w:ascii="Garamond" w:hAnsi="Garamond"/>
              </w:rPr>
              <w:t>Section 13 and Section 18 of SCRA, 1956 read with Section 2(i) of SCRA, 1956.</w:t>
            </w:r>
            <w:r w:rsidRPr="00D824AD">
              <w:rPr>
                <w:rFonts w:ascii="Garamond" w:eastAsia="Arial" w:hAnsi="Garamond" w:cs="Arial"/>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5777D4" w14:textId="77777777" w:rsidR="009C313D" w:rsidRPr="00D824AD" w:rsidRDefault="009C313D" w:rsidP="00560A50">
            <w:pPr>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10,00,000/- </w:t>
            </w:r>
          </w:p>
          <w:p w14:paraId="0E9CDA4F" w14:textId="77777777" w:rsidR="009C313D" w:rsidRPr="00D824AD" w:rsidRDefault="009C313D" w:rsidP="00560A50">
            <w:pPr>
              <w:spacing w:line="276" w:lineRule="auto"/>
              <w:jc w:val="center"/>
              <w:rPr>
                <w:rFonts w:ascii="Garamond" w:hAnsi="Garamond"/>
              </w:rPr>
            </w:pPr>
            <w:r w:rsidRPr="00D824AD">
              <w:rPr>
                <w:rFonts w:ascii="Garamond" w:hAnsi="Garamond"/>
              </w:rPr>
              <w:t>(Rupees Ten la</w:t>
            </w:r>
            <w:r>
              <w:rPr>
                <w:rFonts w:ascii="Garamond" w:hAnsi="Garamond"/>
              </w:rPr>
              <w:t>kh</w:t>
            </w:r>
            <w:r w:rsidRPr="00D824AD">
              <w:rPr>
                <w:rFonts w:ascii="Garamond" w:hAnsi="Garamond"/>
              </w:rPr>
              <w:t xml:space="preserve"> only) </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326FB775" w14:textId="77777777" w:rsidR="009C313D" w:rsidRPr="00D824AD" w:rsidRDefault="009C313D" w:rsidP="00560A50">
            <w:pPr>
              <w:rPr>
                <w:rFonts w:ascii="Garamond" w:hAnsi="Garamond"/>
              </w:rPr>
            </w:pPr>
            <w:r w:rsidRPr="00D824AD">
              <w:rPr>
                <w:rFonts w:ascii="Garamond" w:hAnsi="Garamond"/>
              </w:rPr>
              <w:t xml:space="preserve">Section </w:t>
            </w:r>
          </w:p>
          <w:p w14:paraId="02DDC42C" w14:textId="77777777" w:rsidR="009C313D" w:rsidRPr="00D824AD" w:rsidRDefault="009C313D" w:rsidP="00560A50">
            <w:pPr>
              <w:rPr>
                <w:rFonts w:ascii="Garamond" w:hAnsi="Garamond"/>
              </w:rPr>
            </w:pPr>
            <w:r w:rsidRPr="00D824AD">
              <w:rPr>
                <w:rFonts w:ascii="Garamond" w:hAnsi="Garamond"/>
              </w:rPr>
              <w:t xml:space="preserve">23H </w:t>
            </w:r>
            <w:r w:rsidRPr="00D824AD">
              <w:rPr>
                <w:rFonts w:ascii="Garamond" w:hAnsi="Garamond"/>
              </w:rPr>
              <w:tab/>
              <w:t xml:space="preserve">of </w:t>
            </w:r>
          </w:p>
          <w:p w14:paraId="10BB7619" w14:textId="77777777" w:rsidR="009C313D" w:rsidRPr="00D824AD" w:rsidRDefault="009C313D" w:rsidP="00560A50">
            <w:pPr>
              <w:spacing w:line="276" w:lineRule="auto"/>
              <w:rPr>
                <w:rFonts w:ascii="Garamond" w:hAnsi="Garamond"/>
              </w:rPr>
            </w:pPr>
            <w:r w:rsidRPr="00D824AD">
              <w:rPr>
                <w:rFonts w:ascii="Garamond" w:hAnsi="Garamond"/>
              </w:rPr>
              <w:t xml:space="preserve">SCRA </w:t>
            </w:r>
          </w:p>
        </w:tc>
      </w:tr>
      <w:tr w:rsidR="009C313D" w:rsidRPr="00D824AD" w14:paraId="22736830" w14:textId="77777777" w:rsidTr="00560A50">
        <w:trPr>
          <w:trHeight w:val="703"/>
        </w:trPr>
        <w:tc>
          <w:tcPr>
            <w:tcW w:w="991" w:type="dxa"/>
            <w:tcBorders>
              <w:top w:val="single" w:sz="4" w:space="0" w:color="000000"/>
              <w:left w:val="single" w:sz="4" w:space="0" w:color="000000"/>
              <w:bottom w:val="single" w:sz="4" w:space="0" w:color="000000"/>
              <w:right w:val="single" w:sz="4" w:space="0" w:color="000000"/>
            </w:tcBorders>
          </w:tcPr>
          <w:p w14:paraId="74CE2131"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2 </w:t>
            </w:r>
          </w:p>
        </w:tc>
        <w:tc>
          <w:tcPr>
            <w:tcW w:w="2085" w:type="dxa"/>
            <w:tcBorders>
              <w:top w:val="single" w:sz="4" w:space="0" w:color="000000"/>
              <w:left w:val="single" w:sz="4" w:space="0" w:color="000000"/>
              <w:bottom w:val="single" w:sz="4" w:space="0" w:color="000000"/>
              <w:right w:val="single" w:sz="4" w:space="0" w:color="000000"/>
            </w:tcBorders>
          </w:tcPr>
          <w:p w14:paraId="22DC37DC" w14:textId="77777777" w:rsidR="009C313D" w:rsidRPr="00D824AD" w:rsidRDefault="009C313D" w:rsidP="00560A50">
            <w:pPr>
              <w:spacing w:line="276" w:lineRule="auto"/>
              <w:rPr>
                <w:rFonts w:ascii="Garamond" w:hAnsi="Garamond"/>
              </w:rPr>
            </w:pPr>
            <w:r w:rsidRPr="00D824AD">
              <w:rPr>
                <w:rFonts w:ascii="Garamond" w:hAnsi="Garamond"/>
              </w:rPr>
              <w:t xml:space="preserve">Chetan Dogra, HUF </w:t>
            </w:r>
          </w:p>
        </w:tc>
        <w:tc>
          <w:tcPr>
            <w:tcW w:w="0" w:type="auto"/>
            <w:gridSpan w:val="2"/>
            <w:vMerge/>
            <w:tcBorders>
              <w:top w:val="nil"/>
              <w:left w:val="single" w:sz="4" w:space="0" w:color="000000"/>
              <w:bottom w:val="nil"/>
              <w:right w:val="single" w:sz="4" w:space="0" w:color="000000"/>
            </w:tcBorders>
          </w:tcPr>
          <w:p w14:paraId="7557C26B" w14:textId="77777777" w:rsidR="009C313D" w:rsidRPr="00D824AD" w:rsidRDefault="009C313D" w:rsidP="00560A50">
            <w:pPr>
              <w:spacing w:line="276" w:lineRule="auto"/>
              <w:rPr>
                <w:rFonts w:ascii="Garamond" w:hAnsi="Garamond"/>
              </w:rPr>
            </w:pPr>
          </w:p>
        </w:tc>
        <w:tc>
          <w:tcPr>
            <w:tcW w:w="0" w:type="auto"/>
            <w:vMerge/>
            <w:tcBorders>
              <w:top w:val="nil"/>
              <w:left w:val="single" w:sz="4" w:space="0" w:color="000000"/>
              <w:bottom w:val="nil"/>
              <w:right w:val="single" w:sz="4" w:space="0" w:color="000000"/>
            </w:tcBorders>
          </w:tcPr>
          <w:p w14:paraId="42CA785C" w14:textId="77777777" w:rsidR="009C313D" w:rsidRPr="00D824AD" w:rsidRDefault="009C313D" w:rsidP="00560A50">
            <w:pPr>
              <w:spacing w:line="276" w:lineRule="auto"/>
              <w:rPr>
                <w:rFonts w:ascii="Garamond" w:hAnsi="Garamond"/>
              </w:rPr>
            </w:pPr>
          </w:p>
        </w:tc>
        <w:tc>
          <w:tcPr>
            <w:tcW w:w="1702" w:type="dxa"/>
            <w:tcBorders>
              <w:top w:val="single" w:sz="4" w:space="0" w:color="000000"/>
              <w:left w:val="single" w:sz="4" w:space="0" w:color="000000"/>
              <w:bottom w:val="single" w:sz="4" w:space="0" w:color="000000"/>
              <w:right w:val="single" w:sz="4" w:space="0" w:color="000000"/>
            </w:tcBorders>
          </w:tcPr>
          <w:p w14:paraId="6C783411"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10,00,000/- </w:t>
            </w:r>
          </w:p>
          <w:p w14:paraId="5A72576D" w14:textId="77777777" w:rsidR="009C313D" w:rsidRPr="00D824AD" w:rsidRDefault="009C313D" w:rsidP="00560A50">
            <w:pPr>
              <w:spacing w:line="276" w:lineRule="auto"/>
              <w:jc w:val="center"/>
              <w:rPr>
                <w:rFonts w:ascii="Garamond" w:hAnsi="Garamond"/>
              </w:rPr>
            </w:pPr>
            <w:r w:rsidRPr="00D824AD">
              <w:rPr>
                <w:rFonts w:ascii="Garamond" w:hAnsi="Garamond"/>
              </w:rPr>
              <w:t>(Rupees Ten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0" w:type="auto"/>
            <w:vMerge/>
            <w:tcBorders>
              <w:top w:val="nil"/>
              <w:left w:val="single" w:sz="4" w:space="0" w:color="000000"/>
              <w:bottom w:val="nil"/>
              <w:right w:val="single" w:sz="4" w:space="0" w:color="000000"/>
            </w:tcBorders>
          </w:tcPr>
          <w:p w14:paraId="6F90D61F" w14:textId="77777777" w:rsidR="009C313D" w:rsidRPr="00D824AD" w:rsidRDefault="009C313D" w:rsidP="00560A50">
            <w:pPr>
              <w:spacing w:line="276" w:lineRule="auto"/>
              <w:rPr>
                <w:rFonts w:ascii="Garamond" w:hAnsi="Garamond"/>
              </w:rPr>
            </w:pPr>
          </w:p>
        </w:tc>
      </w:tr>
      <w:tr w:rsidR="009C313D" w:rsidRPr="00D824AD" w14:paraId="06E3A161" w14:textId="77777777" w:rsidTr="00560A50">
        <w:trPr>
          <w:trHeight w:val="706"/>
        </w:trPr>
        <w:tc>
          <w:tcPr>
            <w:tcW w:w="991" w:type="dxa"/>
            <w:tcBorders>
              <w:top w:val="single" w:sz="4" w:space="0" w:color="000000"/>
              <w:left w:val="single" w:sz="4" w:space="0" w:color="000000"/>
              <w:bottom w:val="single" w:sz="4" w:space="0" w:color="000000"/>
              <w:right w:val="single" w:sz="4" w:space="0" w:color="000000"/>
            </w:tcBorders>
          </w:tcPr>
          <w:p w14:paraId="4070B5E8"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3 </w:t>
            </w:r>
          </w:p>
        </w:tc>
        <w:tc>
          <w:tcPr>
            <w:tcW w:w="2085" w:type="dxa"/>
            <w:tcBorders>
              <w:top w:val="single" w:sz="4" w:space="0" w:color="000000"/>
              <w:left w:val="single" w:sz="4" w:space="0" w:color="000000"/>
              <w:bottom w:val="single" w:sz="4" w:space="0" w:color="000000"/>
              <w:right w:val="single" w:sz="4" w:space="0" w:color="000000"/>
            </w:tcBorders>
          </w:tcPr>
          <w:p w14:paraId="3EFF4F29" w14:textId="77777777" w:rsidR="009C313D" w:rsidRPr="00D824AD" w:rsidRDefault="009C313D" w:rsidP="00560A50">
            <w:pPr>
              <w:spacing w:line="276" w:lineRule="auto"/>
              <w:rPr>
                <w:rFonts w:ascii="Garamond" w:hAnsi="Garamond"/>
              </w:rPr>
            </w:pPr>
            <w:r w:rsidRPr="00D824AD">
              <w:rPr>
                <w:rFonts w:ascii="Garamond" w:hAnsi="Garamond"/>
              </w:rPr>
              <w:t>Daffodil Tradex Pvt., Ltd.</w:t>
            </w:r>
          </w:p>
        </w:tc>
        <w:tc>
          <w:tcPr>
            <w:tcW w:w="0" w:type="auto"/>
            <w:gridSpan w:val="2"/>
            <w:vMerge/>
            <w:tcBorders>
              <w:top w:val="nil"/>
              <w:left w:val="single" w:sz="4" w:space="0" w:color="000000"/>
              <w:bottom w:val="nil"/>
              <w:right w:val="single" w:sz="4" w:space="0" w:color="000000"/>
            </w:tcBorders>
          </w:tcPr>
          <w:p w14:paraId="638CB57A" w14:textId="77777777" w:rsidR="009C313D" w:rsidRPr="00D824AD" w:rsidRDefault="009C313D" w:rsidP="00560A50">
            <w:pPr>
              <w:spacing w:line="276" w:lineRule="auto"/>
              <w:rPr>
                <w:rFonts w:ascii="Garamond" w:hAnsi="Garamond"/>
              </w:rPr>
            </w:pPr>
          </w:p>
        </w:tc>
        <w:tc>
          <w:tcPr>
            <w:tcW w:w="0" w:type="auto"/>
            <w:vMerge/>
            <w:tcBorders>
              <w:top w:val="nil"/>
              <w:left w:val="single" w:sz="4" w:space="0" w:color="000000"/>
              <w:bottom w:val="nil"/>
              <w:right w:val="single" w:sz="4" w:space="0" w:color="000000"/>
            </w:tcBorders>
          </w:tcPr>
          <w:p w14:paraId="281B0481" w14:textId="77777777" w:rsidR="009C313D" w:rsidRPr="00D824AD" w:rsidRDefault="009C313D" w:rsidP="00560A50">
            <w:pPr>
              <w:spacing w:line="276" w:lineRule="auto"/>
              <w:rPr>
                <w:rFonts w:ascii="Garamond" w:hAnsi="Garamond"/>
              </w:rPr>
            </w:pPr>
          </w:p>
        </w:tc>
        <w:tc>
          <w:tcPr>
            <w:tcW w:w="1702" w:type="dxa"/>
            <w:tcBorders>
              <w:top w:val="single" w:sz="4" w:space="0" w:color="000000"/>
              <w:left w:val="single" w:sz="4" w:space="0" w:color="000000"/>
              <w:bottom w:val="single" w:sz="4" w:space="0" w:color="000000"/>
              <w:right w:val="single" w:sz="4" w:space="0" w:color="000000"/>
            </w:tcBorders>
          </w:tcPr>
          <w:p w14:paraId="2F889405"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10,00,000/- </w:t>
            </w:r>
          </w:p>
          <w:p w14:paraId="25A33E6A" w14:textId="77777777" w:rsidR="009C313D" w:rsidRPr="00D824AD" w:rsidRDefault="009C313D" w:rsidP="00560A50">
            <w:pPr>
              <w:spacing w:line="276" w:lineRule="auto"/>
              <w:jc w:val="center"/>
              <w:rPr>
                <w:rFonts w:ascii="Garamond" w:hAnsi="Garamond"/>
              </w:rPr>
            </w:pPr>
            <w:r w:rsidRPr="00D824AD">
              <w:rPr>
                <w:rFonts w:ascii="Garamond" w:hAnsi="Garamond"/>
              </w:rPr>
              <w:t>(Rupees Ten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0" w:type="auto"/>
            <w:vMerge/>
            <w:tcBorders>
              <w:top w:val="nil"/>
              <w:left w:val="single" w:sz="4" w:space="0" w:color="000000"/>
              <w:bottom w:val="nil"/>
              <w:right w:val="single" w:sz="4" w:space="0" w:color="000000"/>
            </w:tcBorders>
          </w:tcPr>
          <w:p w14:paraId="029E1DA3" w14:textId="77777777" w:rsidR="009C313D" w:rsidRPr="00D824AD" w:rsidRDefault="009C313D" w:rsidP="00560A50">
            <w:pPr>
              <w:spacing w:line="276" w:lineRule="auto"/>
              <w:rPr>
                <w:rFonts w:ascii="Garamond" w:hAnsi="Garamond"/>
              </w:rPr>
            </w:pPr>
          </w:p>
        </w:tc>
      </w:tr>
      <w:tr w:rsidR="009C313D" w:rsidRPr="00D824AD" w14:paraId="4059410D" w14:textId="77777777" w:rsidTr="00560A50">
        <w:trPr>
          <w:trHeight w:val="706"/>
        </w:trPr>
        <w:tc>
          <w:tcPr>
            <w:tcW w:w="991" w:type="dxa"/>
            <w:tcBorders>
              <w:top w:val="single" w:sz="4" w:space="0" w:color="000000"/>
              <w:left w:val="single" w:sz="4" w:space="0" w:color="000000"/>
              <w:bottom w:val="single" w:sz="4" w:space="0" w:color="000000"/>
              <w:right w:val="single" w:sz="4" w:space="0" w:color="000000"/>
            </w:tcBorders>
          </w:tcPr>
          <w:p w14:paraId="65B2AB54"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4 </w:t>
            </w:r>
          </w:p>
        </w:tc>
        <w:tc>
          <w:tcPr>
            <w:tcW w:w="2085" w:type="dxa"/>
            <w:tcBorders>
              <w:top w:val="single" w:sz="4" w:space="0" w:color="000000"/>
              <w:left w:val="single" w:sz="4" w:space="0" w:color="000000"/>
              <w:bottom w:val="single" w:sz="4" w:space="0" w:color="000000"/>
              <w:right w:val="single" w:sz="4" w:space="0" w:color="000000"/>
            </w:tcBorders>
          </w:tcPr>
          <w:p w14:paraId="1263A2FB" w14:textId="77777777" w:rsidR="009C313D" w:rsidRPr="00D824AD" w:rsidRDefault="009C313D" w:rsidP="00560A50">
            <w:pPr>
              <w:rPr>
                <w:rFonts w:ascii="Garamond" w:hAnsi="Garamond"/>
              </w:rPr>
            </w:pPr>
            <w:r w:rsidRPr="00D824AD">
              <w:rPr>
                <w:rFonts w:ascii="Garamond" w:hAnsi="Garamond"/>
              </w:rPr>
              <w:t xml:space="preserve">Subah Multimedia Pvt., </w:t>
            </w:r>
          </w:p>
          <w:p w14:paraId="137029D7" w14:textId="77777777" w:rsidR="009C313D" w:rsidRPr="00D824AD" w:rsidRDefault="009C313D" w:rsidP="00560A50">
            <w:pPr>
              <w:spacing w:line="276" w:lineRule="auto"/>
              <w:rPr>
                <w:rFonts w:ascii="Garamond" w:hAnsi="Garamond"/>
              </w:rPr>
            </w:pPr>
            <w:r w:rsidRPr="00D824AD">
              <w:rPr>
                <w:rFonts w:ascii="Garamond" w:hAnsi="Garamond"/>
              </w:rPr>
              <w:t>Ltd.</w:t>
            </w:r>
          </w:p>
        </w:tc>
        <w:tc>
          <w:tcPr>
            <w:tcW w:w="0" w:type="auto"/>
            <w:gridSpan w:val="2"/>
            <w:vMerge/>
            <w:tcBorders>
              <w:top w:val="nil"/>
              <w:left w:val="single" w:sz="4" w:space="0" w:color="000000"/>
              <w:bottom w:val="nil"/>
              <w:right w:val="single" w:sz="4" w:space="0" w:color="000000"/>
            </w:tcBorders>
          </w:tcPr>
          <w:p w14:paraId="5101C87D" w14:textId="77777777" w:rsidR="009C313D" w:rsidRPr="00D824AD" w:rsidRDefault="009C313D" w:rsidP="00560A50">
            <w:pPr>
              <w:spacing w:line="276" w:lineRule="auto"/>
              <w:rPr>
                <w:rFonts w:ascii="Garamond" w:hAnsi="Garamond"/>
              </w:rPr>
            </w:pPr>
          </w:p>
        </w:tc>
        <w:tc>
          <w:tcPr>
            <w:tcW w:w="0" w:type="auto"/>
            <w:vMerge/>
            <w:tcBorders>
              <w:top w:val="nil"/>
              <w:left w:val="single" w:sz="4" w:space="0" w:color="000000"/>
              <w:bottom w:val="nil"/>
              <w:right w:val="single" w:sz="4" w:space="0" w:color="000000"/>
            </w:tcBorders>
          </w:tcPr>
          <w:p w14:paraId="4C7543C4" w14:textId="77777777" w:rsidR="009C313D" w:rsidRPr="00D824AD" w:rsidRDefault="009C313D" w:rsidP="00560A50">
            <w:pPr>
              <w:spacing w:line="276" w:lineRule="auto"/>
              <w:rPr>
                <w:rFonts w:ascii="Garamond" w:hAnsi="Garamond"/>
              </w:rPr>
            </w:pPr>
          </w:p>
        </w:tc>
        <w:tc>
          <w:tcPr>
            <w:tcW w:w="1702" w:type="dxa"/>
            <w:tcBorders>
              <w:top w:val="single" w:sz="4" w:space="0" w:color="000000"/>
              <w:left w:val="single" w:sz="4" w:space="0" w:color="000000"/>
              <w:bottom w:val="single" w:sz="4" w:space="0" w:color="000000"/>
              <w:right w:val="single" w:sz="4" w:space="0" w:color="000000"/>
            </w:tcBorders>
          </w:tcPr>
          <w:p w14:paraId="49B5A6AC"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10,00,000/- </w:t>
            </w:r>
          </w:p>
          <w:p w14:paraId="58C7E09C" w14:textId="77777777" w:rsidR="009C313D" w:rsidRPr="00D824AD" w:rsidRDefault="009C313D" w:rsidP="00560A50">
            <w:pPr>
              <w:spacing w:line="276" w:lineRule="auto"/>
              <w:jc w:val="center"/>
              <w:rPr>
                <w:rFonts w:ascii="Garamond" w:hAnsi="Garamond"/>
              </w:rPr>
            </w:pPr>
            <w:r w:rsidRPr="00D824AD">
              <w:rPr>
                <w:rFonts w:ascii="Garamond" w:hAnsi="Garamond"/>
              </w:rPr>
              <w:t>(Rupees Ten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0" w:type="auto"/>
            <w:vMerge/>
            <w:tcBorders>
              <w:top w:val="nil"/>
              <w:left w:val="single" w:sz="4" w:space="0" w:color="000000"/>
              <w:bottom w:val="nil"/>
              <w:right w:val="single" w:sz="4" w:space="0" w:color="000000"/>
            </w:tcBorders>
          </w:tcPr>
          <w:p w14:paraId="0700AF7F" w14:textId="77777777" w:rsidR="009C313D" w:rsidRPr="00D824AD" w:rsidRDefault="009C313D" w:rsidP="00560A50">
            <w:pPr>
              <w:spacing w:line="276" w:lineRule="auto"/>
              <w:rPr>
                <w:rFonts w:ascii="Garamond" w:hAnsi="Garamond"/>
              </w:rPr>
            </w:pPr>
          </w:p>
        </w:tc>
      </w:tr>
      <w:tr w:rsidR="009C313D" w:rsidRPr="00D824AD" w14:paraId="11813D29" w14:textId="77777777" w:rsidTr="00560A50">
        <w:trPr>
          <w:trHeight w:val="703"/>
        </w:trPr>
        <w:tc>
          <w:tcPr>
            <w:tcW w:w="991" w:type="dxa"/>
            <w:tcBorders>
              <w:top w:val="single" w:sz="4" w:space="0" w:color="000000"/>
              <w:left w:val="single" w:sz="4" w:space="0" w:color="000000"/>
              <w:bottom w:val="single" w:sz="4" w:space="0" w:color="000000"/>
              <w:right w:val="single" w:sz="4" w:space="0" w:color="000000"/>
            </w:tcBorders>
          </w:tcPr>
          <w:p w14:paraId="3B21661E"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5 </w:t>
            </w:r>
          </w:p>
        </w:tc>
        <w:tc>
          <w:tcPr>
            <w:tcW w:w="2085" w:type="dxa"/>
            <w:tcBorders>
              <w:top w:val="single" w:sz="4" w:space="0" w:color="000000"/>
              <w:left w:val="single" w:sz="4" w:space="0" w:color="000000"/>
              <w:bottom w:val="single" w:sz="4" w:space="0" w:color="000000"/>
              <w:right w:val="single" w:sz="4" w:space="0" w:color="000000"/>
            </w:tcBorders>
          </w:tcPr>
          <w:p w14:paraId="0B5750F0" w14:textId="77777777" w:rsidR="009C313D" w:rsidRPr="00D824AD" w:rsidRDefault="009C313D" w:rsidP="00560A50">
            <w:pPr>
              <w:rPr>
                <w:rFonts w:ascii="Garamond" w:hAnsi="Garamond"/>
              </w:rPr>
            </w:pPr>
            <w:r w:rsidRPr="00D824AD">
              <w:rPr>
                <w:rFonts w:ascii="Garamond" w:hAnsi="Garamond"/>
              </w:rPr>
              <w:t xml:space="preserve">Shraddha Entertainiment </w:t>
            </w:r>
          </w:p>
          <w:p w14:paraId="2FC8B7F8" w14:textId="77777777" w:rsidR="009C313D" w:rsidRPr="00D824AD" w:rsidRDefault="009C313D" w:rsidP="00560A50">
            <w:pPr>
              <w:spacing w:line="276" w:lineRule="auto"/>
              <w:rPr>
                <w:rFonts w:ascii="Garamond" w:hAnsi="Garamond"/>
              </w:rPr>
            </w:pPr>
            <w:r w:rsidRPr="00D824AD">
              <w:rPr>
                <w:rFonts w:ascii="Garamond" w:hAnsi="Garamond"/>
              </w:rPr>
              <w:t>Pvt., Ltd.,</w:t>
            </w:r>
          </w:p>
        </w:tc>
        <w:tc>
          <w:tcPr>
            <w:tcW w:w="0" w:type="auto"/>
            <w:gridSpan w:val="2"/>
            <w:vMerge/>
            <w:tcBorders>
              <w:top w:val="nil"/>
              <w:left w:val="single" w:sz="4" w:space="0" w:color="000000"/>
              <w:bottom w:val="nil"/>
              <w:right w:val="single" w:sz="4" w:space="0" w:color="000000"/>
            </w:tcBorders>
          </w:tcPr>
          <w:p w14:paraId="42466216" w14:textId="77777777" w:rsidR="009C313D" w:rsidRPr="00D824AD" w:rsidRDefault="009C313D" w:rsidP="00560A50">
            <w:pPr>
              <w:spacing w:line="276" w:lineRule="auto"/>
              <w:rPr>
                <w:rFonts w:ascii="Garamond" w:hAnsi="Garamond"/>
              </w:rPr>
            </w:pPr>
          </w:p>
        </w:tc>
        <w:tc>
          <w:tcPr>
            <w:tcW w:w="0" w:type="auto"/>
            <w:vMerge/>
            <w:tcBorders>
              <w:top w:val="nil"/>
              <w:left w:val="single" w:sz="4" w:space="0" w:color="000000"/>
              <w:bottom w:val="nil"/>
              <w:right w:val="single" w:sz="4" w:space="0" w:color="000000"/>
            </w:tcBorders>
          </w:tcPr>
          <w:p w14:paraId="212DBA4A" w14:textId="77777777" w:rsidR="009C313D" w:rsidRPr="00D824AD" w:rsidRDefault="009C313D" w:rsidP="00560A50">
            <w:pPr>
              <w:spacing w:line="276" w:lineRule="auto"/>
              <w:rPr>
                <w:rFonts w:ascii="Garamond" w:hAnsi="Garamond"/>
              </w:rPr>
            </w:pPr>
          </w:p>
        </w:tc>
        <w:tc>
          <w:tcPr>
            <w:tcW w:w="1702" w:type="dxa"/>
            <w:tcBorders>
              <w:top w:val="single" w:sz="4" w:space="0" w:color="000000"/>
              <w:left w:val="single" w:sz="4" w:space="0" w:color="000000"/>
              <w:bottom w:val="single" w:sz="4" w:space="0" w:color="000000"/>
              <w:right w:val="single" w:sz="4" w:space="0" w:color="000000"/>
            </w:tcBorders>
          </w:tcPr>
          <w:p w14:paraId="7250699E"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10,00,000/- </w:t>
            </w:r>
          </w:p>
          <w:p w14:paraId="11F0D035" w14:textId="77777777" w:rsidR="009C313D" w:rsidRPr="00D824AD" w:rsidRDefault="009C313D" w:rsidP="00560A50">
            <w:pPr>
              <w:spacing w:line="276" w:lineRule="auto"/>
              <w:jc w:val="center"/>
              <w:rPr>
                <w:rFonts w:ascii="Garamond" w:hAnsi="Garamond"/>
              </w:rPr>
            </w:pPr>
            <w:r w:rsidRPr="00D824AD">
              <w:rPr>
                <w:rFonts w:ascii="Garamond" w:hAnsi="Garamond"/>
              </w:rPr>
              <w:t>(Rupees Ten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0" w:type="auto"/>
            <w:vMerge/>
            <w:tcBorders>
              <w:top w:val="nil"/>
              <w:left w:val="single" w:sz="4" w:space="0" w:color="000000"/>
              <w:bottom w:val="nil"/>
              <w:right w:val="single" w:sz="4" w:space="0" w:color="000000"/>
            </w:tcBorders>
          </w:tcPr>
          <w:p w14:paraId="5E7033D4" w14:textId="77777777" w:rsidR="009C313D" w:rsidRPr="00D824AD" w:rsidRDefault="009C313D" w:rsidP="00560A50">
            <w:pPr>
              <w:spacing w:line="276" w:lineRule="auto"/>
              <w:rPr>
                <w:rFonts w:ascii="Garamond" w:hAnsi="Garamond"/>
              </w:rPr>
            </w:pPr>
          </w:p>
        </w:tc>
      </w:tr>
      <w:tr w:rsidR="009C313D" w:rsidRPr="00D824AD" w14:paraId="2F328648" w14:textId="77777777" w:rsidTr="00560A50">
        <w:trPr>
          <w:trHeight w:val="706"/>
        </w:trPr>
        <w:tc>
          <w:tcPr>
            <w:tcW w:w="991" w:type="dxa"/>
            <w:tcBorders>
              <w:top w:val="single" w:sz="4" w:space="0" w:color="000000"/>
              <w:left w:val="single" w:sz="4" w:space="0" w:color="000000"/>
              <w:bottom w:val="single" w:sz="4" w:space="0" w:color="000000"/>
              <w:right w:val="single" w:sz="4" w:space="0" w:color="000000"/>
            </w:tcBorders>
          </w:tcPr>
          <w:p w14:paraId="26140C03"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6 </w:t>
            </w:r>
          </w:p>
        </w:tc>
        <w:tc>
          <w:tcPr>
            <w:tcW w:w="2085" w:type="dxa"/>
            <w:tcBorders>
              <w:top w:val="single" w:sz="4" w:space="0" w:color="000000"/>
              <w:left w:val="single" w:sz="4" w:space="0" w:color="000000"/>
              <w:bottom w:val="single" w:sz="4" w:space="0" w:color="000000"/>
              <w:right w:val="single" w:sz="4" w:space="0" w:color="000000"/>
            </w:tcBorders>
          </w:tcPr>
          <w:p w14:paraId="6A1D98D1" w14:textId="77777777" w:rsidR="009C313D" w:rsidRPr="00D824AD" w:rsidRDefault="009C313D" w:rsidP="00560A50">
            <w:pPr>
              <w:spacing w:line="276" w:lineRule="auto"/>
              <w:rPr>
                <w:rFonts w:ascii="Garamond" w:hAnsi="Garamond"/>
              </w:rPr>
            </w:pPr>
            <w:r w:rsidRPr="00D824AD">
              <w:rPr>
                <w:rFonts w:ascii="Garamond" w:hAnsi="Garamond"/>
              </w:rPr>
              <w:t>Tulip Expotrade Pvt., Ltd.,</w:t>
            </w:r>
          </w:p>
        </w:tc>
        <w:tc>
          <w:tcPr>
            <w:tcW w:w="0" w:type="auto"/>
            <w:gridSpan w:val="2"/>
            <w:vMerge/>
            <w:tcBorders>
              <w:top w:val="nil"/>
              <w:left w:val="single" w:sz="4" w:space="0" w:color="000000"/>
              <w:bottom w:val="single" w:sz="4" w:space="0" w:color="000000"/>
              <w:right w:val="single" w:sz="4" w:space="0" w:color="000000"/>
            </w:tcBorders>
          </w:tcPr>
          <w:p w14:paraId="0C7C7FF1" w14:textId="77777777" w:rsidR="009C313D" w:rsidRPr="00D824AD" w:rsidRDefault="009C313D" w:rsidP="00560A50">
            <w:pPr>
              <w:spacing w:line="276" w:lineRule="auto"/>
              <w:rPr>
                <w:rFonts w:ascii="Garamond" w:hAnsi="Garamond"/>
              </w:rPr>
            </w:pPr>
          </w:p>
        </w:tc>
        <w:tc>
          <w:tcPr>
            <w:tcW w:w="0" w:type="auto"/>
            <w:vMerge/>
            <w:tcBorders>
              <w:top w:val="nil"/>
              <w:left w:val="single" w:sz="4" w:space="0" w:color="000000"/>
              <w:bottom w:val="nil"/>
              <w:right w:val="single" w:sz="4" w:space="0" w:color="000000"/>
            </w:tcBorders>
          </w:tcPr>
          <w:p w14:paraId="1F44F740" w14:textId="77777777" w:rsidR="009C313D" w:rsidRPr="00D824AD" w:rsidRDefault="009C313D" w:rsidP="00560A50">
            <w:pPr>
              <w:spacing w:line="276" w:lineRule="auto"/>
              <w:rPr>
                <w:rFonts w:ascii="Garamond" w:hAnsi="Garamond"/>
              </w:rPr>
            </w:pPr>
          </w:p>
        </w:tc>
        <w:tc>
          <w:tcPr>
            <w:tcW w:w="1702" w:type="dxa"/>
            <w:tcBorders>
              <w:top w:val="single" w:sz="4" w:space="0" w:color="000000"/>
              <w:left w:val="single" w:sz="4" w:space="0" w:color="000000"/>
              <w:bottom w:val="single" w:sz="4" w:space="0" w:color="000000"/>
              <w:right w:val="single" w:sz="4" w:space="0" w:color="000000"/>
            </w:tcBorders>
          </w:tcPr>
          <w:p w14:paraId="33CE1CA8"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10,00,000/- </w:t>
            </w:r>
          </w:p>
          <w:p w14:paraId="052E1AAC" w14:textId="77777777" w:rsidR="009C313D" w:rsidRPr="00D824AD" w:rsidRDefault="009C313D" w:rsidP="00560A50">
            <w:pPr>
              <w:spacing w:line="276" w:lineRule="auto"/>
              <w:jc w:val="center"/>
              <w:rPr>
                <w:rFonts w:ascii="Garamond" w:hAnsi="Garamond"/>
              </w:rPr>
            </w:pPr>
            <w:r w:rsidRPr="00D824AD">
              <w:rPr>
                <w:rFonts w:ascii="Garamond" w:hAnsi="Garamond"/>
              </w:rPr>
              <w:t>(Rupees Ten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0" w:type="auto"/>
            <w:vMerge/>
            <w:tcBorders>
              <w:top w:val="nil"/>
              <w:left w:val="single" w:sz="4" w:space="0" w:color="000000"/>
              <w:bottom w:val="nil"/>
              <w:right w:val="single" w:sz="4" w:space="0" w:color="000000"/>
            </w:tcBorders>
          </w:tcPr>
          <w:p w14:paraId="54C1F074" w14:textId="77777777" w:rsidR="009C313D" w:rsidRPr="00D824AD" w:rsidRDefault="009C313D" w:rsidP="00560A50">
            <w:pPr>
              <w:spacing w:line="276" w:lineRule="auto"/>
              <w:rPr>
                <w:rFonts w:ascii="Garamond" w:hAnsi="Garamond"/>
              </w:rPr>
            </w:pPr>
          </w:p>
        </w:tc>
      </w:tr>
      <w:tr w:rsidR="009C313D" w:rsidRPr="00D824AD" w14:paraId="410EF3A0" w14:textId="77777777" w:rsidTr="00560A50">
        <w:trPr>
          <w:trHeight w:val="703"/>
        </w:trPr>
        <w:tc>
          <w:tcPr>
            <w:tcW w:w="991" w:type="dxa"/>
            <w:tcBorders>
              <w:top w:val="single" w:sz="4" w:space="0" w:color="000000"/>
              <w:left w:val="single" w:sz="4" w:space="0" w:color="000000"/>
              <w:bottom w:val="single" w:sz="4" w:space="0" w:color="000000"/>
              <w:right w:val="single" w:sz="4" w:space="0" w:color="000000"/>
            </w:tcBorders>
          </w:tcPr>
          <w:p w14:paraId="40564076"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7 </w:t>
            </w:r>
          </w:p>
        </w:tc>
        <w:tc>
          <w:tcPr>
            <w:tcW w:w="2085" w:type="dxa"/>
            <w:tcBorders>
              <w:top w:val="single" w:sz="4" w:space="0" w:color="000000"/>
              <w:left w:val="single" w:sz="4" w:space="0" w:color="000000"/>
              <w:bottom w:val="single" w:sz="4" w:space="0" w:color="000000"/>
              <w:right w:val="single" w:sz="4" w:space="0" w:color="000000"/>
            </w:tcBorders>
          </w:tcPr>
          <w:p w14:paraId="47F3D392" w14:textId="77777777" w:rsidR="009C313D" w:rsidRPr="00D824AD" w:rsidRDefault="009C313D" w:rsidP="00560A50">
            <w:pPr>
              <w:rPr>
                <w:rFonts w:ascii="Garamond" w:hAnsi="Garamond"/>
              </w:rPr>
            </w:pPr>
            <w:r w:rsidRPr="00D824AD">
              <w:rPr>
                <w:rFonts w:ascii="Garamond" w:hAnsi="Garamond"/>
              </w:rPr>
              <w:t xml:space="preserve">Green </w:t>
            </w:r>
            <w:r w:rsidRPr="00D824AD">
              <w:rPr>
                <w:rFonts w:ascii="Garamond" w:hAnsi="Garamond"/>
              </w:rPr>
              <w:tab/>
              <w:t xml:space="preserve">Cottage </w:t>
            </w:r>
            <w:r w:rsidRPr="00D824AD">
              <w:rPr>
                <w:rFonts w:ascii="Garamond" w:hAnsi="Garamond"/>
              </w:rPr>
              <w:tab/>
              <w:t xml:space="preserve">and </w:t>
            </w:r>
          </w:p>
          <w:p w14:paraId="700866AC" w14:textId="77777777" w:rsidR="009C313D" w:rsidRPr="00D824AD" w:rsidRDefault="009C313D" w:rsidP="00560A50">
            <w:pPr>
              <w:spacing w:line="276" w:lineRule="auto"/>
              <w:rPr>
                <w:rFonts w:ascii="Garamond" w:hAnsi="Garamond"/>
              </w:rPr>
            </w:pPr>
            <w:r w:rsidRPr="00D824AD">
              <w:rPr>
                <w:rFonts w:ascii="Garamond" w:hAnsi="Garamond"/>
              </w:rPr>
              <w:t xml:space="preserve">Resorts Ltd., </w:t>
            </w:r>
          </w:p>
        </w:tc>
        <w:tc>
          <w:tcPr>
            <w:tcW w:w="1560" w:type="dxa"/>
            <w:gridSpan w:val="2"/>
            <w:vMerge w:val="restart"/>
            <w:tcBorders>
              <w:top w:val="single" w:sz="4" w:space="0" w:color="000000"/>
              <w:left w:val="single" w:sz="4" w:space="0" w:color="000000"/>
              <w:bottom w:val="single" w:sz="4" w:space="0" w:color="000000"/>
              <w:right w:val="single" w:sz="4" w:space="0" w:color="000000"/>
            </w:tcBorders>
          </w:tcPr>
          <w:p w14:paraId="0D57BE23" w14:textId="77777777" w:rsidR="009C313D" w:rsidRPr="00D824AD" w:rsidRDefault="009C313D" w:rsidP="00560A50">
            <w:pPr>
              <w:spacing w:line="234" w:lineRule="auto"/>
              <w:ind w:right="2"/>
              <w:rPr>
                <w:rFonts w:ascii="Garamond" w:hAnsi="Garamond"/>
              </w:rPr>
            </w:pPr>
            <w:r w:rsidRPr="00D824AD">
              <w:rPr>
                <w:rFonts w:ascii="Garamond" w:hAnsi="Garamond"/>
              </w:rPr>
              <w:t xml:space="preserve">Transferred shares in offmarket without receipt of  consideration </w:t>
            </w:r>
          </w:p>
        </w:tc>
        <w:tc>
          <w:tcPr>
            <w:tcW w:w="0" w:type="auto"/>
            <w:vMerge/>
            <w:tcBorders>
              <w:top w:val="nil"/>
              <w:left w:val="single" w:sz="4" w:space="0" w:color="000000"/>
              <w:bottom w:val="nil"/>
              <w:right w:val="single" w:sz="4" w:space="0" w:color="000000"/>
            </w:tcBorders>
          </w:tcPr>
          <w:p w14:paraId="7A25FCAF" w14:textId="77777777" w:rsidR="009C313D" w:rsidRPr="00D824AD" w:rsidRDefault="009C313D" w:rsidP="00560A50">
            <w:pPr>
              <w:spacing w:line="276" w:lineRule="auto"/>
              <w:rPr>
                <w:rFonts w:ascii="Garamond" w:hAnsi="Garamond"/>
              </w:rPr>
            </w:pPr>
          </w:p>
        </w:tc>
        <w:tc>
          <w:tcPr>
            <w:tcW w:w="1702" w:type="dxa"/>
            <w:tcBorders>
              <w:top w:val="single" w:sz="4" w:space="0" w:color="000000"/>
              <w:left w:val="single" w:sz="4" w:space="0" w:color="000000"/>
              <w:bottom w:val="single" w:sz="4" w:space="0" w:color="000000"/>
              <w:right w:val="single" w:sz="4" w:space="0" w:color="000000"/>
            </w:tcBorders>
          </w:tcPr>
          <w:p w14:paraId="1E5BB9B7"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5,00,000/- </w:t>
            </w:r>
          </w:p>
          <w:p w14:paraId="3FF069F0" w14:textId="77777777" w:rsidR="009C313D" w:rsidRPr="00D824AD" w:rsidRDefault="009C313D" w:rsidP="00560A50">
            <w:pPr>
              <w:spacing w:line="276" w:lineRule="auto"/>
              <w:jc w:val="center"/>
              <w:rPr>
                <w:rFonts w:ascii="Garamond" w:hAnsi="Garamond"/>
              </w:rPr>
            </w:pPr>
            <w:r w:rsidRPr="00D824AD">
              <w:rPr>
                <w:rFonts w:ascii="Garamond" w:hAnsi="Garamond"/>
              </w:rPr>
              <w:t>(Rupees Five la</w:t>
            </w:r>
            <w:r>
              <w:rPr>
                <w:rFonts w:ascii="Garamond" w:hAnsi="Garamond"/>
              </w:rPr>
              <w:t>kh</w:t>
            </w:r>
            <w:r w:rsidRPr="00D824AD">
              <w:rPr>
                <w:rFonts w:ascii="Garamond" w:hAnsi="Garamond"/>
              </w:rPr>
              <w:t xml:space="preserve"> only) </w:t>
            </w:r>
          </w:p>
        </w:tc>
        <w:tc>
          <w:tcPr>
            <w:tcW w:w="0" w:type="auto"/>
            <w:vMerge/>
            <w:tcBorders>
              <w:top w:val="nil"/>
              <w:left w:val="single" w:sz="4" w:space="0" w:color="000000"/>
              <w:bottom w:val="nil"/>
              <w:right w:val="single" w:sz="4" w:space="0" w:color="000000"/>
            </w:tcBorders>
          </w:tcPr>
          <w:p w14:paraId="051CE878" w14:textId="77777777" w:rsidR="009C313D" w:rsidRPr="00D824AD" w:rsidRDefault="009C313D" w:rsidP="00560A50">
            <w:pPr>
              <w:spacing w:line="276" w:lineRule="auto"/>
              <w:rPr>
                <w:rFonts w:ascii="Garamond" w:hAnsi="Garamond"/>
              </w:rPr>
            </w:pPr>
          </w:p>
        </w:tc>
      </w:tr>
      <w:tr w:rsidR="009C313D" w:rsidRPr="00D824AD" w14:paraId="4F6E230C" w14:textId="77777777" w:rsidTr="00560A50">
        <w:trPr>
          <w:trHeight w:val="706"/>
        </w:trPr>
        <w:tc>
          <w:tcPr>
            <w:tcW w:w="991" w:type="dxa"/>
            <w:tcBorders>
              <w:top w:val="single" w:sz="4" w:space="0" w:color="000000"/>
              <w:left w:val="single" w:sz="4" w:space="0" w:color="000000"/>
              <w:bottom w:val="single" w:sz="4" w:space="0" w:color="000000"/>
              <w:right w:val="single" w:sz="4" w:space="0" w:color="000000"/>
            </w:tcBorders>
          </w:tcPr>
          <w:p w14:paraId="75A50528"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8 </w:t>
            </w:r>
          </w:p>
        </w:tc>
        <w:tc>
          <w:tcPr>
            <w:tcW w:w="2085" w:type="dxa"/>
            <w:tcBorders>
              <w:top w:val="single" w:sz="4" w:space="0" w:color="000000"/>
              <w:left w:val="single" w:sz="4" w:space="0" w:color="000000"/>
              <w:bottom w:val="single" w:sz="4" w:space="0" w:color="000000"/>
              <w:right w:val="single" w:sz="4" w:space="0" w:color="000000"/>
            </w:tcBorders>
          </w:tcPr>
          <w:p w14:paraId="56C3CD09" w14:textId="77777777" w:rsidR="009C313D" w:rsidRPr="00D824AD" w:rsidRDefault="009C313D" w:rsidP="00560A50">
            <w:pPr>
              <w:rPr>
                <w:rFonts w:ascii="Garamond" w:hAnsi="Garamond"/>
              </w:rPr>
            </w:pPr>
            <w:r w:rsidRPr="00D824AD">
              <w:rPr>
                <w:rFonts w:ascii="Garamond" w:hAnsi="Garamond"/>
              </w:rPr>
              <w:t xml:space="preserve">Zoom </w:t>
            </w:r>
            <w:r w:rsidRPr="00D824AD">
              <w:rPr>
                <w:rFonts w:ascii="Garamond" w:hAnsi="Garamond"/>
              </w:rPr>
              <w:tab/>
              <w:t xml:space="preserve">Colonizers </w:t>
            </w:r>
            <w:r w:rsidRPr="00D824AD">
              <w:rPr>
                <w:rFonts w:ascii="Garamond" w:hAnsi="Garamond"/>
              </w:rPr>
              <w:tab/>
              <w:t xml:space="preserve">Pvt., </w:t>
            </w:r>
          </w:p>
          <w:p w14:paraId="309DB5B3" w14:textId="77777777" w:rsidR="009C313D" w:rsidRPr="00D824AD" w:rsidRDefault="009C313D" w:rsidP="00560A50">
            <w:pPr>
              <w:spacing w:line="276" w:lineRule="auto"/>
              <w:rPr>
                <w:rFonts w:ascii="Garamond" w:hAnsi="Garamond"/>
              </w:rPr>
            </w:pPr>
            <w:r w:rsidRPr="00D824AD">
              <w:rPr>
                <w:rFonts w:ascii="Garamond" w:hAnsi="Garamond"/>
              </w:rPr>
              <w:t>Ltd.,</w:t>
            </w:r>
            <w:r w:rsidRPr="00D824AD">
              <w:rPr>
                <w:rFonts w:ascii="Garamond" w:eastAsia="Arial" w:hAnsi="Garamond" w:cs="Arial"/>
                <w:i/>
              </w:rPr>
              <w:t xml:space="preserve"> </w:t>
            </w:r>
          </w:p>
        </w:tc>
        <w:tc>
          <w:tcPr>
            <w:tcW w:w="0" w:type="auto"/>
            <w:gridSpan w:val="2"/>
            <w:vMerge/>
            <w:tcBorders>
              <w:top w:val="nil"/>
              <w:left w:val="single" w:sz="4" w:space="0" w:color="000000"/>
              <w:bottom w:val="nil"/>
              <w:right w:val="single" w:sz="4" w:space="0" w:color="000000"/>
            </w:tcBorders>
          </w:tcPr>
          <w:p w14:paraId="2D506F4B" w14:textId="77777777" w:rsidR="009C313D" w:rsidRPr="00D824AD" w:rsidRDefault="009C313D" w:rsidP="00560A50">
            <w:pPr>
              <w:spacing w:line="276" w:lineRule="auto"/>
              <w:rPr>
                <w:rFonts w:ascii="Garamond" w:hAnsi="Garamond"/>
              </w:rPr>
            </w:pPr>
          </w:p>
        </w:tc>
        <w:tc>
          <w:tcPr>
            <w:tcW w:w="0" w:type="auto"/>
            <w:vMerge/>
            <w:tcBorders>
              <w:top w:val="nil"/>
              <w:left w:val="single" w:sz="4" w:space="0" w:color="000000"/>
              <w:bottom w:val="nil"/>
              <w:right w:val="single" w:sz="4" w:space="0" w:color="000000"/>
            </w:tcBorders>
          </w:tcPr>
          <w:p w14:paraId="01CA4CDE" w14:textId="77777777" w:rsidR="009C313D" w:rsidRPr="00D824AD" w:rsidRDefault="009C313D" w:rsidP="00560A50">
            <w:pPr>
              <w:spacing w:line="276" w:lineRule="auto"/>
              <w:rPr>
                <w:rFonts w:ascii="Garamond" w:hAnsi="Garamond"/>
              </w:rPr>
            </w:pPr>
          </w:p>
        </w:tc>
        <w:tc>
          <w:tcPr>
            <w:tcW w:w="1702" w:type="dxa"/>
            <w:tcBorders>
              <w:top w:val="single" w:sz="4" w:space="0" w:color="000000"/>
              <w:left w:val="single" w:sz="4" w:space="0" w:color="000000"/>
              <w:bottom w:val="single" w:sz="4" w:space="0" w:color="000000"/>
              <w:right w:val="single" w:sz="4" w:space="0" w:color="000000"/>
            </w:tcBorders>
          </w:tcPr>
          <w:p w14:paraId="48F3921A" w14:textId="77777777" w:rsidR="009C313D" w:rsidRPr="00D824AD" w:rsidRDefault="009C313D" w:rsidP="00560A50">
            <w:pPr>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5,00,000/- </w:t>
            </w:r>
          </w:p>
          <w:p w14:paraId="4338C4CB" w14:textId="77777777" w:rsidR="009C313D" w:rsidRPr="00D824AD" w:rsidRDefault="009C313D" w:rsidP="00560A50">
            <w:pPr>
              <w:spacing w:line="276" w:lineRule="auto"/>
              <w:jc w:val="center"/>
              <w:rPr>
                <w:rFonts w:ascii="Garamond" w:hAnsi="Garamond"/>
              </w:rPr>
            </w:pPr>
            <w:r w:rsidRPr="00D824AD">
              <w:rPr>
                <w:rFonts w:ascii="Garamond" w:hAnsi="Garamond"/>
              </w:rPr>
              <w:t>(Rupees Five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0" w:type="auto"/>
            <w:vMerge/>
            <w:tcBorders>
              <w:top w:val="nil"/>
              <w:left w:val="single" w:sz="4" w:space="0" w:color="000000"/>
              <w:bottom w:val="nil"/>
              <w:right w:val="single" w:sz="4" w:space="0" w:color="000000"/>
            </w:tcBorders>
          </w:tcPr>
          <w:p w14:paraId="73E265F3" w14:textId="77777777" w:rsidR="009C313D" w:rsidRPr="00D824AD" w:rsidRDefault="009C313D" w:rsidP="00560A50">
            <w:pPr>
              <w:spacing w:line="276" w:lineRule="auto"/>
              <w:rPr>
                <w:rFonts w:ascii="Garamond" w:hAnsi="Garamond"/>
              </w:rPr>
            </w:pPr>
          </w:p>
        </w:tc>
      </w:tr>
      <w:tr w:rsidR="009C313D" w:rsidRPr="00D824AD" w14:paraId="2A7373C1" w14:textId="77777777" w:rsidTr="00560A50">
        <w:trPr>
          <w:trHeight w:val="706"/>
        </w:trPr>
        <w:tc>
          <w:tcPr>
            <w:tcW w:w="991" w:type="dxa"/>
            <w:tcBorders>
              <w:top w:val="single" w:sz="4" w:space="0" w:color="000000"/>
              <w:left w:val="single" w:sz="4" w:space="0" w:color="000000"/>
              <w:bottom w:val="single" w:sz="4" w:space="0" w:color="000000"/>
              <w:right w:val="single" w:sz="4" w:space="0" w:color="000000"/>
            </w:tcBorders>
          </w:tcPr>
          <w:p w14:paraId="4F43624B"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9 </w:t>
            </w:r>
          </w:p>
        </w:tc>
        <w:tc>
          <w:tcPr>
            <w:tcW w:w="2085" w:type="dxa"/>
            <w:tcBorders>
              <w:top w:val="single" w:sz="4" w:space="0" w:color="000000"/>
              <w:left w:val="single" w:sz="4" w:space="0" w:color="000000"/>
              <w:bottom w:val="single" w:sz="4" w:space="0" w:color="000000"/>
              <w:right w:val="single" w:sz="4" w:space="0" w:color="000000"/>
            </w:tcBorders>
          </w:tcPr>
          <w:p w14:paraId="671EB667" w14:textId="77777777" w:rsidR="009C313D" w:rsidRPr="00D824AD" w:rsidRDefault="009C313D" w:rsidP="00560A50">
            <w:pPr>
              <w:rPr>
                <w:rFonts w:ascii="Garamond" w:hAnsi="Garamond"/>
              </w:rPr>
            </w:pPr>
            <w:r w:rsidRPr="00D824AD">
              <w:rPr>
                <w:rFonts w:ascii="Garamond" w:hAnsi="Garamond"/>
              </w:rPr>
              <w:t xml:space="preserve">Phenomenal Crafts Pvt., </w:t>
            </w:r>
          </w:p>
          <w:p w14:paraId="2048817C" w14:textId="77777777" w:rsidR="009C313D" w:rsidRPr="00D824AD" w:rsidRDefault="009C313D" w:rsidP="00560A50">
            <w:pPr>
              <w:spacing w:line="276" w:lineRule="auto"/>
              <w:rPr>
                <w:rFonts w:ascii="Garamond" w:hAnsi="Garamond"/>
              </w:rPr>
            </w:pPr>
            <w:r w:rsidRPr="00D824AD">
              <w:rPr>
                <w:rFonts w:ascii="Garamond" w:hAnsi="Garamond"/>
              </w:rPr>
              <w:t xml:space="preserve">Ltd., </w:t>
            </w:r>
          </w:p>
        </w:tc>
        <w:tc>
          <w:tcPr>
            <w:tcW w:w="0" w:type="auto"/>
            <w:gridSpan w:val="2"/>
            <w:vMerge/>
            <w:tcBorders>
              <w:top w:val="nil"/>
              <w:left w:val="single" w:sz="4" w:space="0" w:color="000000"/>
              <w:bottom w:val="nil"/>
              <w:right w:val="single" w:sz="4" w:space="0" w:color="000000"/>
            </w:tcBorders>
          </w:tcPr>
          <w:p w14:paraId="189C3363" w14:textId="77777777" w:rsidR="009C313D" w:rsidRPr="00D824AD" w:rsidRDefault="009C313D" w:rsidP="00560A50">
            <w:pPr>
              <w:spacing w:line="276" w:lineRule="auto"/>
              <w:rPr>
                <w:rFonts w:ascii="Garamond" w:hAnsi="Garamond"/>
              </w:rPr>
            </w:pPr>
          </w:p>
        </w:tc>
        <w:tc>
          <w:tcPr>
            <w:tcW w:w="0" w:type="auto"/>
            <w:vMerge/>
            <w:tcBorders>
              <w:top w:val="nil"/>
              <w:left w:val="single" w:sz="4" w:space="0" w:color="000000"/>
              <w:bottom w:val="nil"/>
              <w:right w:val="single" w:sz="4" w:space="0" w:color="000000"/>
            </w:tcBorders>
          </w:tcPr>
          <w:p w14:paraId="3B6C1F6D" w14:textId="77777777" w:rsidR="009C313D" w:rsidRPr="00D824AD" w:rsidRDefault="009C313D" w:rsidP="00560A50">
            <w:pPr>
              <w:spacing w:line="276" w:lineRule="auto"/>
              <w:rPr>
                <w:rFonts w:ascii="Garamond" w:hAnsi="Garamond"/>
              </w:rPr>
            </w:pPr>
          </w:p>
        </w:tc>
        <w:tc>
          <w:tcPr>
            <w:tcW w:w="1702" w:type="dxa"/>
            <w:tcBorders>
              <w:top w:val="single" w:sz="4" w:space="0" w:color="000000"/>
              <w:left w:val="single" w:sz="4" w:space="0" w:color="000000"/>
              <w:bottom w:val="single" w:sz="4" w:space="0" w:color="000000"/>
              <w:right w:val="single" w:sz="4" w:space="0" w:color="000000"/>
            </w:tcBorders>
          </w:tcPr>
          <w:p w14:paraId="3DFE76DC"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5,00,000/- </w:t>
            </w:r>
          </w:p>
          <w:p w14:paraId="66229CBA" w14:textId="77777777" w:rsidR="009C313D" w:rsidRPr="00D824AD" w:rsidRDefault="009C313D" w:rsidP="00560A50">
            <w:pPr>
              <w:spacing w:line="276" w:lineRule="auto"/>
              <w:jc w:val="center"/>
              <w:rPr>
                <w:rFonts w:ascii="Garamond" w:hAnsi="Garamond"/>
              </w:rPr>
            </w:pPr>
            <w:r w:rsidRPr="00D824AD">
              <w:rPr>
                <w:rFonts w:ascii="Garamond" w:hAnsi="Garamond"/>
              </w:rPr>
              <w:t>(Rupees Five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0" w:type="auto"/>
            <w:vMerge/>
            <w:tcBorders>
              <w:top w:val="nil"/>
              <w:left w:val="single" w:sz="4" w:space="0" w:color="000000"/>
              <w:bottom w:val="nil"/>
              <w:right w:val="single" w:sz="4" w:space="0" w:color="000000"/>
            </w:tcBorders>
          </w:tcPr>
          <w:p w14:paraId="58E37E5C" w14:textId="77777777" w:rsidR="009C313D" w:rsidRPr="00D824AD" w:rsidRDefault="009C313D" w:rsidP="00560A50">
            <w:pPr>
              <w:spacing w:line="276" w:lineRule="auto"/>
              <w:rPr>
                <w:rFonts w:ascii="Garamond" w:hAnsi="Garamond"/>
              </w:rPr>
            </w:pPr>
          </w:p>
        </w:tc>
      </w:tr>
      <w:tr w:rsidR="009C313D" w:rsidRPr="00D824AD" w14:paraId="6E4D54F2" w14:textId="77777777" w:rsidTr="00560A50">
        <w:trPr>
          <w:trHeight w:val="703"/>
        </w:trPr>
        <w:tc>
          <w:tcPr>
            <w:tcW w:w="991" w:type="dxa"/>
            <w:tcBorders>
              <w:top w:val="single" w:sz="4" w:space="0" w:color="000000"/>
              <w:left w:val="single" w:sz="4" w:space="0" w:color="000000"/>
              <w:bottom w:val="single" w:sz="4" w:space="0" w:color="000000"/>
              <w:right w:val="single" w:sz="4" w:space="0" w:color="000000"/>
            </w:tcBorders>
          </w:tcPr>
          <w:p w14:paraId="2A2C6EE8"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10 </w:t>
            </w:r>
          </w:p>
        </w:tc>
        <w:tc>
          <w:tcPr>
            <w:tcW w:w="2085" w:type="dxa"/>
            <w:tcBorders>
              <w:top w:val="single" w:sz="4" w:space="0" w:color="000000"/>
              <w:left w:val="single" w:sz="4" w:space="0" w:color="000000"/>
              <w:bottom w:val="single" w:sz="4" w:space="0" w:color="000000"/>
              <w:right w:val="single" w:sz="4" w:space="0" w:color="000000"/>
            </w:tcBorders>
          </w:tcPr>
          <w:p w14:paraId="05A7922D" w14:textId="77777777" w:rsidR="009C313D" w:rsidRPr="00D824AD" w:rsidRDefault="009C313D" w:rsidP="00560A50">
            <w:pPr>
              <w:rPr>
                <w:rFonts w:ascii="Garamond" w:hAnsi="Garamond"/>
              </w:rPr>
            </w:pPr>
            <w:r w:rsidRPr="00D824AD">
              <w:rPr>
                <w:rFonts w:ascii="Garamond" w:hAnsi="Garamond"/>
              </w:rPr>
              <w:t xml:space="preserve">Yellow Consultants Pvt., </w:t>
            </w:r>
          </w:p>
          <w:p w14:paraId="089F7E4D" w14:textId="77777777" w:rsidR="009C313D" w:rsidRPr="00D824AD" w:rsidRDefault="009C313D" w:rsidP="00560A50">
            <w:pPr>
              <w:spacing w:line="276" w:lineRule="auto"/>
              <w:rPr>
                <w:rFonts w:ascii="Garamond" w:hAnsi="Garamond"/>
              </w:rPr>
            </w:pPr>
            <w:r w:rsidRPr="00D824AD">
              <w:rPr>
                <w:rFonts w:ascii="Garamond" w:hAnsi="Garamond"/>
              </w:rPr>
              <w:t>Ltd.,</w:t>
            </w:r>
          </w:p>
        </w:tc>
        <w:tc>
          <w:tcPr>
            <w:tcW w:w="0" w:type="auto"/>
            <w:gridSpan w:val="2"/>
            <w:vMerge/>
            <w:tcBorders>
              <w:top w:val="nil"/>
              <w:left w:val="single" w:sz="4" w:space="0" w:color="000000"/>
              <w:bottom w:val="single" w:sz="4" w:space="0" w:color="000000"/>
              <w:right w:val="single" w:sz="4" w:space="0" w:color="000000"/>
            </w:tcBorders>
          </w:tcPr>
          <w:p w14:paraId="69BCFB0E" w14:textId="77777777" w:rsidR="009C313D" w:rsidRPr="00D824AD" w:rsidRDefault="009C313D" w:rsidP="00560A50">
            <w:pPr>
              <w:spacing w:line="276" w:lineRule="auto"/>
              <w:rPr>
                <w:rFonts w:ascii="Garamond" w:hAnsi="Garamond"/>
              </w:rPr>
            </w:pPr>
          </w:p>
        </w:tc>
        <w:tc>
          <w:tcPr>
            <w:tcW w:w="0" w:type="auto"/>
            <w:vMerge/>
            <w:tcBorders>
              <w:top w:val="nil"/>
              <w:left w:val="single" w:sz="4" w:space="0" w:color="000000"/>
              <w:bottom w:val="single" w:sz="4" w:space="0" w:color="000000"/>
              <w:right w:val="single" w:sz="4" w:space="0" w:color="000000"/>
            </w:tcBorders>
          </w:tcPr>
          <w:p w14:paraId="11F832F0" w14:textId="77777777" w:rsidR="009C313D" w:rsidRPr="00D824AD" w:rsidRDefault="009C313D" w:rsidP="00560A50">
            <w:pPr>
              <w:spacing w:line="276" w:lineRule="auto"/>
              <w:rPr>
                <w:rFonts w:ascii="Garamond" w:hAnsi="Garamond"/>
              </w:rPr>
            </w:pPr>
          </w:p>
        </w:tc>
        <w:tc>
          <w:tcPr>
            <w:tcW w:w="1702" w:type="dxa"/>
            <w:tcBorders>
              <w:top w:val="single" w:sz="4" w:space="0" w:color="000000"/>
              <w:left w:val="single" w:sz="4" w:space="0" w:color="000000"/>
              <w:bottom w:val="single" w:sz="4" w:space="0" w:color="000000"/>
              <w:right w:val="single" w:sz="4" w:space="0" w:color="000000"/>
            </w:tcBorders>
          </w:tcPr>
          <w:p w14:paraId="79C6D569"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5,00,000/- </w:t>
            </w:r>
          </w:p>
          <w:p w14:paraId="5BF60E23" w14:textId="77777777" w:rsidR="009C313D" w:rsidRPr="00D824AD" w:rsidRDefault="009C313D" w:rsidP="00560A50">
            <w:pPr>
              <w:spacing w:line="276" w:lineRule="auto"/>
              <w:jc w:val="center"/>
              <w:rPr>
                <w:rFonts w:ascii="Garamond" w:hAnsi="Garamond"/>
              </w:rPr>
            </w:pPr>
            <w:r w:rsidRPr="00D824AD">
              <w:rPr>
                <w:rFonts w:ascii="Garamond" w:hAnsi="Garamond"/>
              </w:rPr>
              <w:t>(Rupees Five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0" w:type="auto"/>
            <w:vMerge/>
            <w:tcBorders>
              <w:top w:val="nil"/>
              <w:left w:val="single" w:sz="4" w:space="0" w:color="000000"/>
              <w:bottom w:val="single" w:sz="4" w:space="0" w:color="000000"/>
              <w:right w:val="single" w:sz="4" w:space="0" w:color="000000"/>
            </w:tcBorders>
          </w:tcPr>
          <w:p w14:paraId="09892B43" w14:textId="77777777" w:rsidR="009C313D" w:rsidRPr="00D824AD" w:rsidRDefault="009C313D" w:rsidP="00560A50">
            <w:pPr>
              <w:spacing w:line="276" w:lineRule="auto"/>
              <w:rPr>
                <w:rFonts w:ascii="Garamond" w:hAnsi="Garamond"/>
              </w:rPr>
            </w:pPr>
          </w:p>
        </w:tc>
      </w:tr>
      <w:tr w:rsidR="009C313D" w:rsidRPr="00D824AD" w14:paraId="7C1074A5" w14:textId="77777777" w:rsidTr="00560A50">
        <w:trPr>
          <w:trHeight w:val="1575"/>
        </w:trPr>
        <w:tc>
          <w:tcPr>
            <w:tcW w:w="991" w:type="dxa"/>
            <w:tcBorders>
              <w:top w:val="single" w:sz="4" w:space="0" w:color="000000"/>
              <w:left w:val="single" w:sz="4" w:space="0" w:color="000000"/>
              <w:bottom w:val="single" w:sz="4" w:space="0" w:color="000000"/>
              <w:right w:val="single" w:sz="4" w:space="0" w:color="000000"/>
            </w:tcBorders>
          </w:tcPr>
          <w:p w14:paraId="27C0BD2E"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12 </w:t>
            </w:r>
          </w:p>
        </w:tc>
        <w:tc>
          <w:tcPr>
            <w:tcW w:w="2085" w:type="dxa"/>
            <w:tcBorders>
              <w:top w:val="single" w:sz="4" w:space="0" w:color="000000"/>
              <w:left w:val="single" w:sz="4" w:space="0" w:color="000000"/>
              <w:bottom w:val="single" w:sz="4" w:space="0" w:color="000000"/>
              <w:right w:val="single" w:sz="4" w:space="0" w:color="000000"/>
            </w:tcBorders>
          </w:tcPr>
          <w:p w14:paraId="28264B87" w14:textId="77777777" w:rsidR="009C313D" w:rsidRPr="00D824AD" w:rsidRDefault="009C313D" w:rsidP="00560A50">
            <w:pPr>
              <w:spacing w:line="276" w:lineRule="auto"/>
              <w:rPr>
                <w:rFonts w:ascii="Garamond" w:hAnsi="Garamond"/>
              </w:rPr>
            </w:pPr>
            <w:r w:rsidRPr="00D824AD">
              <w:rPr>
                <w:rFonts w:ascii="Garamond" w:hAnsi="Garamond"/>
              </w:rPr>
              <w:t xml:space="preserve">Mithhilesh Sharma </w:t>
            </w:r>
          </w:p>
        </w:tc>
        <w:tc>
          <w:tcPr>
            <w:tcW w:w="1560" w:type="dxa"/>
            <w:gridSpan w:val="2"/>
            <w:tcBorders>
              <w:top w:val="single" w:sz="4" w:space="0" w:color="000000"/>
              <w:left w:val="single" w:sz="4" w:space="0" w:color="000000"/>
              <w:bottom w:val="single" w:sz="4" w:space="0" w:color="000000"/>
              <w:right w:val="single" w:sz="4" w:space="0" w:color="000000"/>
            </w:tcBorders>
          </w:tcPr>
          <w:p w14:paraId="602C4E43" w14:textId="77777777" w:rsidR="009C313D" w:rsidRPr="00D824AD" w:rsidRDefault="009C313D" w:rsidP="00560A50">
            <w:pPr>
              <w:spacing w:line="234" w:lineRule="auto"/>
              <w:ind w:right="3"/>
              <w:rPr>
                <w:rFonts w:ascii="Garamond" w:hAnsi="Garamond"/>
              </w:rPr>
            </w:pPr>
            <w:r w:rsidRPr="00D824AD">
              <w:rPr>
                <w:rFonts w:ascii="Garamond" w:hAnsi="Garamond"/>
              </w:rPr>
              <w:t xml:space="preserve">Non-disclosure for change in shareholding pattern above </w:t>
            </w:r>
          </w:p>
          <w:p w14:paraId="1EC3407A" w14:textId="77777777" w:rsidR="009C313D" w:rsidRPr="00D824AD" w:rsidRDefault="009C313D" w:rsidP="00560A50">
            <w:pPr>
              <w:spacing w:line="276" w:lineRule="auto"/>
              <w:rPr>
                <w:rFonts w:ascii="Garamond" w:hAnsi="Garamond"/>
              </w:rPr>
            </w:pPr>
            <w:r w:rsidRPr="00D824AD">
              <w:rPr>
                <w:rFonts w:ascii="Garamond" w:hAnsi="Garamond"/>
              </w:rPr>
              <w:t xml:space="preserve">2% </w:t>
            </w:r>
            <w:r w:rsidRPr="00D824AD">
              <w:rPr>
                <w:rFonts w:ascii="Garamond" w:eastAsia="Arial" w:hAnsi="Garamond" w:cs="Arial"/>
                <w:b/>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38D3D85" w14:textId="77777777" w:rsidR="009C313D" w:rsidRPr="00D824AD" w:rsidRDefault="009C313D" w:rsidP="00560A50">
            <w:pPr>
              <w:spacing w:line="233" w:lineRule="auto"/>
              <w:rPr>
                <w:rFonts w:ascii="Garamond" w:hAnsi="Garamond"/>
              </w:rPr>
            </w:pPr>
            <w:r w:rsidRPr="00D824AD">
              <w:rPr>
                <w:rFonts w:ascii="Garamond" w:hAnsi="Garamond"/>
              </w:rPr>
              <w:t xml:space="preserve">Regulation 7 (1A) of SEBI </w:t>
            </w:r>
          </w:p>
          <w:p w14:paraId="1C7DEFCF" w14:textId="77777777" w:rsidR="009C313D" w:rsidRPr="00D824AD" w:rsidRDefault="009C313D" w:rsidP="00560A50">
            <w:pPr>
              <w:rPr>
                <w:rFonts w:ascii="Garamond" w:hAnsi="Garamond"/>
              </w:rPr>
            </w:pPr>
            <w:r w:rsidRPr="00D824AD">
              <w:rPr>
                <w:rFonts w:ascii="Garamond" w:hAnsi="Garamond"/>
              </w:rPr>
              <w:t xml:space="preserve">(SAST) </w:t>
            </w:r>
          </w:p>
          <w:p w14:paraId="26659F88" w14:textId="77777777" w:rsidR="009C313D" w:rsidRPr="00D824AD" w:rsidRDefault="009C313D" w:rsidP="00560A50">
            <w:pPr>
              <w:rPr>
                <w:rFonts w:ascii="Garamond" w:hAnsi="Garamond"/>
              </w:rPr>
            </w:pPr>
            <w:r w:rsidRPr="00D824AD">
              <w:rPr>
                <w:rFonts w:ascii="Garamond" w:hAnsi="Garamond"/>
              </w:rPr>
              <w:t xml:space="preserve">Regulations, </w:t>
            </w:r>
          </w:p>
          <w:p w14:paraId="23A5FB40" w14:textId="77777777" w:rsidR="009C313D" w:rsidRPr="00D824AD" w:rsidRDefault="009C313D" w:rsidP="00560A50">
            <w:pPr>
              <w:spacing w:line="234" w:lineRule="auto"/>
              <w:ind w:right="1"/>
              <w:rPr>
                <w:rFonts w:ascii="Garamond" w:hAnsi="Garamond"/>
              </w:rPr>
            </w:pPr>
            <w:r w:rsidRPr="00D824AD">
              <w:rPr>
                <w:rFonts w:ascii="Garamond" w:hAnsi="Garamond"/>
              </w:rPr>
              <w:t xml:space="preserve">1997 read with Regulation 35 of SEBI </w:t>
            </w:r>
          </w:p>
          <w:p w14:paraId="31A48DBC" w14:textId="77777777" w:rsidR="009C313D" w:rsidRPr="00D824AD" w:rsidRDefault="009C313D" w:rsidP="00560A50">
            <w:pPr>
              <w:spacing w:line="276" w:lineRule="auto"/>
              <w:rPr>
                <w:rFonts w:ascii="Garamond" w:hAnsi="Garamond"/>
              </w:rPr>
            </w:pPr>
            <w:r w:rsidRPr="00D824AD">
              <w:rPr>
                <w:rFonts w:ascii="Garamond" w:hAnsi="Garamond"/>
              </w:rPr>
              <w:t xml:space="preserve">(SAST) Regulations, 2011. </w:t>
            </w:r>
          </w:p>
        </w:tc>
        <w:tc>
          <w:tcPr>
            <w:tcW w:w="1702" w:type="dxa"/>
            <w:tcBorders>
              <w:top w:val="single" w:sz="4" w:space="0" w:color="000000"/>
              <w:left w:val="single" w:sz="4" w:space="0" w:color="000000"/>
              <w:bottom w:val="single" w:sz="4" w:space="0" w:color="000000"/>
              <w:right w:val="single" w:sz="4" w:space="0" w:color="000000"/>
            </w:tcBorders>
          </w:tcPr>
          <w:p w14:paraId="10DE23B7" w14:textId="77777777" w:rsidR="009C313D" w:rsidRPr="00D824AD" w:rsidRDefault="009C313D" w:rsidP="00560A50">
            <w:pPr>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2,00,000/- </w:t>
            </w:r>
          </w:p>
          <w:p w14:paraId="350CE2B9" w14:textId="77777777" w:rsidR="009C313D" w:rsidRPr="00D824AD" w:rsidRDefault="009C313D" w:rsidP="00560A50">
            <w:pPr>
              <w:spacing w:line="276" w:lineRule="auto"/>
              <w:jc w:val="center"/>
              <w:rPr>
                <w:rFonts w:ascii="Garamond" w:hAnsi="Garamond"/>
              </w:rPr>
            </w:pPr>
            <w:r w:rsidRPr="00D824AD">
              <w:rPr>
                <w:rFonts w:ascii="Garamond" w:hAnsi="Garamond"/>
              </w:rPr>
              <w:t>(Rupees Two la</w:t>
            </w:r>
            <w:r>
              <w:rPr>
                <w:rFonts w:ascii="Garamond" w:hAnsi="Garamond"/>
              </w:rPr>
              <w:t>kh</w:t>
            </w:r>
            <w:r w:rsidRPr="00D824AD">
              <w:rPr>
                <w:rFonts w:ascii="Garamond" w:hAnsi="Garamond"/>
              </w:rPr>
              <w:t xml:space="preserve"> only) </w:t>
            </w:r>
          </w:p>
        </w:tc>
        <w:tc>
          <w:tcPr>
            <w:tcW w:w="1135" w:type="dxa"/>
            <w:tcBorders>
              <w:top w:val="single" w:sz="4" w:space="0" w:color="000000"/>
              <w:left w:val="single" w:sz="4" w:space="0" w:color="000000"/>
              <w:bottom w:val="single" w:sz="4" w:space="0" w:color="000000"/>
              <w:right w:val="single" w:sz="4" w:space="0" w:color="000000"/>
            </w:tcBorders>
          </w:tcPr>
          <w:p w14:paraId="4A62925F" w14:textId="77777777" w:rsidR="009C313D" w:rsidRPr="00D824AD" w:rsidRDefault="009C313D" w:rsidP="00560A50">
            <w:pPr>
              <w:rPr>
                <w:rFonts w:ascii="Garamond" w:hAnsi="Garamond"/>
              </w:rPr>
            </w:pPr>
            <w:r w:rsidRPr="00D824AD">
              <w:rPr>
                <w:rFonts w:ascii="Garamond" w:hAnsi="Garamond"/>
              </w:rPr>
              <w:t xml:space="preserve">Section </w:t>
            </w:r>
          </w:p>
          <w:p w14:paraId="42962512" w14:textId="77777777" w:rsidR="009C313D" w:rsidRPr="00D824AD" w:rsidRDefault="009C313D" w:rsidP="00560A50">
            <w:pPr>
              <w:rPr>
                <w:rFonts w:ascii="Garamond" w:hAnsi="Garamond"/>
              </w:rPr>
            </w:pPr>
            <w:r w:rsidRPr="00D824AD">
              <w:rPr>
                <w:rFonts w:ascii="Garamond" w:hAnsi="Garamond"/>
              </w:rPr>
              <w:t xml:space="preserve">15 A (b) of </w:t>
            </w:r>
          </w:p>
          <w:p w14:paraId="15190639" w14:textId="77777777" w:rsidR="009C313D" w:rsidRPr="00D824AD" w:rsidRDefault="009C313D" w:rsidP="00560A50">
            <w:pPr>
              <w:spacing w:line="276" w:lineRule="auto"/>
              <w:rPr>
                <w:rFonts w:ascii="Garamond" w:hAnsi="Garamond"/>
              </w:rPr>
            </w:pPr>
            <w:r w:rsidRPr="00D824AD">
              <w:rPr>
                <w:rFonts w:ascii="Garamond" w:hAnsi="Garamond"/>
              </w:rPr>
              <w:t xml:space="preserve">SEBI Act </w:t>
            </w:r>
          </w:p>
        </w:tc>
      </w:tr>
    </w:tbl>
    <w:p w14:paraId="1E57EA22" w14:textId="77777777" w:rsidR="009C313D" w:rsidRPr="00D824AD" w:rsidRDefault="009C313D" w:rsidP="009C313D">
      <w:pPr>
        <w:pStyle w:val="Default"/>
        <w:ind w:left="720"/>
        <w:jc w:val="both"/>
        <w:rPr>
          <w:rFonts w:ascii="Garamond" w:hAnsi="Garamond"/>
          <w:bCs/>
        </w:rPr>
      </w:pPr>
    </w:p>
    <w:p w14:paraId="2DBDEE7F" w14:textId="77777777" w:rsidR="009C313D" w:rsidRPr="00D824AD" w:rsidRDefault="009C313D" w:rsidP="009C313D">
      <w:pPr>
        <w:pStyle w:val="ListParagraph"/>
        <w:rPr>
          <w:rFonts w:ascii="Garamond" w:hAnsi="Garamond"/>
          <w:bCs/>
        </w:rPr>
      </w:pPr>
    </w:p>
    <w:p w14:paraId="6A73574D"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26 September 2018, in the matter of Parichay Investments imposing a total penalty of </w:t>
      </w:r>
      <w:r>
        <w:rPr>
          <w:rFonts w:ascii="Cambria Math" w:hAnsi="Cambria Math" w:cs="Cambria Math"/>
          <w:bCs/>
        </w:rPr>
        <w:t>₹</w:t>
      </w:r>
      <w:r w:rsidRPr="00D824AD">
        <w:rPr>
          <w:rFonts w:ascii="Garamond" w:hAnsi="Garamond"/>
          <w:bCs/>
        </w:rPr>
        <w:t xml:space="preserve"> 6,00,000 (Rupees Six Lakh Only) on Amul Gagabhai Desai for the violation of provisions of Regulation 7(1) read with 7(2) of SEBI (Substantial Acquisition of Shares and Takeove</w:t>
      </w:r>
      <w:r>
        <w:rPr>
          <w:rFonts w:ascii="Cambria Math" w:hAnsi="Cambria Math" w:cs="Cambria Math"/>
          <w:bCs/>
        </w:rPr>
        <w:t>r</w:t>
      </w:r>
      <w:r w:rsidRPr="00D824AD">
        <w:rPr>
          <w:rFonts w:ascii="Garamond" w:hAnsi="Garamond"/>
          <w:bCs/>
        </w:rPr>
        <w:t>) Regulations, 1997 (“SAST 1997”) and Regulations 13(1), 13(3) read with 13(5) of SEBI (Prohibition of Insider Trading) Regulations, 1992 (“PIT 1992”).</w:t>
      </w:r>
    </w:p>
    <w:p w14:paraId="65E904A7" w14:textId="77777777" w:rsidR="009C313D" w:rsidRPr="00D824AD" w:rsidRDefault="009C313D" w:rsidP="009C313D">
      <w:pPr>
        <w:pStyle w:val="ListParagraph"/>
        <w:rPr>
          <w:rFonts w:ascii="Garamond" w:hAnsi="Garamond"/>
          <w:bCs/>
        </w:rPr>
      </w:pPr>
    </w:p>
    <w:p w14:paraId="37647926"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26 September 2018, in the matter of Parichay Investments imposing a total penalty of </w:t>
      </w:r>
      <w:r>
        <w:rPr>
          <w:rFonts w:ascii="Cambria Math" w:hAnsi="Cambria Math" w:cs="Cambria Math"/>
          <w:bCs/>
        </w:rPr>
        <w:t>₹</w:t>
      </w:r>
      <w:r w:rsidRPr="00D824AD">
        <w:rPr>
          <w:rFonts w:ascii="Garamond" w:hAnsi="Garamond"/>
          <w:bCs/>
        </w:rPr>
        <w:t xml:space="preserve"> 6,00,000 (Rupees Six Lakh Only) on Dhirenkumar Dharamdas Agarwal for the violation of provisions of Regulation 7(1) read with 7(2) of SEBI (Substantial Acquisition of Shares and Takeovers) Regulations, 1997 (“SAST 1997”) and Regulations 13(1), 13(3) read with 13(5) of SEBI (Prohibition of Insider Trading) Regulations, 1992 (“PIT 1992”).</w:t>
      </w:r>
    </w:p>
    <w:p w14:paraId="248871A9" w14:textId="77777777" w:rsidR="009C313D" w:rsidRPr="00D824AD" w:rsidRDefault="009C313D" w:rsidP="009C313D">
      <w:pPr>
        <w:pStyle w:val="ListParagraph"/>
        <w:rPr>
          <w:rFonts w:ascii="Garamond" w:hAnsi="Garamond"/>
          <w:bCs/>
        </w:rPr>
      </w:pPr>
    </w:p>
    <w:p w14:paraId="217D257B"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26 September 2018, in the matter of Ravi Kumar Distilleries Limited imposing a total penalty of </w:t>
      </w:r>
      <w:r>
        <w:rPr>
          <w:rFonts w:ascii="Cambria Math" w:hAnsi="Cambria Math" w:cs="Cambria Math"/>
          <w:bCs/>
        </w:rPr>
        <w:t>₹</w:t>
      </w:r>
      <w:r w:rsidRPr="00D824AD">
        <w:rPr>
          <w:rFonts w:ascii="Garamond" w:hAnsi="Garamond"/>
          <w:bCs/>
        </w:rPr>
        <w:t xml:space="preserve"> 5,00,000 (Rupees Five Lakh Only) on Gulistan Vanijya Private Limited for the violation of certain provisions of sections 11C(2) and 11C(3) of SEBI Act.</w:t>
      </w:r>
    </w:p>
    <w:p w14:paraId="5913A54A" w14:textId="77777777" w:rsidR="009C313D" w:rsidRPr="00D824AD" w:rsidRDefault="009C313D" w:rsidP="009C313D">
      <w:pPr>
        <w:pStyle w:val="ListParagraph"/>
        <w:rPr>
          <w:rFonts w:ascii="Garamond" w:hAnsi="Garamond"/>
          <w:bCs/>
        </w:rPr>
      </w:pPr>
    </w:p>
    <w:p w14:paraId="61B8FE45"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Falcon Tyres Ltd imposing a total penalty of </w:t>
      </w:r>
      <w:r>
        <w:rPr>
          <w:rFonts w:ascii="Cambria Math" w:hAnsi="Cambria Math" w:cs="Cambria Math"/>
          <w:bCs/>
        </w:rPr>
        <w:t>₹</w:t>
      </w:r>
      <w:r w:rsidRPr="00D824AD">
        <w:rPr>
          <w:rFonts w:ascii="Garamond" w:hAnsi="Garamond"/>
          <w:bCs/>
        </w:rPr>
        <w:t xml:space="preserve"> 1,00,000 (Rupees One Lakh Only) on Falcon Tyres Ltd for the violation of Clause 35 of SEBI Act.</w:t>
      </w:r>
    </w:p>
    <w:p w14:paraId="10FF769C" w14:textId="77777777" w:rsidR="009C313D" w:rsidRPr="00D824AD" w:rsidRDefault="009C313D" w:rsidP="009C313D">
      <w:pPr>
        <w:pStyle w:val="ListParagraph"/>
        <w:rPr>
          <w:rFonts w:ascii="Garamond" w:hAnsi="Garamond"/>
          <w:bCs/>
        </w:rPr>
      </w:pPr>
    </w:p>
    <w:p w14:paraId="3375F479"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Sharepro Services (I) Private Limited imposing a total penalty of </w:t>
      </w:r>
      <w:r>
        <w:rPr>
          <w:rFonts w:ascii="Cambria Math" w:hAnsi="Cambria Math" w:cs="Cambria Math"/>
          <w:bCs/>
        </w:rPr>
        <w:t>₹</w:t>
      </w:r>
      <w:r w:rsidRPr="00D824AD">
        <w:rPr>
          <w:rFonts w:ascii="Garamond" w:hAnsi="Garamond"/>
          <w:bCs/>
        </w:rPr>
        <w:t xml:space="preserve"> 1,00,000 (Rupees One Lakh Only) on Technojet Consultants Limited for non-compliance with SEBI order dated 22 March, 2016.</w:t>
      </w:r>
    </w:p>
    <w:p w14:paraId="4F308978" w14:textId="77777777" w:rsidR="009C313D" w:rsidRPr="00D824AD" w:rsidRDefault="009C313D" w:rsidP="009C313D">
      <w:pPr>
        <w:pStyle w:val="ListParagraph"/>
        <w:rPr>
          <w:rFonts w:ascii="Garamond" w:hAnsi="Garamond"/>
          <w:bCs/>
        </w:rPr>
      </w:pPr>
    </w:p>
    <w:p w14:paraId="14168D53"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Sharepro Services (I) Private Limited imposing a total penalty of </w:t>
      </w:r>
      <w:r>
        <w:rPr>
          <w:rFonts w:ascii="Cambria Math" w:hAnsi="Cambria Math" w:cs="Cambria Math"/>
          <w:bCs/>
        </w:rPr>
        <w:t>₹</w:t>
      </w:r>
      <w:r w:rsidRPr="00D824AD">
        <w:rPr>
          <w:rFonts w:ascii="Garamond" w:hAnsi="Garamond"/>
          <w:bCs/>
        </w:rPr>
        <w:t xml:space="preserve"> 1,00,000 (Rupees One Lakh Only) on Oseaspre Consultants Limited for non-compliance with SEBI order dated 22 March, 2016.</w:t>
      </w:r>
    </w:p>
    <w:p w14:paraId="40385CA1" w14:textId="77777777" w:rsidR="009C313D" w:rsidRPr="00D824AD" w:rsidRDefault="009C313D" w:rsidP="009C313D">
      <w:pPr>
        <w:pStyle w:val="ListParagraph"/>
        <w:rPr>
          <w:rFonts w:ascii="Garamond" w:hAnsi="Garamond"/>
          <w:bCs/>
        </w:rPr>
      </w:pPr>
    </w:p>
    <w:p w14:paraId="4D465E29"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Pithampur Steels Ltd. imposing following penalties on </w:t>
      </w:r>
      <w:r>
        <w:rPr>
          <w:rFonts w:ascii="Garamond" w:hAnsi="Garamond"/>
          <w:bCs/>
        </w:rPr>
        <w:t>four</w:t>
      </w:r>
      <w:r w:rsidRPr="00D824AD">
        <w:rPr>
          <w:rFonts w:ascii="Garamond" w:hAnsi="Garamond"/>
          <w:bCs/>
        </w:rPr>
        <w:t xml:space="preserve"> Entities for the violation of following provisions of SCRA and PIT Regulations.</w:t>
      </w:r>
    </w:p>
    <w:p w14:paraId="1F972449" w14:textId="77777777" w:rsidR="009C313D" w:rsidRPr="00D824AD" w:rsidRDefault="009C313D" w:rsidP="009C313D">
      <w:pPr>
        <w:pStyle w:val="ListParagraph"/>
        <w:rPr>
          <w:rFonts w:ascii="Garamond" w:hAnsi="Garamond"/>
          <w:bCs/>
          <w:strike/>
          <w:sz w:val="24"/>
          <w:szCs w:val="24"/>
        </w:rPr>
      </w:pPr>
    </w:p>
    <w:p w14:paraId="0457D2C0" w14:textId="77777777" w:rsidR="009C313D" w:rsidRPr="00D824AD" w:rsidRDefault="009C313D" w:rsidP="009C313D">
      <w:pPr>
        <w:pStyle w:val="ListParagraph"/>
        <w:rPr>
          <w:rFonts w:ascii="Garamond" w:hAnsi="Garamond"/>
          <w:bCs/>
          <w:strike/>
          <w:sz w:val="24"/>
          <w:szCs w:val="24"/>
        </w:rPr>
      </w:pPr>
    </w:p>
    <w:tbl>
      <w:tblPr>
        <w:tblW w:w="9510" w:type="dxa"/>
        <w:tblCellMar>
          <w:right w:w="52" w:type="dxa"/>
        </w:tblCellMar>
        <w:tblLook w:val="04A0" w:firstRow="1" w:lastRow="0" w:firstColumn="1" w:lastColumn="0" w:noHBand="0" w:noVBand="1"/>
      </w:tblPr>
      <w:tblGrid>
        <w:gridCol w:w="980"/>
        <w:gridCol w:w="1810"/>
        <w:gridCol w:w="1926"/>
        <w:gridCol w:w="358"/>
        <w:gridCol w:w="1558"/>
        <w:gridCol w:w="1678"/>
        <w:gridCol w:w="38"/>
        <w:gridCol w:w="1131"/>
        <w:gridCol w:w="31"/>
      </w:tblGrid>
      <w:tr w:rsidR="009C313D" w:rsidRPr="00D824AD" w14:paraId="319CEE58" w14:textId="77777777" w:rsidTr="00560A50">
        <w:trPr>
          <w:gridAfter w:val="1"/>
          <w:wAfter w:w="32" w:type="dxa"/>
          <w:trHeight w:val="929"/>
        </w:trPr>
        <w:tc>
          <w:tcPr>
            <w:tcW w:w="991" w:type="dxa"/>
            <w:tcBorders>
              <w:top w:val="single" w:sz="4" w:space="0" w:color="000000"/>
              <w:left w:val="single" w:sz="4" w:space="0" w:color="000000"/>
              <w:bottom w:val="single" w:sz="4" w:space="0" w:color="000000"/>
              <w:right w:val="single" w:sz="4" w:space="0" w:color="000000"/>
            </w:tcBorders>
          </w:tcPr>
          <w:p w14:paraId="383CB524" w14:textId="77777777" w:rsidR="009C313D" w:rsidRPr="00D824AD" w:rsidRDefault="009C313D" w:rsidP="00560A50">
            <w:pPr>
              <w:spacing w:line="276" w:lineRule="auto"/>
              <w:ind w:left="108"/>
              <w:rPr>
                <w:rFonts w:ascii="Garamond" w:hAnsi="Garamond"/>
              </w:rPr>
            </w:pPr>
            <w:r>
              <w:rPr>
                <w:rFonts w:ascii="Garamond" w:eastAsia="Arial" w:hAnsi="Garamond" w:cs="Arial"/>
                <w:b/>
              </w:rPr>
              <w:t xml:space="preserve">Sl. </w:t>
            </w:r>
            <w:r w:rsidRPr="00D824AD">
              <w:rPr>
                <w:rFonts w:ascii="Garamond" w:eastAsia="Arial" w:hAnsi="Garamond" w:cs="Arial"/>
                <w:b/>
              </w:rPr>
              <w:t xml:space="preserve">No. </w:t>
            </w:r>
          </w:p>
        </w:tc>
        <w:tc>
          <w:tcPr>
            <w:tcW w:w="1839" w:type="dxa"/>
            <w:tcBorders>
              <w:top w:val="single" w:sz="4" w:space="0" w:color="000000"/>
              <w:left w:val="single" w:sz="4" w:space="0" w:color="000000"/>
              <w:bottom w:val="single" w:sz="4" w:space="0" w:color="000000"/>
              <w:right w:val="single" w:sz="4" w:space="0" w:color="000000"/>
            </w:tcBorders>
          </w:tcPr>
          <w:p w14:paraId="0BFDF20F"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Name of the </w:t>
            </w:r>
            <w:r>
              <w:rPr>
                <w:rFonts w:ascii="Garamond" w:eastAsia="Arial" w:hAnsi="Garamond" w:cs="Arial"/>
                <w:b/>
              </w:rPr>
              <w:t>Entity</w:t>
            </w:r>
            <w:r w:rsidRPr="00D824AD">
              <w:rPr>
                <w:rFonts w:ascii="Garamond" w:eastAsia="Arial" w:hAnsi="Garamond" w:cs="Arial"/>
                <w:b/>
              </w:rPr>
              <w:t xml:space="preserve"> </w:t>
            </w:r>
          </w:p>
        </w:tc>
        <w:tc>
          <w:tcPr>
            <w:tcW w:w="1949" w:type="dxa"/>
            <w:tcBorders>
              <w:top w:val="single" w:sz="4" w:space="0" w:color="000000"/>
              <w:left w:val="single" w:sz="4" w:space="0" w:color="000000"/>
              <w:bottom w:val="single" w:sz="4" w:space="0" w:color="000000"/>
              <w:right w:val="nil"/>
            </w:tcBorders>
          </w:tcPr>
          <w:p w14:paraId="283BE3F8"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Nature </w:t>
            </w:r>
            <w:r>
              <w:rPr>
                <w:rFonts w:ascii="Garamond" w:eastAsia="Arial" w:hAnsi="Garamond" w:cs="Arial"/>
                <w:b/>
              </w:rPr>
              <w:t>V</w:t>
            </w:r>
            <w:r w:rsidRPr="00D824AD">
              <w:rPr>
                <w:rFonts w:ascii="Garamond" w:eastAsia="Arial" w:hAnsi="Garamond" w:cs="Arial"/>
                <w:b/>
              </w:rPr>
              <w:t xml:space="preserve">iolations </w:t>
            </w:r>
          </w:p>
        </w:tc>
        <w:tc>
          <w:tcPr>
            <w:tcW w:w="304" w:type="dxa"/>
            <w:tcBorders>
              <w:top w:val="single" w:sz="4" w:space="0" w:color="000000"/>
              <w:left w:val="nil"/>
              <w:bottom w:val="single" w:sz="4" w:space="0" w:color="000000"/>
              <w:right w:val="single" w:sz="4" w:space="0" w:color="000000"/>
            </w:tcBorders>
          </w:tcPr>
          <w:p w14:paraId="1CA5759E" w14:textId="77777777" w:rsidR="009C313D" w:rsidRPr="00D824AD" w:rsidRDefault="009C313D" w:rsidP="00560A50">
            <w:pPr>
              <w:spacing w:line="276" w:lineRule="auto"/>
              <w:rPr>
                <w:rFonts w:ascii="Garamond" w:hAnsi="Garamond"/>
              </w:rPr>
            </w:pPr>
            <w:r w:rsidRPr="00D824AD">
              <w:rPr>
                <w:rFonts w:ascii="Garamond" w:eastAsia="Arial" w:hAnsi="Garamond" w:cs="Arial"/>
                <w:b/>
              </w:rPr>
              <w:t xml:space="preserve">of </w:t>
            </w:r>
          </w:p>
        </w:tc>
        <w:tc>
          <w:tcPr>
            <w:tcW w:w="1560" w:type="dxa"/>
            <w:tcBorders>
              <w:top w:val="single" w:sz="4" w:space="0" w:color="000000"/>
              <w:left w:val="single" w:sz="4" w:space="0" w:color="000000"/>
              <w:bottom w:val="single" w:sz="4" w:space="0" w:color="000000"/>
              <w:right w:val="single" w:sz="4" w:space="0" w:color="000000"/>
            </w:tcBorders>
          </w:tcPr>
          <w:p w14:paraId="129DDDAE" w14:textId="77777777" w:rsidR="009C313D" w:rsidRPr="00D824AD" w:rsidRDefault="009C313D" w:rsidP="00560A50">
            <w:pPr>
              <w:ind w:left="108"/>
              <w:rPr>
                <w:rFonts w:ascii="Garamond" w:hAnsi="Garamond"/>
              </w:rPr>
            </w:pPr>
            <w:r w:rsidRPr="00D824AD">
              <w:rPr>
                <w:rFonts w:ascii="Garamond" w:eastAsia="Arial" w:hAnsi="Garamond" w:cs="Arial"/>
                <w:b/>
              </w:rPr>
              <w:t xml:space="preserve">Violation </w:t>
            </w:r>
            <w:r w:rsidRPr="00D824AD">
              <w:rPr>
                <w:rFonts w:ascii="Garamond" w:eastAsia="Arial" w:hAnsi="Garamond" w:cs="Arial"/>
                <w:b/>
              </w:rPr>
              <w:tab/>
              <w:t xml:space="preserve">of </w:t>
            </w:r>
          </w:p>
          <w:p w14:paraId="4D4E274A" w14:textId="77777777" w:rsidR="009C313D" w:rsidRPr="00D824AD" w:rsidRDefault="009C313D" w:rsidP="00560A50">
            <w:pPr>
              <w:ind w:left="108"/>
              <w:rPr>
                <w:rFonts w:ascii="Garamond" w:hAnsi="Garamond"/>
              </w:rPr>
            </w:pPr>
            <w:r w:rsidRPr="00D824AD">
              <w:rPr>
                <w:rFonts w:ascii="Garamond" w:eastAsia="Arial" w:hAnsi="Garamond" w:cs="Arial"/>
                <w:b/>
              </w:rPr>
              <w:t xml:space="preserve">Act </w:t>
            </w:r>
            <w:r w:rsidRPr="00D824AD">
              <w:rPr>
                <w:rFonts w:ascii="Garamond" w:eastAsia="Arial" w:hAnsi="Garamond" w:cs="Arial"/>
                <w:b/>
              </w:rPr>
              <w:tab/>
              <w:t xml:space="preserve">/ </w:t>
            </w:r>
          </w:p>
          <w:p w14:paraId="4A461BDF" w14:textId="77777777" w:rsidR="009C313D" w:rsidRPr="00D824AD" w:rsidRDefault="009C313D" w:rsidP="00560A50">
            <w:pPr>
              <w:ind w:left="108"/>
              <w:rPr>
                <w:rFonts w:ascii="Garamond" w:hAnsi="Garamond"/>
              </w:rPr>
            </w:pPr>
            <w:r w:rsidRPr="00D824AD">
              <w:rPr>
                <w:rFonts w:ascii="Garamond" w:eastAsia="Arial" w:hAnsi="Garamond" w:cs="Arial"/>
                <w:b/>
              </w:rPr>
              <w:t xml:space="preserve">Notification / </w:t>
            </w:r>
          </w:p>
          <w:p w14:paraId="7EA8199E"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Regulation </w:t>
            </w:r>
          </w:p>
        </w:tc>
        <w:tc>
          <w:tcPr>
            <w:tcW w:w="1700" w:type="dxa"/>
            <w:tcBorders>
              <w:top w:val="single" w:sz="4" w:space="0" w:color="000000"/>
              <w:left w:val="single" w:sz="4" w:space="0" w:color="000000"/>
              <w:bottom w:val="single" w:sz="4" w:space="0" w:color="000000"/>
              <w:right w:val="single" w:sz="4" w:space="0" w:color="000000"/>
            </w:tcBorders>
          </w:tcPr>
          <w:p w14:paraId="11EBB9EA"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Penalty </w:t>
            </w:r>
            <w:r>
              <w:rPr>
                <w:rFonts w:ascii="Garamond" w:eastAsia="Arial" w:hAnsi="Garamond" w:cs="Arial"/>
                <w:b/>
              </w:rPr>
              <w:t>A</w:t>
            </w:r>
            <w:r w:rsidRPr="00D824AD">
              <w:rPr>
                <w:rFonts w:ascii="Garamond" w:eastAsia="Arial" w:hAnsi="Garamond" w:cs="Arial"/>
                <w:b/>
              </w:rPr>
              <w:t xml:space="preserve">mount in </w:t>
            </w:r>
            <w:r>
              <w:rPr>
                <w:rFonts w:ascii="Garamond" w:eastAsia="Arial" w:hAnsi="Garamond" w:cs="Arial"/>
                <w:b/>
              </w:rPr>
              <w:t>Figures</w:t>
            </w:r>
            <w:r w:rsidRPr="00D824AD">
              <w:rPr>
                <w:rFonts w:ascii="Garamond" w:eastAsia="Rupee Foradian" w:hAnsi="Garamond" w:cs="Rupee Foradian"/>
              </w:rPr>
              <w:t xml:space="preserve"> </w:t>
            </w:r>
            <w:r w:rsidRPr="00D824AD">
              <w:rPr>
                <w:rFonts w:ascii="Garamond" w:eastAsia="Arial" w:hAnsi="Garamond" w:cs="Arial"/>
                <w:b/>
              </w:rPr>
              <w:t xml:space="preserve">and </w:t>
            </w:r>
            <w:r>
              <w:rPr>
                <w:rFonts w:ascii="Garamond" w:eastAsia="Arial" w:hAnsi="Garamond" w:cs="Arial"/>
                <w:b/>
              </w:rPr>
              <w:t>W</w:t>
            </w:r>
            <w:r w:rsidRPr="00D824AD">
              <w:rPr>
                <w:rFonts w:ascii="Garamond" w:eastAsia="Arial" w:hAnsi="Garamond" w:cs="Arial"/>
                <w:b/>
              </w:rPr>
              <w:t xml:space="preserve">ords </w:t>
            </w:r>
          </w:p>
        </w:tc>
        <w:tc>
          <w:tcPr>
            <w:tcW w:w="1135" w:type="dxa"/>
            <w:gridSpan w:val="2"/>
            <w:tcBorders>
              <w:top w:val="single" w:sz="4" w:space="0" w:color="000000"/>
              <w:left w:val="single" w:sz="4" w:space="0" w:color="000000"/>
              <w:bottom w:val="single" w:sz="4" w:space="0" w:color="000000"/>
              <w:right w:val="single" w:sz="4" w:space="0" w:color="000000"/>
            </w:tcBorders>
          </w:tcPr>
          <w:p w14:paraId="1B47EEB2" w14:textId="77777777" w:rsidR="009C313D" w:rsidRPr="00D824AD" w:rsidRDefault="009C313D" w:rsidP="00560A50">
            <w:pPr>
              <w:spacing w:line="276" w:lineRule="auto"/>
              <w:ind w:left="108"/>
              <w:rPr>
                <w:rFonts w:ascii="Garamond" w:hAnsi="Garamond"/>
              </w:rPr>
            </w:pPr>
            <w:r w:rsidRPr="00D824AD">
              <w:rPr>
                <w:rFonts w:ascii="Garamond" w:eastAsia="Arial" w:hAnsi="Garamond" w:cs="Arial"/>
                <w:b/>
              </w:rPr>
              <w:t xml:space="preserve">Penalty </w:t>
            </w:r>
            <w:r>
              <w:rPr>
                <w:rFonts w:ascii="Garamond" w:eastAsia="Arial" w:hAnsi="Garamond" w:cs="Arial"/>
                <w:b/>
              </w:rPr>
              <w:t>I</w:t>
            </w:r>
            <w:r w:rsidRPr="00D824AD">
              <w:rPr>
                <w:rFonts w:ascii="Garamond" w:eastAsia="Arial" w:hAnsi="Garamond" w:cs="Arial"/>
                <w:b/>
              </w:rPr>
              <w:t xml:space="preserve">mposed under  </w:t>
            </w:r>
          </w:p>
        </w:tc>
      </w:tr>
      <w:tr w:rsidR="009C313D" w:rsidRPr="00D824AD" w14:paraId="6E4CBE30" w14:textId="77777777" w:rsidTr="00560A50">
        <w:trPr>
          <w:trHeight w:val="2396"/>
        </w:trPr>
        <w:tc>
          <w:tcPr>
            <w:tcW w:w="991" w:type="dxa"/>
            <w:vMerge w:val="restart"/>
            <w:tcBorders>
              <w:top w:val="single" w:sz="4" w:space="0" w:color="000000"/>
              <w:left w:val="single" w:sz="4" w:space="0" w:color="000000"/>
              <w:bottom w:val="single" w:sz="4" w:space="0" w:color="000000"/>
              <w:right w:val="single" w:sz="4" w:space="0" w:color="000000"/>
            </w:tcBorders>
          </w:tcPr>
          <w:p w14:paraId="6C706AFA"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1 </w:t>
            </w:r>
          </w:p>
        </w:tc>
        <w:tc>
          <w:tcPr>
            <w:tcW w:w="1839" w:type="dxa"/>
            <w:vMerge w:val="restart"/>
            <w:tcBorders>
              <w:top w:val="single" w:sz="4" w:space="0" w:color="000000"/>
              <w:left w:val="single" w:sz="4" w:space="0" w:color="000000"/>
              <w:bottom w:val="single" w:sz="4" w:space="0" w:color="000000"/>
              <w:right w:val="single" w:sz="4" w:space="0" w:color="000000"/>
            </w:tcBorders>
          </w:tcPr>
          <w:p w14:paraId="2FC4DDD3" w14:textId="77777777" w:rsidR="009C313D" w:rsidRPr="00D824AD" w:rsidRDefault="009C313D" w:rsidP="00560A50">
            <w:pPr>
              <w:spacing w:line="276" w:lineRule="auto"/>
              <w:rPr>
                <w:rFonts w:ascii="Garamond" w:hAnsi="Garamond"/>
              </w:rPr>
            </w:pPr>
            <w:r w:rsidRPr="00D824AD">
              <w:rPr>
                <w:rFonts w:ascii="Garamond" w:hAnsi="Garamond"/>
              </w:rPr>
              <w:t xml:space="preserve">Yard Securities Pvt., Ltd.,  </w:t>
            </w:r>
          </w:p>
        </w:tc>
        <w:tc>
          <w:tcPr>
            <w:tcW w:w="2253" w:type="dxa"/>
            <w:gridSpan w:val="2"/>
            <w:tcBorders>
              <w:top w:val="single" w:sz="4" w:space="0" w:color="000000"/>
              <w:left w:val="single" w:sz="4" w:space="0" w:color="000000"/>
              <w:bottom w:val="single" w:sz="4" w:space="0" w:color="000000"/>
              <w:right w:val="single" w:sz="4" w:space="0" w:color="000000"/>
            </w:tcBorders>
          </w:tcPr>
          <w:p w14:paraId="2E7EBBCC" w14:textId="77777777" w:rsidR="009C313D" w:rsidRPr="00D824AD" w:rsidRDefault="009C313D" w:rsidP="00560A50">
            <w:pPr>
              <w:spacing w:line="235" w:lineRule="auto"/>
              <w:rPr>
                <w:rFonts w:ascii="Garamond" w:hAnsi="Garamond"/>
              </w:rPr>
            </w:pPr>
            <w:r>
              <w:rPr>
                <w:rFonts w:ascii="Garamond" w:hAnsi="Garamond"/>
              </w:rPr>
              <w:t xml:space="preserve">Transferred shares in </w:t>
            </w:r>
            <w:r w:rsidRPr="00D824AD">
              <w:rPr>
                <w:rFonts w:ascii="Garamond" w:hAnsi="Garamond"/>
              </w:rPr>
              <w:t>off</w:t>
            </w:r>
            <w:r>
              <w:rPr>
                <w:rFonts w:ascii="Garamond" w:hAnsi="Garamond"/>
              </w:rPr>
              <w:t xml:space="preserve"> market without </w:t>
            </w:r>
            <w:r w:rsidRPr="00D824AD">
              <w:rPr>
                <w:rFonts w:ascii="Garamond" w:hAnsi="Garamond"/>
              </w:rPr>
              <w:t xml:space="preserve">receipt of </w:t>
            </w:r>
          </w:p>
          <w:p w14:paraId="4EF75A46" w14:textId="77777777" w:rsidR="009C313D" w:rsidRPr="00D824AD" w:rsidRDefault="009C313D" w:rsidP="00560A50">
            <w:pPr>
              <w:spacing w:line="276" w:lineRule="auto"/>
              <w:rPr>
                <w:rFonts w:ascii="Garamond" w:hAnsi="Garamond"/>
              </w:rPr>
            </w:pPr>
            <w:r w:rsidRPr="00D824AD">
              <w:rPr>
                <w:rFonts w:ascii="Garamond" w:hAnsi="Garamond"/>
              </w:rPr>
              <w:t xml:space="preserve">consideration </w:t>
            </w:r>
          </w:p>
        </w:tc>
        <w:tc>
          <w:tcPr>
            <w:tcW w:w="1560" w:type="dxa"/>
            <w:tcBorders>
              <w:top w:val="single" w:sz="4" w:space="0" w:color="000000"/>
              <w:left w:val="single" w:sz="4" w:space="0" w:color="000000"/>
              <w:bottom w:val="single" w:sz="4" w:space="0" w:color="000000"/>
              <w:right w:val="single" w:sz="4" w:space="0" w:color="000000"/>
            </w:tcBorders>
          </w:tcPr>
          <w:p w14:paraId="024F0F1E" w14:textId="77777777" w:rsidR="009C313D" w:rsidRPr="00D824AD" w:rsidRDefault="009C313D" w:rsidP="00560A50">
            <w:pPr>
              <w:spacing w:line="235" w:lineRule="auto"/>
              <w:rPr>
                <w:rFonts w:ascii="Garamond" w:hAnsi="Garamond"/>
              </w:rPr>
            </w:pPr>
            <w:r w:rsidRPr="00D824AD">
              <w:rPr>
                <w:rFonts w:ascii="Garamond" w:hAnsi="Garamond"/>
              </w:rPr>
              <w:t xml:space="preserve">Section 16 of SCRA, 1956 read with SEBI </w:t>
            </w:r>
          </w:p>
          <w:p w14:paraId="2E03A3A7" w14:textId="77777777" w:rsidR="009C313D" w:rsidRPr="00D824AD" w:rsidRDefault="009C313D" w:rsidP="00560A50">
            <w:pPr>
              <w:rPr>
                <w:rFonts w:ascii="Garamond" w:hAnsi="Garamond"/>
              </w:rPr>
            </w:pPr>
            <w:r w:rsidRPr="00D824AD">
              <w:rPr>
                <w:rFonts w:ascii="Garamond" w:hAnsi="Garamond"/>
              </w:rPr>
              <w:t xml:space="preserve">Notification </w:t>
            </w:r>
          </w:p>
          <w:p w14:paraId="5CAA0886" w14:textId="77777777" w:rsidR="009C313D" w:rsidRPr="00D824AD" w:rsidRDefault="009C313D" w:rsidP="00560A50">
            <w:pPr>
              <w:spacing w:line="235" w:lineRule="auto"/>
              <w:ind w:right="1"/>
              <w:rPr>
                <w:rFonts w:ascii="Garamond" w:hAnsi="Garamond"/>
              </w:rPr>
            </w:pPr>
            <w:r w:rsidRPr="00D824AD">
              <w:rPr>
                <w:rFonts w:ascii="Garamond" w:hAnsi="Garamond"/>
              </w:rPr>
              <w:t xml:space="preserve">G.S.R 219 (E) dated March 02, 2000, </w:t>
            </w:r>
          </w:p>
          <w:p w14:paraId="0215D8C5" w14:textId="77777777" w:rsidR="009C313D" w:rsidRPr="00D824AD" w:rsidRDefault="009C313D" w:rsidP="00560A50">
            <w:pPr>
              <w:spacing w:line="276" w:lineRule="auto"/>
              <w:rPr>
                <w:rFonts w:ascii="Garamond" w:hAnsi="Garamond"/>
              </w:rPr>
            </w:pPr>
            <w:r w:rsidRPr="00D824AD">
              <w:rPr>
                <w:rFonts w:ascii="Garamond" w:hAnsi="Garamond"/>
              </w:rPr>
              <w:t>Section 13 and Section 18 of SCRA, 1956 read with Section 2(i) of SCRA, 1956.</w:t>
            </w:r>
            <w:r w:rsidRPr="00D824AD">
              <w:rPr>
                <w:rFonts w:ascii="Garamond" w:eastAsia="Arial" w:hAnsi="Garamond" w:cs="Arial"/>
                <w:b/>
              </w:rPr>
              <w:t xml:space="preserve"> </w:t>
            </w:r>
          </w:p>
        </w:tc>
        <w:tc>
          <w:tcPr>
            <w:tcW w:w="1732" w:type="dxa"/>
            <w:gridSpan w:val="2"/>
            <w:tcBorders>
              <w:top w:val="single" w:sz="4" w:space="0" w:color="000000"/>
              <w:left w:val="single" w:sz="4" w:space="0" w:color="000000"/>
              <w:bottom w:val="single" w:sz="4" w:space="0" w:color="000000"/>
              <w:right w:val="single" w:sz="4" w:space="0" w:color="000000"/>
            </w:tcBorders>
          </w:tcPr>
          <w:p w14:paraId="1B29BA1C" w14:textId="77777777" w:rsidR="009C313D" w:rsidRPr="00D824AD" w:rsidRDefault="009C313D" w:rsidP="00560A50">
            <w:pPr>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5,00,000/- </w:t>
            </w:r>
          </w:p>
          <w:p w14:paraId="2AD59506" w14:textId="77777777" w:rsidR="009C313D" w:rsidRPr="00D824AD" w:rsidRDefault="009C313D" w:rsidP="00560A50">
            <w:pPr>
              <w:spacing w:line="276" w:lineRule="auto"/>
              <w:ind w:left="22" w:right="19"/>
              <w:jc w:val="center"/>
              <w:rPr>
                <w:rFonts w:ascii="Garamond" w:hAnsi="Garamond"/>
              </w:rPr>
            </w:pPr>
            <w:r w:rsidRPr="00D824AD">
              <w:rPr>
                <w:rFonts w:ascii="Garamond" w:hAnsi="Garamond"/>
              </w:rPr>
              <w:t>(Rupees Five la</w:t>
            </w:r>
            <w:r>
              <w:rPr>
                <w:rFonts w:ascii="Garamond" w:hAnsi="Garamond"/>
              </w:rPr>
              <w:t>kh</w:t>
            </w:r>
            <w:r w:rsidRPr="00D824AD">
              <w:rPr>
                <w:rFonts w:ascii="Garamond" w:hAnsi="Garamond"/>
              </w:rPr>
              <w:t xml:space="preserve"> only) </w:t>
            </w:r>
          </w:p>
        </w:tc>
        <w:tc>
          <w:tcPr>
            <w:tcW w:w="1135" w:type="dxa"/>
            <w:gridSpan w:val="2"/>
            <w:tcBorders>
              <w:top w:val="single" w:sz="4" w:space="0" w:color="000000"/>
              <w:left w:val="single" w:sz="4" w:space="0" w:color="000000"/>
              <w:bottom w:val="single" w:sz="4" w:space="0" w:color="000000"/>
              <w:right w:val="single" w:sz="4" w:space="0" w:color="000000"/>
            </w:tcBorders>
          </w:tcPr>
          <w:p w14:paraId="5EC2D148" w14:textId="77777777" w:rsidR="009C313D" w:rsidRPr="00D824AD" w:rsidRDefault="009C313D" w:rsidP="00560A50">
            <w:pPr>
              <w:rPr>
                <w:rFonts w:ascii="Garamond" w:hAnsi="Garamond"/>
              </w:rPr>
            </w:pPr>
            <w:r w:rsidRPr="00D824AD">
              <w:rPr>
                <w:rFonts w:ascii="Garamond" w:hAnsi="Garamond"/>
              </w:rPr>
              <w:t xml:space="preserve">Section </w:t>
            </w:r>
          </w:p>
          <w:p w14:paraId="72E3A9A5" w14:textId="77777777" w:rsidR="009C313D" w:rsidRPr="00D824AD" w:rsidRDefault="009C313D" w:rsidP="00560A50">
            <w:pPr>
              <w:rPr>
                <w:rFonts w:ascii="Garamond" w:hAnsi="Garamond"/>
              </w:rPr>
            </w:pPr>
            <w:r w:rsidRPr="00D824AD">
              <w:rPr>
                <w:rFonts w:ascii="Garamond" w:hAnsi="Garamond"/>
              </w:rPr>
              <w:t xml:space="preserve">23H of </w:t>
            </w:r>
          </w:p>
          <w:p w14:paraId="22F00DC3" w14:textId="77777777" w:rsidR="009C313D" w:rsidRPr="00D824AD" w:rsidRDefault="009C313D" w:rsidP="00560A50">
            <w:pPr>
              <w:spacing w:line="276" w:lineRule="auto"/>
              <w:rPr>
                <w:rFonts w:ascii="Garamond" w:hAnsi="Garamond"/>
              </w:rPr>
            </w:pPr>
            <w:r w:rsidRPr="00D824AD">
              <w:rPr>
                <w:rFonts w:ascii="Garamond" w:hAnsi="Garamond"/>
              </w:rPr>
              <w:t xml:space="preserve">SCRA </w:t>
            </w:r>
          </w:p>
        </w:tc>
      </w:tr>
      <w:tr w:rsidR="009C313D" w:rsidRPr="00D824AD" w14:paraId="29D064D0" w14:textId="77777777" w:rsidTr="00560A50">
        <w:trPr>
          <w:trHeight w:val="1503"/>
        </w:trPr>
        <w:tc>
          <w:tcPr>
            <w:tcW w:w="0" w:type="auto"/>
            <w:vMerge/>
            <w:tcBorders>
              <w:top w:val="nil"/>
              <w:left w:val="single" w:sz="4" w:space="0" w:color="000000"/>
              <w:bottom w:val="single" w:sz="4" w:space="0" w:color="000000"/>
              <w:right w:val="single" w:sz="4" w:space="0" w:color="000000"/>
            </w:tcBorders>
          </w:tcPr>
          <w:p w14:paraId="11293B2A" w14:textId="77777777" w:rsidR="009C313D" w:rsidRPr="00D824AD" w:rsidRDefault="009C313D" w:rsidP="00560A50">
            <w:pPr>
              <w:spacing w:line="276" w:lineRule="auto"/>
              <w:rPr>
                <w:rFonts w:ascii="Garamond" w:hAnsi="Garamond"/>
              </w:rPr>
            </w:pPr>
          </w:p>
        </w:tc>
        <w:tc>
          <w:tcPr>
            <w:tcW w:w="1839" w:type="dxa"/>
            <w:vMerge/>
            <w:tcBorders>
              <w:top w:val="nil"/>
              <w:left w:val="single" w:sz="4" w:space="0" w:color="000000"/>
              <w:bottom w:val="single" w:sz="4" w:space="0" w:color="000000"/>
              <w:right w:val="single" w:sz="4" w:space="0" w:color="000000"/>
            </w:tcBorders>
          </w:tcPr>
          <w:p w14:paraId="75CF7A52" w14:textId="77777777" w:rsidR="009C313D" w:rsidRPr="00D824AD" w:rsidRDefault="009C313D" w:rsidP="00560A50">
            <w:pPr>
              <w:spacing w:line="276" w:lineRule="auto"/>
              <w:rPr>
                <w:rFonts w:ascii="Garamond" w:hAnsi="Garamond"/>
              </w:rPr>
            </w:pPr>
          </w:p>
        </w:tc>
        <w:tc>
          <w:tcPr>
            <w:tcW w:w="2253" w:type="dxa"/>
            <w:gridSpan w:val="2"/>
            <w:tcBorders>
              <w:top w:val="single" w:sz="4" w:space="0" w:color="000000"/>
              <w:left w:val="single" w:sz="4" w:space="0" w:color="000000"/>
              <w:bottom w:val="single" w:sz="4" w:space="0" w:color="000000"/>
              <w:right w:val="single" w:sz="4" w:space="0" w:color="000000"/>
            </w:tcBorders>
          </w:tcPr>
          <w:p w14:paraId="3394813E" w14:textId="77777777" w:rsidR="009C313D" w:rsidRPr="00D824AD" w:rsidRDefault="009C313D" w:rsidP="00560A50">
            <w:pPr>
              <w:spacing w:line="235" w:lineRule="auto"/>
              <w:rPr>
                <w:rFonts w:ascii="Garamond" w:hAnsi="Garamond"/>
              </w:rPr>
            </w:pPr>
            <w:r w:rsidRPr="00D824AD">
              <w:rPr>
                <w:rFonts w:ascii="Garamond" w:hAnsi="Garamond"/>
              </w:rPr>
              <w:t xml:space="preserve">Failure to make disclosure to the </w:t>
            </w:r>
          </w:p>
          <w:p w14:paraId="632EFF43" w14:textId="77777777" w:rsidR="009C313D" w:rsidRPr="00D824AD" w:rsidRDefault="009C313D" w:rsidP="00560A50">
            <w:pPr>
              <w:spacing w:line="276" w:lineRule="auto"/>
              <w:ind w:right="1"/>
              <w:rPr>
                <w:rFonts w:ascii="Garamond" w:hAnsi="Garamond"/>
              </w:rPr>
            </w:pPr>
            <w:r w:rsidRPr="00D824AD">
              <w:rPr>
                <w:rFonts w:ascii="Garamond" w:hAnsi="Garamond"/>
              </w:rPr>
              <w:t xml:space="preserve">Company upon change in 2% of shareholding </w:t>
            </w:r>
          </w:p>
        </w:tc>
        <w:tc>
          <w:tcPr>
            <w:tcW w:w="1560" w:type="dxa"/>
            <w:tcBorders>
              <w:top w:val="single" w:sz="4" w:space="0" w:color="000000"/>
              <w:left w:val="single" w:sz="4" w:space="0" w:color="000000"/>
              <w:bottom w:val="single" w:sz="4" w:space="0" w:color="000000"/>
              <w:right w:val="single" w:sz="4" w:space="0" w:color="000000"/>
            </w:tcBorders>
          </w:tcPr>
          <w:p w14:paraId="1D03A215" w14:textId="77777777" w:rsidR="009C313D" w:rsidRPr="00D824AD" w:rsidRDefault="009C313D" w:rsidP="00560A50">
            <w:pPr>
              <w:spacing w:line="235" w:lineRule="auto"/>
              <w:rPr>
                <w:rFonts w:ascii="Garamond" w:hAnsi="Garamond"/>
              </w:rPr>
            </w:pPr>
            <w:r w:rsidRPr="00D824AD">
              <w:rPr>
                <w:rFonts w:ascii="Garamond" w:hAnsi="Garamond"/>
              </w:rPr>
              <w:t xml:space="preserve">Regulation 13 (3) of SEBI </w:t>
            </w:r>
          </w:p>
          <w:p w14:paraId="2F6DB2F5" w14:textId="77777777" w:rsidR="009C313D" w:rsidRPr="00D824AD" w:rsidRDefault="009C313D" w:rsidP="00560A50">
            <w:pPr>
              <w:rPr>
                <w:rFonts w:ascii="Garamond" w:hAnsi="Garamond"/>
              </w:rPr>
            </w:pPr>
            <w:r w:rsidRPr="00D824AD">
              <w:rPr>
                <w:rFonts w:ascii="Garamond" w:hAnsi="Garamond"/>
              </w:rPr>
              <w:t xml:space="preserve">(PIT), </w:t>
            </w:r>
            <w:r w:rsidRPr="00D824AD">
              <w:rPr>
                <w:rFonts w:ascii="Garamond" w:hAnsi="Garamond"/>
              </w:rPr>
              <w:tab/>
              <w:t xml:space="preserve">1992 </w:t>
            </w:r>
          </w:p>
          <w:p w14:paraId="1E7724BE" w14:textId="77777777" w:rsidR="009C313D" w:rsidRPr="00D824AD" w:rsidRDefault="009C313D" w:rsidP="00560A50">
            <w:pPr>
              <w:rPr>
                <w:rFonts w:ascii="Garamond" w:hAnsi="Garamond"/>
              </w:rPr>
            </w:pPr>
            <w:r w:rsidRPr="00D824AD">
              <w:rPr>
                <w:rFonts w:ascii="Garamond" w:hAnsi="Garamond"/>
              </w:rPr>
              <w:t xml:space="preserve">Regulations </w:t>
            </w:r>
          </w:p>
          <w:p w14:paraId="5BC9484A" w14:textId="77777777" w:rsidR="009C313D" w:rsidRPr="00D824AD" w:rsidRDefault="009C313D" w:rsidP="00560A50">
            <w:pPr>
              <w:rPr>
                <w:rFonts w:ascii="Garamond" w:hAnsi="Garamond"/>
              </w:rPr>
            </w:pPr>
            <w:r w:rsidRPr="00D824AD">
              <w:rPr>
                <w:rFonts w:ascii="Garamond" w:hAnsi="Garamond"/>
              </w:rPr>
              <w:t xml:space="preserve">read </w:t>
            </w:r>
            <w:r w:rsidRPr="00D824AD">
              <w:rPr>
                <w:rFonts w:ascii="Garamond" w:hAnsi="Garamond"/>
              </w:rPr>
              <w:tab/>
              <w:t xml:space="preserve">with </w:t>
            </w:r>
          </w:p>
          <w:p w14:paraId="53E732B9" w14:textId="77777777" w:rsidR="009C313D" w:rsidRPr="00D824AD" w:rsidRDefault="009C313D" w:rsidP="00560A50">
            <w:pPr>
              <w:spacing w:line="276" w:lineRule="auto"/>
              <w:ind w:right="1"/>
              <w:rPr>
                <w:rFonts w:ascii="Garamond" w:hAnsi="Garamond"/>
              </w:rPr>
            </w:pPr>
            <w:r w:rsidRPr="00D824AD">
              <w:rPr>
                <w:rFonts w:ascii="Garamond" w:hAnsi="Garamond"/>
              </w:rPr>
              <w:t xml:space="preserve">Regulation 12 of SEBI (PIT) Regulations, 2015. </w:t>
            </w:r>
          </w:p>
        </w:tc>
        <w:tc>
          <w:tcPr>
            <w:tcW w:w="1732" w:type="dxa"/>
            <w:gridSpan w:val="2"/>
            <w:tcBorders>
              <w:top w:val="single" w:sz="4" w:space="0" w:color="000000"/>
              <w:left w:val="single" w:sz="4" w:space="0" w:color="000000"/>
              <w:bottom w:val="single" w:sz="4" w:space="0" w:color="000000"/>
              <w:right w:val="single" w:sz="4" w:space="0" w:color="000000"/>
            </w:tcBorders>
          </w:tcPr>
          <w:p w14:paraId="6791B600"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 </w:t>
            </w:r>
          </w:p>
          <w:p w14:paraId="5C001330" w14:textId="77777777" w:rsidR="009C313D" w:rsidRPr="00D824AD" w:rsidRDefault="009C313D" w:rsidP="00560A50">
            <w:pPr>
              <w:spacing w:line="276" w:lineRule="auto"/>
              <w:ind w:left="22" w:right="20"/>
              <w:jc w:val="center"/>
              <w:rPr>
                <w:rFonts w:ascii="Garamond" w:hAnsi="Garamond"/>
              </w:rPr>
            </w:pPr>
            <w:r w:rsidRPr="00D824AD">
              <w:rPr>
                <w:rFonts w:ascii="Garamond" w:hAnsi="Garamond"/>
              </w:rPr>
              <w:t>(Rupees One la</w:t>
            </w:r>
            <w:r>
              <w:rPr>
                <w:rFonts w:ascii="Garamond" w:hAnsi="Garamond"/>
              </w:rPr>
              <w:t>kh</w:t>
            </w:r>
            <w:r w:rsidRPr="00D824AD">
              <w:rPr>
                <w:rFonts w:ascii="Garamond" w:hAnsi="Garamond"/>
              </w:rPr>
              <w:t xml:space="preserve"> only)</w:t>
            </w:r>
            <w:r w:rsidRPr="00D824AD">
              <w:rPr>
                <w:rFonts w:ascii="Garamond" w:eastAsia="Rupee Foradian" w:hAnsi="Garamond" w:cs="Rupee Foradian"/>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tcPr>
          <w:p w14:paraId="09ECF594" w14:textId="77777777" w:rsidR="009C313D" w:rsidRPr="00D824AD" w:rsidRDefault="009C313D" w:rsidP="00560A50">
            <w:pPr>
              <w:spacing w:line="235" w:lineRule="auto"/>
              <w:ind w:right="43"/>
              <w:rPr>
                <w:rFonts w:ascii="Garamond" w:hAnsi="Garamond"/>
              </w:rPr>
            </w:pPr>
            <w:r w:rsidRPr="00D824AD">
              <w:rPr>
                <w:rFonts w:ascii="Garamond" w:hAnsi="Garamond"/>
              </w:rPr>
              <w:t xml:space="preserve">Section 15 A (b) of SEBI </w:t>
            </w:r>
          </w:p>
          <w:p w14:paraId="6295D9C6" w14:textId="77777777" w:rsidR="009C313D" w:rsidRPr="00D824AD" w:rsidRDefault="009C313D" w:rsidP="00560A50">
            <w:pPr>
              <w:spacing w:line="276" w:lineRule="auto"/>
              <w:rPr>
                <w:rFonts w:ascii="Garamond" w:hAnsi="Garamond"/>
              </w:rPr>
            </w:pPr>
            <w:r w:rsidRPr="00D824AD">
              <w:rPr>
                <w:rFonts w:ascii="Garamond" w:hAnsi="Garamond"/>
              </w:rPr>
              <w:t xml:space="preserve">Act </w:t>
            </w:r>
          </w:p>
        </w:tc>
      </w:tr>
      <w:tr w:rsidR="009C313D" w:rsidRPr="00D824AD" w14:paraId="31EC174A" w14:textId="77777777" w:rsidTr="00560A50">
        <w:trPr>
          <w:trHeight w:val="706"/>
        </w:trPr>
        <w:tc>
          <w:tcPr>
            <w:tcW w:w="991" w:type="dxa"/>
            <w:tcBorders>
              <w:top w:val="single" w:sz="4" w:space="0" w:color="000000"/>
              <w:left w:val="single" w:sz="4" w:space="0" w:color="000000"/>
              <w:bottom w:val="single" w:sz="4" w:space="0" w:color="000000"/>
              <w:right w:val="single" w:sz="4" w:space="0" w:color="000000"/>
            </w:tcBorders>
          </w:tcPr>
          <w:p w14:paraId="3AB837E9"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2 </w:t>
            </w:r>
          </w:p>
        </w:tc>
        <w:tc>
          <w:tcPr>
            <w:tcW w:w="1839" w:type="dxa"/>
            <w:tcBorders>
              <w:top w:val="single" w:sz="4" w:space="0" w:color="000000"/>
              <w:left w:val="single" w:sz="4" w:space="0" w:color="000000"/>
              <w:bottom w:val="single" w:sz="4" w:space="0" w:color="000000"/>
              <w:right w:val="single" w:sz="4" w:space="0" w:color="000000"/>
            </w:tcBorders>
          </w:tcPr>
          <w:p w14:paraId="4845AFE6" w14:textId="77777777" w:rsidR="009C313D" w:rsidRPr="00D824AD" w:rsidRDefault="009C313D" w:rsidP="00560A50">
            <w:pPr>
              <w:spacing w:line="276" w:lineRule="auto"/>
              <w:rPr>
                <w:rFonts w:ascii="Garamond" w:hAnsi="Garamond"/>
              </w:rPr>
            </w:pPr>
            <w:r w:rsidRPr="00D824AD">
              <w:rPr>
                <w:rFonts w:ascii="Garamond" w:hAnsi="Garamond"/>
              </w:rPr>
              <w:t xml:space="preserve">Nitin Sharma </w:t>
            </w:r>
          </w:p>
        </w:tc>
        <w:tc>
          <w:tcPr>
            <w:tcW w:w="2253" w:type="dxa"/>
            <w:gridSpan w:val="2"/>
            <w:vMerge w:val="restart"/>
            <w:tcBorders>
              <w:top w:val="single" w:sz="4" w:space="0" w:color="000000"/>
              <w:left w:val="single" w:sz="4" w:space="0" w:color="000000"/>
              <w:bottom w:val="single" w:sz="4" w:space="0" w:color="000000"/>
              <w:right w:val="single" w:sz="4" w:space="0" w:color="000000"/>
            </w:tcBorders>
          </w:tcPr>
          <w:p w14:paraId="3479E49F" w14:textId="77777777" w:rsidR="009C313D" w:rsidRPr="00D824AD" w:rsidRDefault="009C313D" w:rsidP="00560A50">
            <w:pPr>
              <w:spacing w:line="276" w:lineRule="auto"/>
              <w:rPr>
                <w:rFonts w:ascii="Garamond" w:hAnsi="Garamond"/>
              </w:rPr>
            </w:pPr>
            <w:r w:rsidRPr="00D824AD">
              <w:rPr>
                <w:rFonts w:ascii="Garamond" w:hAnsi="Garamond"/>
              </w:rPr>
              <w:t>Received shares in off-market without payment of consideration</w:t>
            </w:r>
            <w:r w:rsidRPr="00D824AD">
              <w:rPr>
                <w:rFonts w:ascii="Garamond" w:eastAsia="Arial" w:hAnsi="Garamond" w:cs="Arial"/>
                <w:b/>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tcPr>
          <w:p w14:paraId="434467FA" w14:textId="77777777" w:rsidR="009C313D" w:rsidRPr="00D824AD" w:rsidRDefault="009C313D" w:rsidP="00560A50">
            <w:pPr>
              <w:spacing w:line="234" w:lineRule="auto"/>
              <w:rPr>
                <w:rFonts w:ascii="Garamond" w:hAnsi="Garamond"/>
              </w:rPr>
            </w:pPr>
            <w:r w:rsidRPr="00D824AD">
              <w:rPr>
                <w:rFonts w:ascii="Garamond" w:hAnsi="Garamond"/>
              </w:rPr>
              <w:t xml:space="preserve">Section 16 of SCRA, 1956 read with SEBI Notification </w:t>
            </w:r>
          </w:p>
          <w:p w14:paraId="3255AED9" w14:textId="77777777" w:rsidR="009C313D" w:rsidRPr="00D824AD" w:rsidRDefault="009C313D" w:rsidP="00560A50">
            <w:pPr>
              <w:spacing w:line="235" w:lineRule="auto"/>
              <w:ind w:right="1"/>
              <w:rPr>
                <w:rFonts w:ascii="Garamond" w:hAnsi="Garamond"/>
              </w:rPr>
            </w:pPr>
            <w:r w:rsidRPr="00D824AD">
              <w:rPr>
                <w:rFonts w:ascii="Garamond" w:hAnsi="Garamond"/>
              </w:rPr>
              <w:t xml:space="preserve">G.S.R 219 (E) dated March 02, 2000, </w:t>
            </w:r>
          </w:p>
          <w:p w14:paraId="1C218A2F" w14:textId="77777777" w:rsidR="009C313D" w:rsidRPr="00D824AD" w:rsidRDefault="009C313D" w:rsidP="00560A50">
            <w:pPr>
              <w:spacing w:line="276" w:lineRule="auto"/>
              <w:rPr>
                <w:rFonts w:ascii="Garamond" w:hAnsi="Garamond"/>
              </w:rPr>
            </w:pPr>
            <w:r w:rsidRPr="00D824AD">
              <w:rPr>
                <w:rFonts w:ascii="Garamond" w:hAnsi="Garamond"/>
              </w:rPr>
              <w:t>Section 13 and Section 18 of SCRA, 1956 read with Section 2(i) of SCRA, 1956.</w:t>
            </w:r>
            <w:r w:rsidRPr="00D824AD">
              <w:rPr>
                <w:rFonts w:ascii="Garamond" w:eastAsia="Arial" w:hAnsi="Garamond" w:cs="Arial"/>
                <w:b/>
              </w:rPr>
              <w:t xml:space="preserve"> </w:t>
            </w:r>
          </w:p>
        </w:tc>
        <w:tc>
          <w:tcPr>
            <w:tcW w:w="1732" w:type="dxa"/>
            <w:gridSpan w:val="2"/>
            <w:tcBorders>
              <w:top w:val="single" w:sz="4" w:space="0" w:color="000000"/>
              <w:left w:val="single" w:sz="4" w:space="0" w:color="000000"/>
              <w:bottom w:val="single" w:sz="4" w:space="0" w:color="000000"/>
              <w:right w:val="single" w:sz="4" w:space="0" w:color="000000"/>
            </w:tcBorders>
          </w:tcPr>
          <w:p w14:paraId="4DBEEE43" w14:textId="77777777" w:rsidR="009C313D" w:rsidRPr="00D824AD" w:rsidRDefault="009C313D" w:rsidP="00560A50">
            <w:pPr>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5,00,000/- </w:t>
            </w:r>
          </w:p>
          <w:p w14:paraId="30C75B3B" w14:textId="77777777" w:rsidR="009C313D" w:rsidRPr="00D824AD" w:rsidRDefault="009C313D" w:rsidP="00560A50">
            <w:pPr>
              <w:spacing w:line="276" w:lineRule="auto"/>
              <w:ind w:left="22" w:right="19"/>
              <w:jc w:val="center"/>
              <w:rPr>
                <w:rFonts w:ascii="Garamond" w:hAnsi="Garamond"/>
              </w:rPr>
            </w:pPr>
            <w:r w:rsidRPr="00D824AD">
              <w:rPr>
                <w:rFonts w:ascii="Garamond" w:hAnsi="Garamond"/>
              </w:rPr>
              <w:t>(Rupees Five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tcPr>
          <w:p w14:paraId="6B03A692" w14:textId="77777777" w:rsidR="009C313D" w:rsidRPr="00D824AD" w:rsidRDefault="009C313D" w:rsidP="00560A50">
            <w:pPr>
              <w:rPr>
                <w:rFonts w:ascii="Garamond" w:hAnsi="Garamond"/>
              </w:rPr>
            </w:pPr>
            <w:r w:rsidRPr="00D824AD">
              <w:rPr>
                <w:rFonts w:ascii="Garamond" w:hAnsi="Garamond"/>
              </w:rPr>
              <w:t xml:space="preserve">Section </w:t>
            </w:r>
          </w:p>
          <w:p w14:paraId="061A1B77" w14:textId="77777777" w:rsidR="009C313D" w:rsidRPr="00D824AD" w:rsidRDefault="009C313D" w:rsidP="00560A50">
            <w:pPr>
              <w:rPr>
                <w:rFonts w:ascii="Garamond" w:hAnsi="Garamond"/>
              </w:rPr>
            </w:pPr>
            <w:r w:rsidRPr="00D824AD">
              <w:rPr>
                <w:rFonts w:ascii="Garamond" w:hAnsi="Garamond"/>
              </w:rPr>
              <w:t xml:space="preserve">23H of </w:t>
            </w:r>
          </w:p>
          <w:p w14:paraId="329C516A" w14:textId="77777777" w:rsidR="009C313D" w:rsidRPr="00D824AD" w:rsidRDefault="009C313D" w:rsidP="00560A50">
            <w:pPr>
              <w:spacing w:line="276" w:lineRule="auto"/>
              <w:rPr>
                <w:rFonts w:ascii="Garamond" w:hAnsi="Garamond"/>
              </w:rPr>
            </w:pPr>
            <w:r w:rsidRPr="00D824AD">
              <w:rPr>
                <w:rFonts w:ascii="Garamond" w:hAnsi="Garamond"/>
              </w:rPr>
              <w:t>SCRA</w:t>
            </w:r>
            <w:r w:rsidRPr="00D824AD">
              <w:rPr>
                <w:rFonts w:ascii="Garamond" w:eastAsia="Calibri" w:hAnsi="Garamond" w:cs="Calibri"/>
              </w:rPr>
              <w:t xml:space="preserve"> </w:t>
            </w:r>
          </w:p>
        </w:tc>
      </w:tr>
      <w:tr w:rsidR="009C313D" w:rsidRPr="00D824AD" w14:paraId="4556C06F" w14:textId="77777777" w:rsidTr="00560A50">
        <w:trPr>
          <w:trHeight w:val="1926"/>
        </w:trPr>
        <w:tc>
          <w:tcPr>
            <w:tcW w:w="991" w:type="dxa"/>
            <w:tcBorders>
              <w:top w:val="single" w:sz="4" w:space="0" w:color="000000"/>
              <w:left w:val="single" w:sz="4" w:space="0" w:color="000000"/>
              <w:bottom w:val="single" w:sz="4" w:space="0" w:color="000000"/>
              <w:right w:val="single" w:sz="4" w:space="0" w:color="000000"/>
            </w:tcBorders>
          </w:tcPr>
          <w:p w14:paraId="49464C2C"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3 </w:t>
            </w:r>
          </w:p>
        </w:tc>
        <w:tc>
          <w:tcPr>
            <w:tcW w:w="1839" w:type="dxa"/>
            <w:tcBorders>
              <w:top w:val="single" w:sz="4" w:space="0" w:color="000000"/>
              <w:left w:val="single" w:sz="4" w:space="0" w:color="000000"/>
              <w:bottom w:val="single" w:sz="4" w:space="0" w:color="000000"/>
              <w:right w:val="single" w:sz="4" w:space="0" w:color="000000"/>
            </w:tcBorders>
          </w:tcPr>
          <w:p w14:paraId="28E5091B" w14:textId="77777777" w:rsidR="009C313D" w:rsidRPr="00D824AD" w:rsidRDefault="009C313D" w:rsidP="00560A50">
            <w:pPr>
              <w:spacing w:line="276" w:lineRule="auto"/>
              <w:rPr>
                <w:rFonts w:ascii="Garamond" w:hAnsi="Garamond"/>
              </w:rPr>
            </w:pPr>
            <w:r w:rsidRPr="00D824AD">
              <w:rPr>
                <w:rFonts w:ascii="Garamond" w:hAnsi="Garamond"/>
              </w:rPr>
              <w:t xml:space="preserve">Highlight Leafin Pvt., Ltd., </w:t>
            </w:r>
          </w:p>
        </w:tc>
        <w:tc>
          <w:tcPr>
            <w:tcW w:w="2253" w:type="dxa"/>
            <w:gridSpan w:val="2"/>
            <w:vMerge/>
            <w:tcBorders>
              <w:top w:val="nil"/>
              <w:left w:val="single" w:sz="4" w:space="0" w:color="000000"/>
              <w:bottom w:val="single" w:sz="4" w:space="0" w:color="000000"/>
              <w:right w:val="single" w:sz="4" w:space="0" w:color="000000"/>
            </w:tcBorders>
          </w:tcPr>
          <w:p w14:paraId="759B1178" w14:textId="77777777" w:rsidR="009C313D" w:rsidRPr="00D824AD" w:rsidRDefault="009C313D" w:rsidP="00560A50">
            <w:pPr>
              <w:spacing w:line="276" w:lineRule="auto"/>
              <w:rPr>
                <w:rFonts w:ascii="Garamond" w:hAnsi="Garamond"/>
              </w:rPr>
            </w:pPr>
          </w:p>
        </w:tc>
        <w:tc>
          <w:tcPr>
            <w:tcW w:w="1560" w:type="dxa"/>
            <w:vMerge/>
            <w:tcBorders>
              <w:top w:val="nil"/>
              <w:left w:val="single" w:sz="4" w:space="0" w:color="000000"/>
              <w:bottom w:val="single" w:sz="4" w:space="0" w:color="000000"/>
              <w:right w:val="single" w:sz="4" w:space="0" w:color="000000"/>
            </w:tcBorders>
          </w:tcPr>
          <w:p w14:paraId="58FA1F6E" w14:textId="77777777" w:rsidR="009C313D" w:rsidRPr="00D824AD" w:rsidRDefault="009C313D" w:rsidP="00560A50">
            <w:pPr>
              <w:spacing w:line="276" w:lineRule="auto"/>
              <w:rPr>
                <w:rFonts w:ascii="Garamond" w:hAnsi="Garamond"/>
              </w:rPr>
            </w:pPr>
          </w:p>
        </w:tc>
        <w:tc>
          <w:tcPr>
            <w:tcW w:w="1732" w:type="dxa"/>
            <w:gridSpan w:val="2"/>
            <w:tcBorders>
              <w:top w:val="single" w:sz="4" w:space="0" w:color="000000"/>
              <w:left w:val="single" w:sz="4" w:space="0" w:color="000000"/>
              <w:bottom w:val="single" w:sz="4" w:space="0" w:color="000000"/>
              <w:right w:val="single" w:sz="4" w:space="0" w:color="000000"/>
            </w:tcBorders>
          </w:tcPr>
          <w:p w14:paraId="0E949C1A" w14:textId="77777777" w:rsidR="009C313D" w:rsidRPr="00D824AD" w:rsidRDefault="009C313D" w:rsidP="00560A50">
            <w:pPr>
              <w:spacing w:after="1"/>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5,00,000/- </w:t>
            </w:r>
          </w:p>
          <w:p w14:paraId="76353C74" w14:textId="77777777" w:rsidR="009C313D" w:rsidRPr="00D824AD" w:rsidRDefault="009C313D" w:rsidP="00560A50">
            <w:pPr>
              <w:spacing w:line="276" w:lineRule="auto"/>
              <w:ind w:left="22" w:right="20"/>
              <w:jc w:val="center"/>
              <w:rPr>
                <w:rFonts w:ascii="Garamond" w:hAnsi="Garamond"/>
              </w:rPr>
            </w:pPr>
            <w:r w:rsidRPr="00D824AD">
              <w:rPr>
                <w:rFonts w:ascii="Garamond" w:hAnsi="Garamond"/>
              </w:rPr>
              <w:t>(Rupees Five la</w:t>
            </w:r>
            <w:r>
              <w:rPr>
                <w:rFonts w:ascii="Garamond" w:hAnsi="Garamond"/>
              </w:rPr>
              <w:t>kh</w:t>
            </w:r>
            <w:r w:rsidRPr="00D824AD">
              <w:rPr>
                <w:rFonts w:ascii="Garamond" w:hAnsi="Garamond"/>
              </w:rPr>
              <w:t xml:space="preserve"> only)</w:t>
            </w:r>
            <w:r w:rsidRPr="00D824AD">
              <w:rPr>
                <w:rFonts w:ascii="Garamond" w:eastAsia="Calibri" w:hAnsi="Garamond" w:cs="Calibri"/>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tcPr>
          <w:p w14:paraId="735D1204" w14:textId="77777777" w:rsidR="009C313D" w:rsidRPr="00D824AD" w:rsidRDefault="009C313D" w:rsidP="00560A50">
            <w:pPr>
              <w:rPr>
                <w:rFonts w:ascii="Garamond" w:hAnsi="Garamond"/>
              </w:rPr>
            </w:pPr>
            <w:r w:rsidRPr="00D824AD">
              <w:rPr>
                <w:rFonts w:ascii="Garamond" w:hAnsi="Garamond"/>
              </w:rPr>
              <w:t xml:space="preserve">Section </w:t>
            </w:r>
          </w:p>
          <w:p w14:paraId="5489289A" w14:textId="77777777" w:rsidR="009C313D" w:rsidRPr="00D824AD" w:rsidRDefault="009C313D" w:rsidP="00560A50">
            <w:pPr>
              <w:rPr>
                <w:rFonts w:ascii="Garamond" w:hAnsi="Garamond"/>
              </w:rPr>
            </w:pPr>
            <w:r w:rsidRPr="00D824AD">
              <w:rPr>
                <w:rFonts w:ascii="Garamond" w:hAnsi="Garamond"/>
              </w:rPr>
              <w:t xml:space="preserve">23H of </w:t>
            </w:r>
          </w:p>
          <w:p w14:paraId="2CE76D3E" w14:textId="77777777" w:rsidR="009C313D" w:rsidRPr="00D824AD" w:rsidRDefault="009C313D" w:rsidP="00560A50">
            <w:pPr>
              <w:spacing w:line="276" w:lineRule="auto"/>
              <w:rPr>
                <w:rFonts w:ascii="Garamond" w:hAnsi="Garamond"/>
              </w:rPr>
            </w:pPr>
            <w:r w:rsidRPr="00D824AD">
              <w:rPr>
                <w:rFonts w:ascii="Garamond" w:hAnsi="Garamond"/>
              </w:rPr>
              <w:t>SCRA</w:t>
            </w:r>
            <w:r w:rsidRPr="00D824AD">
              <w:rPr>
                <w:rFonts w:ascii="Garamond" w:eastAsia="Calibri" w:hAnsi="Garamond" w:cs="Calibri"/>
              </w:rPr>
              <w:t xml:space="preserve"> </w:t>
            </w:r>
          </w:p>
        </w:tc>
      </w:tr>
      <w:tr w:rsidR="009C313D" w:rsidRPr="00D824AD" w14:paraId="0C949FA4" w14:textId="77777777" w:rsidTr="00560A50">
        <w:trPr>
          <w:trHeight w:val="1463"/>
        </w:trPr>
        <w:tc>
          <w:tcPr>
            <w:tcW w:w="991" w:type="dxa"/>
            <w:tcBorders>
              <w:top w:val="single" w:sz="4" w:space="0" w:color="000000"/>
              <w:left w:val="single" w:sz="4" w:space="0" w:color="000000"/>
              <w:bottom w:val="single" w:sz="4" w:space="0" w:color="000000"/>
              <w:right w:val="single" w:sz="4" w:space="0" w:color="000000"/>
            </w:tcBorders>
          </w:tcPr>
          <w:p w14:paraId="2C214528" w14:textId="77777777" w:rsidR="009C313D" w:rsidRPr="00D824AD" w:rsidRDefault="009C313D" w:rsidP="00560A50">
            <w:pPr>
              <w:spacing w:line="276" w:lineRule="auto"/>
              <w:jc w:val="center"/>
              <w:rPr>
                <w:rFonts w:ascii="Garamond" w:hAnsi="Garamond"/>
              </w:rPr>
            </w:pPr>
            <w:r w:rsidRPr="00D824AD">
              <w:rPr>
                <w:rFonts w:ascii="Garamond" w:hAnsi="Garamond"/>
              </w:rPr>
              <w:t xml:space="preserve">4 </w:t>
            </w:r>
          </w:p>
        </w:tc>
        <w:tc>
          <w:tcPr>
            <w:tcW w:w="1839" w:type="dxa"/>
            <w:tcBorders>
              <w:top w:val="single" w:sz="4" w:space="0" w:color="000000"/>
              <w:left w:val="single" w:sz="4" w:space="0" w:color="000000"/>
              <w:bottom w:val="single" w:sz="4" w:space="0" w:color="000000"/>
              <w:right w:val="single" w:sz="4" w:space="0" w:color="000000"/>
            </w:tcBorders>
          </w:tcPr>
          <w:p w14:paraId="1366D96A" w14:textId="77777777" w:rsidR="009C313D" w:rsidRPr="00D824AD" w:rsidRDefault="009C313D" w:rsidP="00560A50">
            <w:pPr>
              <w:spacing w:line="276" w:lineRule="auto"/>
              <w:rPr>
                <w:rFonts w:ascii="Garamond" w:hAnsi="Garamond"/>
              </w:rPr>
            </w:pPr>
            <w:r w:rsidRPr="00D824AD">
              <w:rPr>
                <w:rFonts w:ascii="Garamond" w:hAnsi="Garamond"/>
              </w:rPr>
              <w:t xml:space="preserve">Sachin Sharma </w:t>
            </w:r>
          </w:p>
        </w:tc>
        <w:tc>
          <w:tcPr>
            <w:tcW w:w="2253" w:type="dxa"/>
            <w:gridSpan w:val="2"/>
            <w:tcBorders>
              <w:top w:val="single" w:sz="4" w:space="0" w:color="000000"/>
              <w:left w:val="single" w:sz="4" w:space="0" w:color="000000"/>
              <w:bottom w:val="single" w:sz="4" w:space="0" w:color="000000"/>
              <w:right w:val="single" w:sz="4" w:space="0" w:color="000000"/>
            </w:tcBorders>
          </w:tcPr>
          <w:p w14:paraId="6BAF6EBA" w14:textId="77777777" w:rsidR="009C313D" w:rsidRPr="00D824AD" w:rsidRDefault="009C313D" w:rsidP="00560A50">
            <w:pPr>
              <w:spacing w:line="276" w:lineRule="auto"/>
              <w:ind w:right="1"/>
              <w:rPr>
                <w:rFonts w:ascii="Garamond" w:hAnsi="Garamond"/>
              </w:rPr>
            </w:pPr>
            <w:r w:rsidRPr="00D824AD">
              <w:rPr>
                <w:rFonts w:ascii="Garamond" w:hAnsi="Garamond"/>
              </w:rPr>
              <w:t xml:space="preserve">Failure to make disclosure to the Company &amp; BSE upon change in shareholding  </w:t>
            </w:r>
          </w:p>
        </w:tc>
        <w:tc>
          <w:tcPr>
            <w:tcW w:w="1560" w:type="dxa"/>
            <w:tcBorders>
              <w:top w:val="single" w:sz="4" w:space="0" w:color="000000"/>
              <w:left w:val="single" w:sz="4" w:space="0" w:color="000000"/>
              <w:bottom w:val="single" w:sz="4" w:space="0" w:color="000000"/>
              <w:right w:val="single" w:sz="4" w:space="0" w:color="000000"/>
            </w:tcBorders>
          </w:tcPr>
          <w:p w14:paraId="4437D0C1" w14:textId="77777777" w:rsidR="009C313D" w:rsidRPr="00D824AD" w:rsidRDefault="009C313D" w:rsidP="00560A50">
            <w:pPr>
              <w:spacing w:line="233" w:lineRule="auto"/>
              <w:rPr>
                <w:rFonts w:ascii="Garamond" w:hAnsi="Garamond"/>
              </w:rPr>
            </w:pPr>
            <w:r w:rsidRPr="00D824AD">
              <w:rPr>
                <w:rFonts w:ascii="Garamond" w:hAnsi="Garamond"/>
              </w:rPr>
              <w:t xml:space="preserve">Regulation 13 (4) of SEBI </w:t>
            </w:r>
          </w:p>
          <w:p w14:paraId="2C504745" w14:textId="77777777" w:rsidR="009C313D" w:rsidRPr="00D824AD" w:rsidRDefault="009C313D" w:rsidP="00560A50">
            <w:pPr>
              <w:rPr>
                <w:rFonts w:ascii="Garamond" w:hAnsi="Garamond"/>
              </w:rPr>
            </w:pPr>
            <w:r w:rsidRPr="00D824AD">
              <w:rPr>
                <w:rFonts w:ascii="Garamond" w:hAnsi="Garamond"/>
              </w:rPr>
              <w:t xml:space="preserve">(PIT), </w:t>
            </w:r>
            <w:r w:rsidRPr="00D824AD">
              <w:rPr>
                <w:rFonts w:ascii="Garamond" w:hAnsi="Garamond"/>
              </w:rPr>
              <w:tab/>
              <w:t xml:space="preserve">1992 </w:t>
            </w:r>
          </w:p>
          <w:p w14:paraId="1ECADCAA" w14:textId="77777777" w:rsidR="009C313D" w:rsidRPr="00D824AD" w:rsidRDefault="009C313D" w:rsidP="00560A50">
            <w:pPr>
              <w:rPr>
                <w:rFonts w:ascii="Garamond" w:hAnsi="Garamond"/>
              </w:rPr>
            </w:pPr>
            <w:r w:rsidRPr="00D824AD">
              <w:rPr>
                <w:rFonts w:ascii="Garamond" w:hAnsi="Garamond"/>
              </w:rPr>
              <w:t xml:space="preserve">Regulations </w:t>
            </w:r>
          </w:p>
          <w:p w14:paraId="67801AE1" w14:textId="77777777" w:rsidR="009C313D" w:rsidRPr="00D824AD" w:rsidRDefault="009C313D" w:rsidP="00560A50">
            <w:pPr>
              <w:rPr>
                <w:rFonts w:ascii="Garamond" w:hAnsi="Garamond"/>
              </w:rPr>
            </w:pPr>
            <w:r w:rsidRPr="00D824AD">
              <w:rPr>
                <w:rFonts w:ascii="Garamond" w:hAnsi="Garamond"/>
              </w:rPr>
              <w:t xml:space="preserve">read </w:t>
            </w:r>
            <w:r w:rsidRPr="00D824AD">
              <w:rPr>
                <w:rFonts w:ascii="Garamond" w:hAnsi="Garamond"/>
              </w:rPr>
              <w:tab/>
              <w:t xml:space="preserve">with </w:t>
            </w:r>
          </w:p>
          <w:p w14:paraId="389421A0" w14:textId="77777777" w:rsidR="009C313D" w:rsidRPr="00D824AD" w:rsidRDefault="009C313D" w:rsidP="00560A50">
            <w:pPr>
              <w:spacing w:line="276" w:lineRule="auto"/>
              <w:ind w:right="1"/>
              <w:rPr>
                <w:rFonts w:ascii="Garamond" w:hAnsi="Garamond"/>
              </w:rPr>
            </w:pPr>
            <w:r w:rsidRPr="00D824AD">
              <w:rPr>
                <w:rFonts w:ascii="Garamond" w:hAnsi="Garamond"/>
              </w:rPr>
              <w:t>Regulation 12 of SEBI (PIT) Regulations, 2015.</w:t>
            </w:r>
          </w:p>
        </w:tc>
        <w:tc>
          <w:tcPr>
            <w:tcW w:w="1732" w:type="dxa"/>
            <w:gridSpan w:val="2"/>
            <w:tcBorders>
              <w:top w:val="single" w:sz="4" w:space="0" w:color="000000"/>
              <w:left w:val="single" w:sz="4" w:space="0" w:color="000000"/>
              <w:bottom w:val="single" w:sz="4" w:space="0" w:color="000000"/>
              <w:right w:val="single" w:sz="4" w:space="0" w:color="000000"/>
            </w:tcBorders>
          </w:tcPr>
          <w:p w14:paraId="25DAC294" w14:textId="77777777" w:rsidR="009C313D" w:rsidRPr="00D824AD" w:rsidRDefault="009C313D" w:rsidP="00560A50">
            <w:pPr>
              <w:jc w:val="center"/>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 </w:t>
            </w:r>
          </w:p>
          <w:p w14:paraId="54677E3B" w14:textId="77777777" w:rsidR="009C313D" w:rsidRPr="00D824AD" w:rsidRDefault="009C313D" w:rsidP="00560A50">
            <w:pPr>
              <w:spacing w:line="276" w:lineRule="auto"/>
              <w:ind w:left="22" w:right="20"/>
              <w:jc w:val="center"/>
              <w:rPr>
                <w:rFonts w:ascii="Garamond" w:hAnsi="Garamond"/>
              </w:rPr>
            </w:pPr>
            <w:r w:rsidRPr="00D824AD">
              <w:rPr>
                <w:rFonts w:ascii="Garamond" w:hAnsi="Garamond"/>
              </w:rPr>
              <w:t>(Rupees One la</w:t>
            </w:r>
            <w:r>
              <w:rPr>
                <w:rFonts w:ascii="Garamond" w:hAnsi="Garamond"/>
              </w:rPr>
              <w:t>kh</w:t>
            </w:r>
            <w:r w:rsidRPr="00D824AD" w:rsidDel="006D5506">
              <w:rPr>
                <w:rFonts w:ascii="Garamond" w:hAnsi="Garamond"/>
              </w:rPr>
              <w:t xml:space="preserve"> </w:t>
            </w:r>
            <w:r w:rsidRPr="00D824AD">
              <w:rPr>
                <w:rFonts w:ascii="Garamond" w:hAnsi="Garamond"/>
              </w:rPr>
              <w:t>only)</w:t>
            </w:r>
            <w:r w:rsidRPr="00D824AD">
              <w:rPr>
                <w:rFonts w:ascii="Garamond" w:eastAsia="Calibri" w:hAnsi="Garamond" w:cs="Calibri"/>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tcPr>
          <w:p w14:paraId="21628ECD" w14:textId="77777777" w:rsidR="009C313D" w:rsidRPr="00D824AD" w:rsidRDefault="009C313D" w:rsidP="00560A50">
            <w:pPr>
              <w:rPr>
                <w:rFonts w:ascii="Garamond" w:hAnsi="Garamond"/>
              </w:rPr>
            </w:pPr>
            <w:r w:rsidRPr="00D824AD">
              <w:rPr>
                <w:rFonts w:ascii="Garamond" w:hAnsi="Garamond"/>
              </w:rPr>
              <w:t xml:space="preserve">Section </w:t>
            </w:r>
          </w:p>
          <w:p w14:paraId="5D0D217E" w14:textId="77777777" w:rsidR="009C313D" w:rsidRPr="00D824AD" w:rsidRDefault="009C313D" w:rsidP="00560A50">
            <w:pPr>
              <w:rPr>
                <w:rFonts w:ascii="Garamond" w:hAnsi="Garamond"/>
              </w:rPr>
            </w:pPr>
            <w:r w:rsidRPr="00D824AD">
              <w:rPr>
                <w:rFonts w:ascii="Garamond" w:hAnsi="Garamond"/>
              </w:rPr>
              <w:t xml:space="preserve">15 A (b) of </w:t>
            </w:r>
          </w:p>
          <w:p w14:paraId="5BCAC280" w14:textId="77777777" w:rsidR="009C313D" w:rsidRPr="00D824AD" w:rsidRDefault="009C313D" w:rsidP="00560A50">
            <w:pPr>
              <w:spacing w:line="276" w:lineRule="auto"/>
              <w:rPr>
                <w:rFonts w:ascii="Garamond" w:hAnsi="Garamond"/>
              </w:rPr>
            </w:pPr>
            <w:r w:rsidRPr="00D824AD">
              <w:rPr>
                <w:rFonts w:ascii="Garamond" w:hAnsi="Garamond"/>
              </w:rPr>
              <w:t>SEBI Act</w:t>
            </w:r>
            <w:r w:rsidRPr="00D824AD">
              <w:rPr>
                <w:rFonts w:ascii="Garamond" w:eastAsia="Arial" w:hAnsi="Garamond" w:cs="Arial"/>
                <w:b/>
              </w:rPr>
              <w:t xml:space="preserve"> </w:t>
            </w:r>
          </w:p>
        </w:tc>
      </w:tr>
    </w:tbl>
    <w:p w14:paraId="3CBD02B6" w14:textId="77777777" w:rsidR="009C313D" w:rsidRPr="00D824AD" w:rsidRDefault="009C313D" w:rsidP="009C313D">
      <w:pPr>
        <w:pStyle w:val="ListParagraph"/>
        <w:rPr>
          <w:rFonts w:ascii="Garamond" w:hAnsi="Garamond"/>
          <w:bCs/>
          <w:strike/>
        </w:rPr>
      </w:pPr>
    </w:p>
    <w:p w14:paraId="3A1DD96F"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imposing a total penalty of </w:t>
      </w:r>
      <w:r>
        <w:rPr>
          <w:rFonts w:ascii="Cambria Math" w:hAnsi="Cambria Math" w:cs="Cambria Math"/>
          <w:bCs/>
        </w:rPr>
        <w:t>₹</w:t>
      </w:r>
      <w:r w:rsidRPr="00D824AD">
        <w:rPr>
          <w:rFonts w:ascii="Garamond" w:hAnsi="Garamond"/>
          <w:bCs/>
        </w:rPr>
        <w:t xml:space="preserve"> 3,00,000 (Rupees Three Lakh Only) on SMS Techsoft (I) Ltd for the violation of the provisions of Clause 54 of the Equity Listing Agreement read with Section 21 of the Securities Contracts (Regulation) Act, 1956 in respect of the failure on the part of the Noticee to maintain its functional website.</w:t>
      </w:r>
    </w:p>
    <w:p w14:paraId="262B3E95" w14:textId="77777777" w:rsidR="009C313D" w:rsidRPr="00D824AD" w:rsidRDefault="009C313D" w:rsidP="009C313D">
      <w:pPr>
        <w:pStyle w:val="ListParagraph"/>
        <w:rPr>
          <w:rFonts w:ascii="Garamond" w:hAnsi="Garamond"/>
          <w:bCs/>
          <w:strike/>
        </w:rPr>
      </w:pPr>
    </w:p>
    <w:p w14:paraId="640CAA00"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Unregistered Investment Advisory Services imposing a total penalty of </w:t>
      </w:r>
      <w:r>
        <w:rPr>
          <w:rFonts w:ascii="Cambria Math" w:hAnsi="Cambria Math" w:cs="Cambria Math"/>
          <w:bCs/>
        </w:rPr>
        <w:t>₹</w:t>
      </w:r>
      <w:r w:rsidRPr="00D824AD">
        <w:rPr>
          <w:rFonts w:ascii="Garamond" w:hAnsi="Garamond"/>
          <w:bCs/>
        </w:rPr>
        <w:t xml:space="preserve"> 6,00,000 (Rupees Six Lakh Only) on Mr. Nitin Gangwal and Mr. Sudhir Bangur for the violation of Regulation 3(1) of the SEBI (Investment Advisers) Regulations, 2013 and Section 12(1) of the SEBI Act, 1992.</w:t>
      </w:r>
    </w:p>
    <w:p w14:paraId="54E2B3F7" w14:textId="77777777" w:rsidR="009C313D" w:rsidRPr="00D824AD" w:rsidRDefault="009C313D" w:rsidP="009C313D">
      <w:pPr>
        <w:pStyle w:val="ListParagraph"/>
        <w:rPr>
          <w:rFonts w:ascii="Garamond" w:hAnsi="Garamond"/>
          <w:bCs/>
        </w:rPr>
      </w:pPr>
    </w:p>
    <w:p w14:paraId="181EEF23"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M/s Cybele Industries Ltd. imposing following penalties on </w:t>
      </w:r>
      <w:r>
        <w:rPr>
          <w:rFonts w:ascii="Garamond" w:hAnsi="Garamond"/>
          <w:bCs/>
        </w:rPr>
        <w:t>five</w:t>
      </w:r>
      <w:r w:rsidRPr="00D824AD">
        <w:rPr>
          <w:rFonts w:ascii="Garamond" w:hAnsi="Garamond"/>
          <w:bCs/>
        </w:rPr>
        <w:t xml:space="preserve"> Entities for the violation of following provisions of PIT Regulations.</w:t>
      </w:r>
    </w:p>
    <w:p w14:paraId="75C8D479" w14:textId="77777777" w:rsidR="009C313D" w:rsidRPr="00D824AD" w:rsidRDefault="009C313D" w:rsidP="009C313D">
      <w:pPr>
        <w:pStyle w:val="ListParagraph"/>
        <w:rPr>
          <w:rFonts w:ascii="Garamond" w:hAnsi="Garamond"/>
          <w:bCs/>
          <w:sz w:val="24"/>
          <w:szCs w:val="24"/>
        </w:rPr>
      </w:pPr>
    </w:p>
    <w:tbl>
      <w:tblPr>
        <w:tblW w:w="9177" w:type="dxa"/>
        <w:tblInd w:w="360" w:type="dxa"/>
        <w:tblCellMar>
          <w:left w:w="106" w:type="dxa"/>
          <w:bottom w:w="144" w:type="dxa"/>
          <w:right w:w="41" w:type="dxa"/>
        </w:tblCellMar>
        <w:tblLook w:val="04A0" w:firstRow="1" w:lastRow="0" w:firstColumn="1" w:lastColumn="0" w:noHBand="0" w:noVBand="1"/>
      </w:tblPr>
      <w:tblGrid>
        <w:gridCol w:w="1029"/>
        <w:gridCol w:w="2031"/>
        <w:gridCol w:w="3692"/>
        <w:gridCol w:w="2425"/>
      </w:tblGrid>
      <w:tr w:rsidR="009C313D" w:rsidRPr="00D824AD" w14:paraId="3FEBD5D9" w14:textId="77777777" w:rsidTr="00560A50">
        <w:trPr>
          <w:trHeight w:val="50"/>
        </w:trPr>
        <w:tc>
          <w:tcPr>
            <w:tcW w:w="1030" w:type="dxa"/>
            <w:tcBorders>
              <w:top w:val="single" w:sz="4" w:space="0" w:color="000000"/>
              <w:left w:val="single" w:sz="4" w:space="0" w:color="000000"/>
              <w:bottom w:val="single" w:sz="4" w:space="0" w:color="000000"/>
              <w:right w:val="single" w:sz="4" w:space="0" w:color="000000"/>
            </w:tcBorders>
          </w:tcPr>
          <w:p w14:paraId="348C2017" w14:textId="77777777" w:rsidR="009C313D" w:rsidRPr="00D824AD" w:rsidRDefault="009C313D" w:rsidP="00560A50">
            <w:pPr>
              <w:spacing w:line="276" w:lineRule="auto"/>
              <w:ind w:left="2"/>
              <w:rPr>
                <w:rFonts w:ascii="Garamond" w:hAnsi="Garamond"/>
                <w:b/>
                <w:bCs/>
              </w:rPr>
            </w:pPr>
            <w:r>
              <w:rPr>
                <w:rFonts w:ascii="Garamond" w:hAnsi="Garamond"/>
                <w:b/>
                <w:bCs/>
              </w:rPr>
              <w:t xml:space="preserve">Sl. </w:t>
            </w:r>
            <w:r w:rsidRPr="00D824AD">
              <w:rPr>
                <w:rFonts w:ascii="Garamond" w:hAnsi="Garamond"/>
                <w:b/>
                <w:bCs/>
              </w:rPr>
              <w:t xml:space="preserve">No. </w:t>
            </w:r>
          </w:p>
        </w:tc>
        <w:tc>
          <w:tcPr>
            <w:tcW w:w="2031" w:type="dxa"/>
            <w:tcBorders>
              <w:top w:val="single" w:sz="4" w:space="0" w:color="000000"/>
              <w:left w:val="single" w:sz="4" w:space="0" w:color="000000"/>
              <w:bottom w:val="single" w:sz="4" w:space="0" w:color="000000"/>
              <w:right w:val="single" w:sz="4" w:space="0" w:color="000000"/>
            </w:tcBorders>
          </w:tcPr>
          <w:p w14:paraId="7EB7EF30" w14:textId="77777777" w:rsidR="009C313D" w:rsidRPr="00D824AD" w:rsidRDefault="009C313D" w:rsidP="00560A50">
            <w:pPr>
              <w:ind w:left="2"/>
              <w:rPr>
                <w:rFonts w:ascii="Garamond" w:hAnsi="Garamond"/>
                <w:b/>
                <w:bCs/>
              </w:rPr>
            </w:pPr>
            <w:r w:rsidRPr="00D824AD">
              <w:rPr>
                <w:rFonts w:ascii="Garamond" w:hAnsi="Garamond"/>
                <w:b/>
                <w:bCs/>
              </w:rPr>
              <w:t xml:space="preserve">Name of the </w:t>
            </w:r>
          </w:p>
          <w:p w14:paraId="716006A9" w14:textId="77777777" w:rsidR="009C313D" w:rsidRPr="00D824AD" w:rsidRDefault="009C313D" w:rsidP="00560A50">
            <w:pPr>
              <w:spacing w:line="276" w:lineRule="auto"/>
              <w:ind w:left="2"/>
              <w:rPr>
                <w:rFonts w:ascii="Garamond" w:hAnsi="Garamond"/>
                <w:b/>
                <w:bCs/>
              </w:rPr>
            </w:pPr>
            <w:r>
              <w:rPr>
                <w:rFonts w:ascii="Garamond" w:hAnsi="Garamond"/>
                <w:b/>
                <w:bCs/>
              </w:rPr>
              <w:t>Entity</w:t>
            </w:r>
            <w:r w:rsidRPr="00D824AD">
              <w:rPr>
                <w:rFonts w:ascii="Garamond" w:hAnsi="Garamond"/>
                <w:b/>
                <w:bCs/>
              </w:rPr>
              <w:t xml:space="preserve"> </w:t>
            </w:r>
          </w:p>
        </w:tc>
        <w:tc>
          <w:tcPr>
            <w:tcW w:w="3692" w:type="dxa"/>
            <w:tcBorders>
              <w:top w:val="single" w:sz="4" w:space="0" w:color="000000"/>
              <w:left w:val="single" w:sz="4" w:space="0" w:color="000000"/>
              <w:bottom w:val="single" w:sz="4" w:space="0" w:color="000000"/>
              <w:right w:val="single" w:sz="4" w:space="0" w:color="000000"/>
            </w:tcBorders>
          </w:tcPr>
          <w:p w14:paraId="0BEC75E9" w14:textId="77777777" w:rsidR="009C313D" w:rsidRPr="00D824AD" w:rsidRDefault="009C313D" w:rsidP="00560A50">
            <w:pPr>
              <w:ind w:left="2"/>
              <w:rPr>
                <w:rFonts w:ascii="Garamond" w:hAnsi="Garamond"/>
                <w:b/>
                <w:bCs/>
              </w:rPr>
            </w:pPr>
            <w:r w:rsidRPr="00D824AD">
              <w:rPr>
                <w:rFonts w:ascii="Garamond" w:hAnsi="Garamond"/>
                <w:b/>
                <w:bCs/>
              </w:rPr>
              <w:t xml:space="preserve"> </w:t>
            </w:r>
          </w:p>
          <w:p w14:paraId="09743082" w14:textId="77777777" w:rsidR="009C313D" w:rsidRPr="00D824AD" w:rsidRDefault="009C313D" w:rsidP="00560A50">
            <w:pPr>
              <w:spacing w:line="276" w:lineRule="auto"/>
              <w:ind w:left="2"/>
              <w:rPr>
                <w:rFonts w:ascii="Garamond" w:hAnsi="Garamond"/>
                <w:b/>
                <w:bCs/>
              </w:rPr>
            </w:pPr>
            <w:r w:rsidRPr="00D824AD">
              <w:rPr>
                <w:rFonts w:ascii="Garamond" w:hAnsi="Garamond"/>
                <w:b/>
                <w:bCs/>
              </w:rPr>
              <w:t xml:space="preserve">Violations </w:t>
            </w:r>
          </w:p>
        </w:tc>
        <w:tc>
          <w:tcPr>
            <w:tcW w:w="2425" w:type="dxa"/>
            <w:tcBorders>
              <w:top w:val="single" w:sz="4" w:space="0" w:color="000000"/>
              <w:left w:val="single" w:sz="4" w:space="0" w:color="000000"/>
              <w:bottom w:val="single" w:sz="4" w:space="0" w:color="000000"/>
              <w:right w:val="single" w:sz="4" w:space="0" w:color="000000"/>
            </w:tcBorders>
            <w:vAlign w:val="bottom"/>
          </w:tcPr>
          <w:p w14:paraId="49759BEE" w14:textId="77777777" w:rsidR="009C313D" w:rsidRPr="00D824AD" w:rsidRDefault="009C313D" w:rsidP="00560A50">
            <w:pPr>
              <w:spacing w:line="276" w:lineRule="auto"/>
              <w:rPr>
                <w:rFonts w:ascii="Garamond" w:hAnsi="Garamond"/>
                <w:b/>
                <w:bCs/>
              </w:rPr>
            </w:pPr>
            <w:r w:rsidRPr="00D824AD">
              <w:rPr>
                <w:rFonts w:ascii="Garamond" w:hAnsi="Garamond"/>
                <w:b/>
                <w:bCs/>
              </w:rPr>
              <w:t xml:space="preserve">Penalty Amount </w:t>
            </w:r>
          </w:p>
        </w:tc>
      </w:tr>
      <w:tr w:rsidR="009C313D" w:rsidRPr="00D824AD" w14:paraId="5DD893CC" w14:textId="77777777" w:rsidTr="00560A50">
        <w:trPr>
          <w:trHeight w:val="50"/>
        </w:trPr>
        <w:tc>
          <w:tcPr>
            <w:tcW w:w="1030" w:type="dxa"/>
            <w:tcBorders>
              <w:top w:val="single" w:sz="4" w:space="0" w:color="000000"/>
              <w:left w:val="single" w:sz="4" w:space="0" w:color="000000"/>
              <w:bottom w:val="single" w:sz="4" w:space="0" w:color="000000"/>
              <w:right w:val="single" w:sz="4" w:space="0" w:color="000000"/>
            </w:tcBorders>
            <w:vAlign w:val="bottom"/>
          </w:tcPr>
          <w:p w14:paraId="5577BE3F" w14:textId="77777777" w:rsidR="009C313D" w:rsidRPr="00D824AD" w:rsidRDefault="009C313D" w:rsidP="00560A50">
            <w:pPr>
              <w:spacing w:line="276" w:lineRule="auto"/>
              <w:jc w:val="right"/>
              <w:rPr>
                <w:rFonts w:ascii="Garamond" w:hAnsi="Garamond"/>
              </w:rPr>
            </w:pPr>
            <w:r w:rsidRPr="00D824AD">
              <w:rPr>
                <w:rFonts w:ascii="Garamond" w:hAnsi="Garamond"/>
              </w:rPr>
              <w:t xml:space="preserve">1 </w:t>
            </w:r>
          </w:p>
        </w:tc>
        <w:tc>
          <w:tcPr>
            <w:tcW w:w="2031" w:type="dxa"/>
            <w:tcBorders>
              <w:top w:val="single" w:sz="4" w:space="0" w:color="000000"/>
              <w:left w:val="single" w:sz="4" w:space="0" w:color="000000"/>
              <w:bottom w:val="single" w:sz="4" w:space="0" w:color="000000"/>
              <w:right w:val="single" w:sz="4" w:space="0" w:color="000000"/>
            </w:tcBorders>
            <w:vAlign w:val="bottom"/>
          </w:tcPr>
          <w:p w14:paraId="6DCA5D9C" w14:textId="77777777" w:rsidR="009C313D" w:rsidRPr="00D824AD" w:rsidRDefault="009C313D" w:rsidP="00560A50">
            <w:pPr>
              <w:spacing w:line="276" w:lineRule="auto"/>
              <w:ind w:left="2"/>
              <w:rPr>
                <w:rFonts w:ascii="Garamond" w:hAnsi="Garamond"/>
              </w:rPr>
            </w:pPr>
            <w:r w:rsidRPr="00D824AD">
              <w:rPr>
                <w:rFonts w:ascii="Garamond" w:hAnsi="Garamond"/>
              </w:rPr>
              <w:t>Joy Kutty P. A.</w:t>
            </w:r>
            <w:r w:rsidRPr="00D824AD">
              <w:rPr>
                <w:rFonts w:ascii="Garamond" w:eastAsia="Arial" w:hAnsi="Garamond" w:cs="Arial"/>
                <w:b/>
              </w:rPr>
              <w:t xml:space="preserve"> </w:t>
            </w:r>
          </w:p>
        </w:tc>
        <w:tc>
          <w:tcPr>
            <w:tcW w:w="3692" w:type="dxa"/>
            <w:tcBorders>
              <w:top w:val="single" w:sz="4" w:space="0" w:color="000000"/>
              <w:left w:val="single" w:sz="4" w:space="0" w:color="000000"/>
              <w:bottom w:val="single" w:sz="4" w:space="0" w:color="000000"/>
              <w:right w:val="single" w:sz="4" w:space="0" w:color="000000"/>
            </w:tcBorders>
          </w:tcPr>
          <w:p w14:paraId="07762B00" w14:textId="77777777" w:rsidR="009C313D" w:rsidRPr="00D824AD" w:rsidRDefault="009C313D" w:rsidP="00560A50">
            <w:pPr>
              <w:spacing w:line="276" w:lineRule="auto"/>
              <w:ind w:left="35"/>
              <w:rPr>
                <w:rFonts w:ascii="Garamond" w:hAnsi="Garamond"/>
              </w:rPr>
            </w:pPr>
            <w:r w:rsidRPr="00D824AD">
              <w:rPr>
                <w:rFonts w:ascii="Garamond" w:hAnsi="Garamond"/>
              </w:rPr>
              <w:t xml:space="preserve">Regulation 13(3), 13(4A) read with 13(5) of PIT Regulations. </w:t>
            </w:r>
          </w:p>
        </w:tc>
        <w:tc>
          <w:tcPr>
            <w:tcW w:w="2425" w:type="dxa"/>
            <w:tcBorders>
              <w:top w:val="single" w:sz="4" w:space="0" w:color="000000"/>
              <w:left w:val="single" w:sz="4" w:space="0" w:color="000000"/>
              <w:bottom w:val="single" w:sz="4" w:space="0" w:color="000000"/>
              <w:right w:val="single" w:sz="4" w:space="0" w:color="000000"/>
            </w:tcBorders>
          </w:tcPr>
          <w:p w14:paraId="5B5C6641" w14:textId="77777777" w:rsidR="009C313D" w:rsidRPr="00D824AD" w:rsidRDefault="009C313D" w:rsidP="00560A50">
            <w:pPr>
              <w:spacing w:after="142"/>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3,00,000/-(Rupees </w:t>
            </w:r>
          </w:p>
          <w:p w14:paraId="02CBC1DB" w14:textId="77777777" w:rsidR="009C313D" w:rsidRPr="00D824AD" w:rsidRDefault="009C313D" w:rsidP="00560A50">
            <w:pPr>
              <w:spacing w:line="276" w:lineRule="auto"/>
              <w:rPr>
                <w:rFonts w:ascii="Garamond" w:hAnsi="Garamond"/>
              </w:rPr>
            </w:pPr>
            <w:r w:rsidRPr="00D824AD">
              <w:rPr>
                <w:rFonts w:ascii="Garamond" w:hAnsi="Garamond"/>
              </w:rPr>
              <w:t>Three Lakh only)</w:t>
            </w:r>
            <w:r w:rsidRPr="00D824AD">
              <w:rPr>
                <w:rFonts w:ascii="Garamond" w:eastAsia="Arial" w:hAnsi="Garamond" w:cs="Arial"/>
                <w:b/>
              </w:rPr>
              <w:t xml:space="preserve"> </w:t>
            </w:r>
          </w:p>
        </w:tc>
      </w:tr>
      <w:tr w:rsidR="009C313D" w:rsidRPr="00D824AD" w14:paraId="4DCAD40F" w14:textId="77777777" w:rsidTr="00560A50">
        <w:trPr>
          <w:trHeight w:val="50"/>
        </w:trPr>
        <w:tc>
          <w:tcPr>
            <w:tcW w:w="1030" w:type="dxa"/>
            <w:tcBorders>
              <w:top w:val="single" w:sz="4" w:space="0" w:color="000000"/>
              <w:left w:val="single" w:sz="4" w:space="0" w:color="000000"/>
              <w:bottom w:val="single" w:sz="4" w:space="0" w:color="000000"/>
              <w:right w:val="single" w:sz="4" w:space="0" w:color="000000"/>
            </w:tcBorders>
            <w:vAlign w:val="bottom"/>
          </w:tcPr>
          <w:p w14:paraId="58AADD84" w14:textId="77777777" w:rsidR="009C313D" w:rsidRPr="00D824AD" w:rsidRDefault="009C313D" w:rsidP="00560A50">
            <w:pPr>
              <w:spacing w:line="276" w:lineRule="auto"/>
              <w:jc w:val="right"/>
              <w:rPr>
                <w:rFonts w:ascii="Garamond" w:hAnsi="Garamond"/>
              </w:rPr>
            </w:pPr>
            <w:r w:rsidRPr="00D824AD">
              <w:rPr>
                <w:rFonts w:ascii="Garamond" w:hAnsi="Garamond"/>
              </w:rPr>
              <w:t xml:space="preserve">2 </w:t>
            </w:r>
          </w:p>
        </w:tc>
        <w:tc>
          <w:tcPr>
            <w:tcW w:w="2031" w:type="dxa"/>
            <w:tcBorders>
              <w:top w:val="single" w:sz="4" w:space="0" w:color="000000"/>
              <w:left w:val="single" w:sz="4" w:space="0" w:color="000000"/>
              <w:bottom w:val="single" w:sz="4" w:space="0" w:color="000000"/>
              <w:right w:val="single" w:sz="4" w:space="0" w:color="000000"/>
            </w:tcBorders>
            <w:vAlign w:val="bottom"/>
          </w:tcPr>
          <w:p w14:paraId="2E00EAB8" w14:textId="77777777" w:rsidR="009C313D" w:rsidRPr="00D824AD" w:rsidRDefault="009C313D" w:rsidP="00560A50">
            <w:pPr>
              <w:spacing w:line="276" w:lineRule="auto"/>
              <w:ind w:left="2"/>
              <w:rPr>
                <w:rFonts w:ascii="Garamond" w:hAnsi="Garamond"/>
              </w:rPr>
            </w:pPr>
            <w:r w:rsidRPr="00D824AD">
              <w:rPr>
                <w:rFonts w:ascii="Garamond" w:hAnsi="Garamond"/>
              </w:rPr>
              <w:t>George P Joy</w:t>
            </w:r>
            <w:r w:rsidRPr="00D824AD">
              <w:rPr>
                <w:rFonts w:ascii="Garamond" w:eastAsia="Arial" w:hAnsi="Garamond" w:cs="Arial"/>
                <w:b/>
              </w:rPr>
              <w:t xml:space="preserve"> </w:t>
            </w:r>
          </w:p>
        </w:tc>
        <w:tc>
          <w:tcPr>
            <w:tcW w:w="3692" w:type="dxa"/>
            <w:tcBorders>
              <w:top w:val="single" w:sz="4" w:space="0" w:color="000000"/>
              <w:left w:val="single" w:sz="4" w:space="0" w:color="000000"/>
              <w:bottom w:val="single" w:sz="4" w:space="0" w:color="000000"/>
              <w:right w:val="single" w:sz="4" w:space="0" w:color="000000"/>
            </w:tcBorders>
          </w:tcPr>
          <w:p w14:paraId="74395F8B" w14:textId="77777777" w:rsidR="009C313D" w:rsidRPr="00D824AD" w:rsidRDefault="009C313D" w:rsidP="00560A50">
            <w:pPr>
              <w:spacing w:line="276" w:lineRule="auto"/>
              <w:ind w:left="35"/>
              <w:rPr>
                <w:rFonts w:ascii="Garamond" w:hAnsi="Garamond"/>
              </w:rPr>
            </w:pPr>
            <w:r w:rsidRPr="00D824AD">
              <w:rPr>
                <w:rFonts w:ascii="Garamond" w:hAnsi="Garamond"/>
              </w:rPr>
              <w:t xml:space="preserve">Regulation 13(1), 13(4A) read with 13(5) of PIT Regulations. </w:t>
            </w:r>
          </w:p>
        </w:tc>
        <w:tc>
          <w:tcPr>
            <w:tcW w:w="2425" w:type="dxa"/>
            <w:tcBorders>
              <w:top w:val="single" w:sz="4" w:space="0" w:color="000000"/>
              <w:left w:val="single" w:sz="4" w:space="0" w:color="000000"/>
              <w:bottom w:val="single" w:sz="4" w:space="0" w:color="000000"/>
              <w:right w:val="single" w:sz="4" w:space="0" w:color="000000"/>
            </w:tcBorders>
          </w:tcPr>
          <w:p w14:paraId="58135B5E" w14:textId="77777777" w:rsidR="009C313D" w:rsidRPr="00D824AD" w:rsidRDefault="009C313D" w:rsidP="00560A50">
            <w:pPr>
              <w:spacing w:after="140"/>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1,00,000/-(Rupees </w:t>
            </w:r>
          </w:p>
          <w:p w14:paraId="79A5195C" w14:textId="77777777" w:rsidR="009C313D" w:rsidRPr="00D824AD" w:rsidRDefault="009C313D" w:rsidP="00560A50">
            <w:pPr>
              <w:spacing w:line="276" w:lineRule="auto"/>
              <w:rPr>
                <w:rFonts w:ascii="Garamond" w:hAnsi="Garamond"/>
              </w:rPr>
            </w:pPr>
            <w:r w:rsidRPr="00D824AD">
              <w:rPr>
                <w:rFonts w:ascii="Garamond" w:hAnsi="Garamond"/>
              </w:rPr>
              <w:t>One Lakh only)</w:t>
            </w:r>
            <w:r w:rsidRPr="00D824AD">
              <w:rPr>
                <w:rFonts w:ascii="Garamond" w:eastAsia="Arial" w:hAnsi="Garamond" w:cs="Arial"/>
                <w:b/>
              </w:rPr>
              <w:t xml:space="preserve"> </w:t>
            </w:r>
          </w:p>
        </w:tc>
      </w:tr>
      <w:tr w:rsidR="009C313D" w:rsidRPr="00D824AD" w14:paraId="0F9C1650" w14:textId="77777777" w:rsidTr="00560A50">
        <w:trPr>
          <w:trHeight w:val="50"/>
        </w:trPr>
        <w:tc>
          <w:tcPr>
            <w:tcW w:w="1030" w:type="dxa"/>
            <w:tcBorders>
              <w:top w:val="single" w:sz="4" w:space="0" w:color="000000"/>
              <w:left w:val="single" w:sz="4" w:space="0" w:color="000000"/>
              <w:bottom w:val="single" w:sz="4" w:space="0" w:color="000000"/>
              <w:right w:val="single" w:sz="4" w:space="0" w:color="000000"/>
            </w:tcBorders>
            <w:vAlign w:val="bottom"/>
          </w:tcPr>
          <w:p w14:paraId="7936242E" w14:textId="77777777" w:rsidR="009C313D" w:rsidRPr="00D824AD" w:rsidRDefault="009C313D" w:rsidP="00560A50">
            <w:pPr>
              <w:spacing w:line="276" w:lineRule="auto"/>
              <w:jc w:val="right"/>
              <w:rPr>
                <w:rFonts w:ascii="Garamond" w:hAnsi="Garamond"/>
              </w:rPr>
            </w:pPr>
            <w:r w:rsidRPr="00D824AD">
              <w:rPr>
                <w:rFonts w:ascii="Garamond" w:hAnsi="Garamond"/>
              </w:rPr>
              <w:t xml:space="preserve">3 </w:t>
            </w:r>
          </w:p>
        </w:tc>
        <w:tc>
          <w:tcPr>
            <w:tcW w:w="2031" w:type="dxa"/>
            <w:tcBorders>
              <w:top w:val="single" w:sz="4" w:space="0" w:color="000000"/>
              <w:left w:val="single" w:sz="4" w:space="0" w:color="000000"/>
              <w:bottom w:val="single" w:sz="4" w:space="0" w:color="000000"/>
              <w:right w:val="single" w:sz="4" w:space="0" w:color="000000"/>
            </w:tcBorders>
            <w:vAlign w:val="bottom"/>
          </w:tcPr>
          <w:p w14:paraId="2D16E5A8" w14:textId="77777777" w:rsidR="009C313D" w:rsidRPr="00D824AD" w:rsidRDefault="009C313D" w:rsidP="00560A50">
            <w:pPr>
              <w:spacing w:line="276" w:lineRule="auto"/>
              <w:ind w:left="2"/>
              <w:rPr>
                <w:rFonts w:ascii="Garamond" w:hAnsi="Garamond"/>
              </w:rPr>
            </w:pPr>
            <w:r w:rsidRPr="00D824AD">
              <w:rPr>
                <w:rFonts w:ascii="Garamond" w:hAnsi="Garamond"/>
              </w:rPr>
              <w:t>Annamma P Joy</w:t>
            </w:r>
            <w:r w:rsidRPr="00D824AD">
              <w:rPr>
                <w:rFonts w:ascii="Garamond" w:eastAsia="Arial" w:hAnsi="Garamond" w:cs="Arial"/>
                <w:b/>
              </w:rPr>
              <w:t xml:space="preserve"> </w:t>
            </w:r>
          </w:p>
        </w:tc>
        <w:tc>
          <w:tcPr>
            <w:tcW w:w="3692" w:type="dxa"/>
            <w:tcBorders>
              <w:top w:val="single" w:sz="4" w:space="0" w:color="000000"/>
              <w:left w:val="single" w:sz="4" w:space="0" w:color="000000"/>
              <w:bottom w:val="single" w:sz="4" w:space="0" w:color="000000"/>
              <w:right w:val="single" w:sz="4" w:space="0" w:color="000000"/>
            </w:tcBorders>
          </w:tcPr>
          <w:p w14:paraId="62753C11" w14:textId="77777777" w:rsidR="009C313D" w:rsidRPr="00D824AD" w:rsidRDefault="009C313D" w:rsidP="00560A50">
            <w:pPr>
              <w:spacing w:line="276" w:lineRule="auto"/>
              <w:ind w:left="35"/>
              <w:rPr>
                <w:rFonts w:ascii="Garamond" w:hAnsi="Garamond"/>
              </w:rPr>
            </w:pPr>
            <w:r w:rsidRPr="00D824AD">
              <w:rPr>
                <w:rFonts w:ascii="Garamond" w:hAnsi="Garamond"/>
              </w:rPr>
              <w:t xml:space="preserve">Regulation 13(3), 13(4A) read with 13(5) of PIT Regulations. </w:t>
            </w:r>
          </w:p>
        </w:tc>
        <w:tc>
          <w:tcPr>
            <w:tcW w:w="2425" w:type="dxa"/>
            <w:tcBorders>
              <w:top w:val="single" w:sz="4" w:space="0" w:color="000000"/>
              <w:left w:val="single" w:sz="4" w:space="0" w:color="000000"/>
              <w:bottom w:val="single" w:sz="4" w:space="0" w:color="000000"/>
              <w:right w:val="single" w:sz="4" w:space="0" w:color="000000"/>
            </w:tcBorders>
          </w:tcPr>
          <w:p w14:paraId="468E3071" w14:textId="77777777" w:rsidR="009C313D" w:rsidRPr="00D824AD" w:rsidRDefault="009C313D" w:rsidP="00560A50">
            <w:pPr>
              <w:spacing w:after="141"/>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1,00,000/-(Rupees </w:t>
            </w:r>
          </w:p>
          <w:p w14:paraId="57E537D7" w14:textId="77777777" w:rsidR="009C313D" w:rsidRPr="00D824AD" w:rsidRDefault="009C313D" w:rsidP="00560A50">
            <w:pPr>
              <w:spacing w:line="276" w:lineRule="auto"/>
              <w:rPr>
                <w:rFonts w:ascii="Garamond" w:hAnsi="Garamond"/>
              </w:rPr>
            </w:pPr>
            <w:r w:rsidRPr="00D824AD">
              <w:rPr>
                <w:rFonts w:ascii="Garamond" w:hAnsi="Garamond"/>
              </w:rPr>
              <w:t>One Lakh only)</w:t>
            </w:r>
            <w:r w:rsidRPr="00D824AD">
              <w:rPr>
                <w:rFonts w:ascii="Garamond" w:eastAsia="Arial" w:hAnsi="Garamond" w:cs="Arial"/>
                <w:b/>
              </w:rPr>
              <w:t xml:space="preserve"> </w:t>
            </w:r>
          </w:p>
        </w:tc>
      </w:tr>
      <w:tr w:rsidR="009C313D" w:rsidRPr="00D824AD" w14:paraId="2E095F98" w14:textId="77777777" w:rsidTr="00560A50">
        <w:trPr>
          <w:trHeight w:val="50"/>
        </w:trPr>
        <w:tc>
          <w:tcPr>
            <w:tcW w:w="1030" w:type="dxa"/>
            <w:tcBorders>
              <w:top w:val="single" w:sz="4" w:space="0" w:color="000000"/>
              <w:left w:val="single" w:sz="4" w:space="0" w:color="000000"/>
              <w:bottom w:val="single" w:sz="4" w:space="0" w:color="000000"/>
              <w:right w:val="single" w:sz="4" w:space="0" w:color="000000"/>
            </w:tcBorders>
            <w:vAlign w:val="bottom"/>
          </w:tcPr>
          <w:p w14:paraId="7210C16B" w14:textId="77777777" w:rsidR="009C313D" w:rsidRPr="00D824AD" w:rsidRDefault="009C313D" w:rsidP="00560A50">
            <w:pPr>
              <w:spacing w:line="276" w:lineRule="auto"/>
              <w:jc w:val="right"/>
              <w:rPr>
                <w:rFonts w:ascii="Garamond" w:hAnsi="Garamond"/>
              </w:rPr>
            </w:pPr>
            <w:r w:rsidRPr="00D824AD">
              <w:rPr>
                <w:rFonts w:ascii="Garamond" w:hAnsi="Garamond"/>
              </w:rPr>
              <w:t xml:space="preserve">4 </w:t>
            </w:r>
          </w:p>
        </w:tc>
        <w:tc>
          <w:tcPr>
            <w:tcW w:w="2031" w:type="dxa"/>
            <w:tcBorders>
              <w:top w:val="single" w:sz="4" w:space="0" w:color="000000"/>
              <w:left w:val="single" w:sz="4" w:space="0" w:color="000000"/>
              <w:bottom w:val="single" w:sz="4" w:space="0" w:color="000000"/>
              <w:right w:val="single" w:sz="4" w:space="0" w:color="000000"/>
            </w:tcBorders>
            <w:vAlign w:val="bottom"/>
          </w:tcPr>
          <w:p w14:paraId="07D91538" w14:textId="77777777" w:rsidR="009C313D" w:rsidRPr="00D824AD" w:rsidRDefault="009C313D" w:rsidP="00560A50">
            <w:pPr>
              <w:spacing w:line="276" w:lineRule="auto"/>
              <w:ind w:left="2"/>
              <w:rPr>
                <w:rFonts w:ascii="Garamond" w:hAnsi="Garamond"/>
              </w:rPr>
            </w:pPr>
            <w:r w:rsidRPr="00D824AD">
              <w:rPr>
                <w:rFonts w:ascii="Garamond" w:hAnsi="Garamond"/>
              </w:rPr>
              <w:t>Thomas P Joy</w:t>
            </w:r>
            <w:r w:rsidRPr="00D824AD">
              <w:rPr>
                <w:rFonts w:ascii="Garamond" w:eastAsia="Arial" w:hAnsi="Garamond" w:cs="Arial"/>
                <w:b/>
              </w:rPr>
              <w:t xml:space="preserve"> </w:t>
            </w:r>
          </w:p>
        </w:tc>
        <w:tc>
          <w:tcPr>
            <w:tcW w:w="3692" w:type="dxa"/>
            <w:tcBorders>
              <w:top w:val="single" w:sz="4" w:space="0" w:color="000000"/>
              <w:left w:val="single" w:sz="4" w:space="0" w:color="000000"/>
              <w:bottom w:val="single" w:sz="4" w:space="0" w:color="000000"/>
              <w:right w:val="single" w:sz="4" w:space="0" w:color="000000"/>
            </w:tcBorders>
          </w:tcPr>
          <w:p w14:paraId="2E0FB5D3" w14:textId="77777777" w:rsidR="009C313D" w:rsidRPr="00D824AD" w:rsidRDefault="009C313D" w:rsidP="00560A50">
            <w:pPr>
              <w:spacing w:line="276" w:lineRule="auto"/>
              <w:ind w:left="35"/>
              <w:rPr>
                <w:rFonts w:ascii="Garamond" w:hAnsi="Garamond"/>
              </w:rPr>
            </w:pPr>
            <w:r w:rsidRPr="00D824AD">
              <w:rPr>
                <w:rFonts w:ascii="Garamond" w:hAnsi="Garamond"/>
              </w:rPr>
              <w:t xml:space="preserve">Regulation 13(1), 13(4A) read with 13(5) of PIT Regulations. </w:t>
            </w:r>
          </w:p>
        </w:tc>
        <w:tc>
          <w:tcPr>
            <w:tcW w:w="2425" w:type="dxa"/>
            <w:tcBorders>
              <w:top w:val="single" w:sz="4" w:space="0" w:color="000000"/>
              <w:left w:val="single" w:sz="4" w:space="0" w:color="000000"/>
              <w:bottom w:val="single" w:sz="4" w:space="0" w:color="000000"/>
              <w:right w:val="single" w:sz="4" w:space="0" w:color="000000"/>
            </w:tcBorders>
          </w:tcPr>
          <w:p w14:paraId="2BBF2723" w14:textId="77777777" w:rsidR="009C313D" w:rsidRPr="00D824AD" w:rsidRDefault="009C313D" w:rsidP="00560A50">
            <w:pPr>
              <w:spacing w:after="142"/>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1,00,000/-(Rupees </w:t>
            </w:r>
          </w:p>
          <w:p w14:paraId="5F4D2821" w14:textId="77777777" w:rsidR="009C313D" w:rsidRPr="00D824AD" w:rsidRDefault="009C313D" w:rsidP="00560A50">
            <w:pPr>
              <w:spacing w:line="276" w:lineRule="auto"/>
              <w:rPr>
                <w:rFonts w:ascii="Garamond" w:hAnsi="Garamond"/>
              </w:rPr>
            </w:pPr>
            <w:r w:rsidRPr="00D824AD">
              <w:rPr>
                <w:rFonts w:ascii="Garamond" w:hAnsi="Garamond"/>
              </w:rPr>
              <w:t>One Lakh only)</w:t>
            </w:r>
            <w:r w:rsidRPr="00D824AD">
              <w:rPr>
                <w:rFonts w:ascii="Garamond" w:eastAsia="Arial" w:hAnsi="Garamond" w:cs="Arial"/>
                <w:b/>
              </w:rPr>
              <w:t xml:space="preserve"> </w:t>
            </w:r>
          </w:p>
        </w:tc>
      </w:tr>
      <w:tr w:rsidR="009C313D" w:rsidRPr="00D824AD" w14:paraId="02504B04" w14:textId="77777777" w:rsidTr="00560A50">
        <w:trPr>
          <w:trHeight w:val="50"/>
        </w:trPr>
        <w:tc>
          <w:tcPr>
            <w:tcW w:w="1030" w:type="dxa"/>
            <w:tcBorders>
              <w:top w:val="single" w:sz="4" w:space="0" w:color="000000"/>
              <w:left w:val="single" w:sz="4" w:space="0" w:color="000000"/>
              <w:bottom w:val="single" w:sz="4" w:space="0" w:color="000000"/>
              <w:right w:val="single" w:sz="4" w:space="0" w:color="000000"/>
            </w:tcBorders>
            <w:vAlign w:val="bottom"/>
          </w:tcPr>
          <w:p w14:paraId="38A50962" w14:textId="77777777" w:rsidR="009C313D" w:rsidRPr="00D824AD" w:rsidRDefault="009C313D" w:rsidP="00560A50">
            <w:pPr>
              <w:spacing w:line="276" w:lineRule="auto"/>
              <w:jc w:val="right"/>
              <w:rPr>
                <w:rFonts w:ascii="Garamond" w:hAnsi="Garamond"/>
              </w:rPr>
            </w:pPr>
            <w:r w:rsidRPr="00D824AD">
              <w:rPr>
                <w:rFonts w:ascii="Garamond" w:hAnsi="Garamond"/>
              </w:rPr>
              <w:t xml:space="preserve">5 </w:t>
            </w:r>
          </w:p>
        </w:tc>
        <w:tc>
          <w:tcPr>
            <w:tcW w:w="2031" w:type="dxa"/>
            <w:tcBorders>
              <w:top w:val="single" w:sz="4" w:space="0" w:color="000000"/>
              <w:left w:val="single" w:sz="4" w:space="0" w:color="000000"/>
              <w:bottom w:val="single" w:sz="4" w:space="0" w:color="000000"/>
              <w:right w:val="single" w:sz="4" w:space="0" w:color="000000"/>
            </w:tcBorders>
          </w:tcPr>
          <w:p w14:paraId="2E65D32A" w14:textId="77777777" w:rsidR="009C313D" w:rsidRPr="00D824AD" w:rsidRDefault="009C313D" w:rsidP="00560A50">
            <w:pPr>
              <w:spacing w:after="137"/>
              <w:ind w:left="2"/>
              <w:rPr>
                <w:rFonts w:ascii="Garamond" w:hAnsi="Garamond"/>
              </w:rPr>
            </w:pPr>
            <w:r w:rsidRPr="00D824AD">
              <w:rPr>
                <w:rFonts w:ascii="Garamond" w:hAnsi="Garamond"/>
              </w:rPr>
              <w:t xml:space="preserve">Cybele </w:t>
            </w:r>
          </w:p>
          <w:p w14:paraId="1362AE94" w14:textId="77777777" w:rsidR="009C313D" w:rsidRPr="00D824AD" w:rsidRDefault="009C313D" w:rsidP="00560A50">
            <w:pPr>
              <w:spacing w:line="276" w:lineRule="auto"/>
              <w:ind w:left="2"/>
              <w:rPr>
                <w:rFonts w:ascii="Garamond" w:hAnsi="Garamond"/>
              </w:rPr>
            </w:pPr>
            <w:r w:rsidRPr="00D824AD">
              <w:rPr>
                <w:rFonts w:ascii="Garamond" w:hAnsi="Garamond"/>
              </w:rPr>
              <w:t>Industries Ltd</w:t>
            </w:r>
            <w:r w:rsidRPr="00D824AD">
              <w:rPr>
                <w:rFonts w:ascii="Garamond" w:eastAsia="Arial" w:hAnsi="Garamond" w:cs="Arial"/>
                <w:b/>
              </w:rPr>
              <w:t xml:space="preserve"> </w:t>
            </w:r>
          </w:p>
        </w:tc>
        <w:tc>
          <w:tcPr>
            <w:tcW w:w="3692" w:type="dxa"/>
            <w:tcBorders>
              <w:top w:val="single" w:sz="4" w:space="0" w:color="000000"/>
              <w:left w:val="single" w:sz="4" w:space="0" w:color="000000"/>
              <w:bottom w:val="single" w:sz="4" w:space="0" w:color="000000"/>
              <w:right w:val="single" w:sz="4" w:space="0" w:color="000000"/>
            </w:tcBorders>
          </w:tcPr>
          <w:p w14:paraId="4BD01FB5" w14:textId="77777777" w:rsidR="009C313D" w:rsidRPr="00D824AD" w:rsidRDefault="009C313D" w:rsidP="00560A50">
            <w:pPr>
              <w:ind w:left="35"/>
              <w:rPr>
                <w:rFonts w:ascii="Garamond" w:hAnsi="Garamond"/>
              </w:rPr>
            </w:pPr>
            <w:r w:rsidRPr="00D824AD">
              <w:rPr>
                <w:rFonts w:ascii="Garamond" w:hAnsi="Garamond"/>
              </w:rPr>
              <w:t xml:space="preserve">Regulation </w:t>
            </w:r>
            <w:r w:rsidRPr="00D824AD">
              <w:rPr>
                <w:rFonts w:ascii="Garamond" w:hAnsi="Garamond"/>
              </w:rPr>
              <w:tab/>
              <w:t xml:space="preserve">13(6) </w:t>
            </w:r>
            <w:r w:rsidRPr="00D824AD">
              <w:rPr>
                <w:rFonts w:ascii="Garamond" w:hAnsi="Garamond"/>
              </w:rPr>
              <w:tab/>
              <w:t xml:space="preserve">of </w:t>
            </w:r>
            <w:r w:rsidRPr="00D824AD">
              <w:rPr>
                <w:rFonts w:ascii="Garamond" w:hAnsi="Garamond"/>
              </w:rPr>
              <w:tab/>
              <w:t xml:space="preserve">PIT </w:t>
            </w:r>
          </w:p>
          <w:p w14:paraId="0A5D4896" w14:textId="77777777" w:rsidR="009C313D" w:rsidRPr="00D824AD" w:rsidRDefault="009C313D" w:rsidP="00560A50">
            <w:pPr>
              <w:spacing w:line="276" w:lineRule="auto"/>
              <w:ind w:left="35"/>
              <w:rPr>
                <w:rFonts w:ascii="Garamond" w:hAnsi="Garamond"/>
              </w:rPr>
            </w:pPr>
            <w:r w:rsidRPr="00D824AD">
              <w:rPr>
                <w:rFonts w:ascii="Garamond" w:hAnsi="Garamond"/>
              </w:rPr>
              <w:t xml:space="preserve">Regulations. </w:t>
            </w:r>
          </w:p>
        </w:tc>
        <w:tc>
          <w:tcPr>
            <w:tcW w:w="2425" w:type="dxa"/>
            <w:tcBorders>
              <w:top w:val="single" w:sz="4" w:space="0" w:color="000000"/>
              <w:left w:val="single" w:sz="4" w:space="0" w:color="000000"/>
              <w:bottom w:val="single" w:sz="4" w:space="0" w:color="000000"/>
              <w:right w:val="single" w:sz="4" w:space="0" w:color="000000"/>
            </w:tcBorders>
          </w:tcPr>
          <w:p w14:paraId="37B65033" w14:textId="77777777" w:rsidR="009C313D" w:rsidRPr="00D824AD" w:rsidRDefault="009C313D" w:rsidP="00560A50">
            <w:pPr>
              <w:spacing w:after="142"/>
              <w:rPr>
                <w:rFonts w:ascii="Garamond" w:hAnsi="Garamond"/>
              </w:rPr>
            </w:pPr>
            <w:r>
              <w:rPr>
                <w:rFonts w:ascii="Cambria Math" w:eastAsia="Rupee Foradian" w:hAnsi="Cambria Math" w:cs="Cambria Math"/>
              </w:rPr>
              <w:t>₹</w:t>
            </w:r>
            <w:r w:rsidRPr="00D824AD">
              <w:rPr>
                <w:rFonts w:ascii="Garamond" w:eastAsia="Rupee Foradian" w:hAnsi="Garamond" w:cs="Rupee Foradian"/>
              </w:rPr>
              <w:t xml:space="preserve"> </w:t>
            </w:r>
            <w:r w:rsidRPr="00D824AD">
              <w:rPr>
                <w:rFonts w:ascii="Garamond" w:hAnsi="Garamond"/>
              </w:rPr>
              <w:t xml:space="preserve">3,00,000/-(Rupees </w:t>
            </w:r>
          </w:p>
          <w:p w14:paraId="682F86B9" w14:textId="77777777" w:rsidR="009C313D" w:rsidRPr="00D824AD" w:rsidRDefault="009C313D" w:rsidP="00560A50">
            <w:pPr>
              <w:spacing w:line="276" w:lineRule="auto"/>
              <w:rPr>
                <w:rFonts w:ascii="Garamond" w:hAnsi="Garamond"/>
              </w:rPr>
            </w:pPr>
            <w:r w:rsidRPr="00D824AD">
              <w:rPr>
                <w:rFonts w:ascii="Garamond" w:hAnsi="Garamond"/>
              </w:rPr>
              <w:t>Three Lakh only)</w:t>
            </w:r>
            <w:r w:rsidRPr="00D824AD">
              <w:rPr>
                <w:rFonts w:ascii="Garamond" w:eastAsia="Arial" w:hAnsi="Garamond" w:cs="Arial"/>
                <w:b/>
              </w:rPr>
              <w:t xml:space="preserve"> </w:t>
            </w:r>
          </w:p>
        </w:tc>
      </w:tr>
    </w:tbl>
    <w:p w14:paraId="5D5A89D4" w14:textId="77777777" w:rsidR="009C313D" w:rsidRPr="00D824AD" w:rsidRDefault="009C313D" w:rsidP="009C313D">
      <w:pPr>
        <w:pStyle w:val="Default"/>
        <w:ind w:left="720"/>
        <w:jc w:val="both"/>
        <w:rPr>
          <w:rFonts w:ascii="Garamond" w:hAnsi="Garamond"/>
          <w:bCs/>
        </w:rPr>
      </w:pPr>
    </w:p>
    <w:p w14:paraId="75667EC1"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M/s Sky Industries Ltd. imposing a penalty of </w:t>
      </w:r>
      <w:r>
        <w:rPr>
          <w:rFonts w:ascii="Cambria Math" w:hAnsi="Cambria Math" w:cs="Cambria Math"/>
          <w:bCs/>
        </w:rPr>
        <w:t>₹</w:t>
      </w:r>
      <w:r w:rsidRPr="00D824AD">
        <w:rPr>
          <w:rFonts w:ascii="Garamond" w:hAnsi="Garamond"/>
          <w:bCs/>
        </w:rPr>
        <w:t xml:space="preserve"> 3,00,000 (Rupees Three Lakh Only) on M/s Skay Finvest Pvt Ltd and a penalty of </w:t>
      </w:r>
      <w:r>
        <w:rPr>
          <w:rFonts w:ascii="Cambria Math" w:hAnsi="Cambria Math" w:cs="Cambria Math"/>
          <w:bCs/>
        </w:rPr>
        <w:t>₹</w:t>
      </w:r>
      <w:r w:rsidRPr="00D824AD">
        <w:rPr>
          <w:rFonts w:ascii="Garamond" w:hAnsi="Garamond"/>
          <w:bCs/>
        </w:rPr>
        <w:t xml:space="preserve"> 2,00,000 (Rupees Two Lakh Only) on Gauri Anand Merchant for the violation of regulation 31(1), 31(2) and 31(3) of SAST Regulations.</w:t>
      </w:r>
    </w:p>
    <w:p w14:paraId="7819A2CD" w14:textId="77777777" w:rsidR="009C313D" w:rsidRPr="00D824AD" w:rsidRDefault="009C313D" w:rsidP="009C313D">
      <w:pPr>
        <w:pStyle w:val="Default"/>
        <w:ind w:left="720"/>
        <w:jc w:val="both"/>
        <w:rPr>
          <w:rFonts w:ascii="Garamond" w:hAnsi="Garamond"/>
          <w:bCs/>
        </w:rPr>
      </w:pPr>
    </w:p>
    <w:p w14:paraId="0A8799DF"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Sharepro Services (I) Private Limited imposing a total penalty of </w:t>
      </w:r>
      <w:r>
        <w:rPr>
          <w:rFonts w:ascii="Cambria Math" w:hAnsi="Cambria Math" w:cs="Cambria Math"/>
          <w:bCs/>
        </w:rPr>
        <w:t>₹</w:t>
      </w:r>
      <w:r w:rsidRPr="00D824AD">
        <w:rPr>
          <w:rFonts w:ascii="Garamond" w:hAnsi="Garamond"/>
          <w:bCs/>
        </w:rPr>
        <w:t xml:space="preserve"> 1,00,000 (Rupees One Lakh Only) on Aditya Forge Limited for non-compliance with SEBI order dated 22 March, 2016.</w:t>
      </w:r>
    </w:p>
    <w:p w14:paraId="0F26BC2F" w14:textId="77777777" w:rsidR="009C313D" w:rsidRPr="00D824AD" w:rsidRDefault="009C313D" w:rsidP="009C313D">
      <w:pPr>
        <w:pStyle w:val="ListParagraph"/>
        <w:rPr>
          <w:rFonts w:ascii="Garamond" w:hAnsi="Garamond"/>
          <w:bCs/>
        </w:rPr>
      </w:pPr>
    </w:p>
    <w:p w14:paraId="5C0E0514"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Unregistered Investment Advisory Services imposing a total penalty of </w:t>
      </w:r>
      <w:r>
        <w:rPr>
          <w:rFonts w:ascii="Cambria Math" w:hAnsi="Cambria Math" w:cs="Cambria Math"/>
          <w:bCs/>
        </w:rPr>
        <w:t>₹</w:t>
      </w:r>
      <w:r w:rsidRPr="00D824AD">
        <w:rPr>
          <w:rFonts w:ascii="Garamond" w:hAnsi="Garamond"/>
          <w:bCs/>
        </w:rPr>
        <w:t xml:space="preserve"> 2,00,000 (Rupees Two Lakh Only) on Aditya Forge Limited for the violation of Regulation 3(1) of IA Regulations.</w:t>
      </w:r>
    </w:p>
    <w:p w14:paraId="20E5BE56" w14:textId="77777777" w:rsidR="009C313D" w:rsidRPr="00D824AD" w:rsidRDefault="009C313D" w:rsidP="009C313D">
      <w:pPr>
        <w:pStyle w:val="ListParagraph"/>
        <w:rPr>
          <w:rFonts w:ascii="Garamond" w:hAnsi="Garamond"/>
          <w:bCs/>
          <w:strike/>
        </w:rPr>
      </w:pPr>
    </w:p>
    <w:p w14:paraId="28C3BC90"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Ravi Kumar Distilleries Limited imposing a total penalty of </w:t>
      </w:r>
      <w:r>
        <w:rPr>
          <w:rFonts w:ascii="Cambria Math" w:hAnsi="Cambria Math" w:cs="Cambria Math"/>
          <w:bCs/>
        </w:rPr>
        <w:t>₹</w:t>
      </w:r>
      <w:r w:rsidRPr="00D824AD">
        <w:rPr>
          <w:rFonts w:ascii="Garamond" w:hAnsi="Garamond"/>
          <w:bCs/>
        </w:rPr>
        <w:t xml:space="preserve"> 5,00,000 (Rupees Five Lakh Only) on Albright Electricals Private Limited for the violation of sections 11C(2) and 11C(3) of SEBI Act.</w:t>
      </w:r>
    </w:p>
    <w:p w14:paraId="7825B98D" w14:textId="77777777" w:rsidR="009C313D" w:rsidRPr="00D824AD" w:rsidRDefault="009C313D" w:rsidP="009C313D">
      <w:pPr>
        <w:pStyle w:val="ListParagraph"/>
        <w:rPr>
          <w:rFonts w:ascii="Garamond" w:hAnsi="Garamond"/>
          <w:bCs/>
        </w:rPr>
      </w:pPr>
    </w:p>
    <w:p w14:paraId="5A4C3CE0"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27 September 2018, in the matter of Ravi Kumar Distilleries Limited imposing a total penalty of </w:t>
      </w:r>
      <w:r>
        <w:rPr>
          <w:rFonts w:ascii="Cambria Math" w:hAnsi="Cambria Math" w:cs="Cambria Math"/>
          <w:bCs/>
        </w:rPr>
        <w:t>₹</w:t>
      </w:r>
      <w:r w:rsidRPr="00D824AD">
        <w:rPr>
          <w:rFonts w:ascii="Garamond" w:hAnsi="Garamond"/>
          <w:bCs/>
        </w:rPr>
        <w:t xml:space="preserve"> 5,00,000 (Rupees Five Lakh Only) on Heranba Finvest Services Private Limited for the violation of sections 11C(2) and 11C(3) of SEBI Act.</w:t>
      </w:r>
    </w:p>
    <w:p w14:paraId="39C83185" w14:textId="77777777" w:rsidR="009C313D" w:rsidRPr="00D824AD" w:rsidRDefault="009C313D" w:rsidP="009C313D">
      <w:pPr>
        <w:pStyle w:val="ListParagraph"/>
        <w:rPr>
          <w:rFonts w:ascii="Garamond" w:hAnsi="Garamond"/>
          <w:bCs/>
        </w:rPr>
      </w:pPr>
    </w:p>
    <w:p w14:paraId="5020947B" w14:textId="77777777" w:rsidR="009C313D" w:rsidRPr="00D824AD" w:rsidRDefault="009C313D" w:rsidP="008C5EBB">
      <w:pPr>
        <w:pStyle w:val="Default"/>
        <w:numPr>
          <w:ilvl w:val="0"/>
          <w:numId w:val="23"/>
        </w:numPr>
        <w:ind w:left="426" w:hanging="426"/>
        <w:jc w:val="both"/>
        <w:rPr>
          <w:rFonts w:ascii="Garamond" w:hAnsi="Garamond"/>
          <w:i/>
          <w:iCs/>
        </w:rPr>
      </w:pPr>
      <w:r w:rsidRPr="00D824AD">
        <w:rPr>
          <w:rFonts w:ascii="Garamond" w:hAnsi="Garamond"/>
        </w:rPr>
        <w:t xml:space="preserve">SEBI passed an order, dated 28 September 2018, in the matter of Shekhawati Poly-Yarn Limited </w:t>
      </w:r>
      <w:r w:rsidRPr="00D824AD">
        <w:rPr>
          <w:rFonts w:ascii="Garamond" w:hAnsi="Garamond"/>
          <w:bCs/>
        </w:rPr>
        <w:t>imposing</w:t>
      </w:r>
      <w:r w:rsidRPr="00D824AD">
        <w:rPr>
          <w:rFonts w:ascii="Garamond" w:hAnsi="Garamond"/>
        </w:rPr>
        <w:t xml:space="preserve"> a penalty of </w:t>
      </w:r>
      <w:r>
        <w:rPr>
          <w:rFonts w:ascii="Cambria Math" w:hAnsi="Cambria Math" w:cs="Cambria Math"/>
        </w:rPr>
        <w:t>₹</w:t>
      </w:r>
      <w:r w:rsidRPr="00D824AD">
        <w:rPr>
          <w:rFonts w:ascii="Garamond" w:hAnsi="Garamond"/>
        </w:rPr>
        <w:t xml:space="preserve"> 2,00,000 (Rupees Two Lakh Only) on Amax Network Private Limited under section 15A(b) of SEBI Act, 1992 for violation of the provisions of Regulation  13  (1)  of  SEBI  (PIT)  Regulations,  1992  and Regulation 29(1)  read  with Regulation 29(3) of SEBI (SAST) Regulations, 2011.</w:t>
      </w:r>
    </w:p>
    <w:p w14:paraId="0CED125F" w14:textId="77777777" w:rsidR="009C313D" w:rsidRPr="00D824AD" w:rsidRDefault="009C313D" w:rsidP="009C313D">
      <w:pPr>
        <w:pStyle w:val="ListParagraph"/>
        <w:rPr>
          <w:rFonts w:ascii="Garamond" w:hAnsi="Garamond"/>
          <w:i/>
          <w:iCs/>
          <w:strike/>
        </w:rPr>
      </w:pPr>
    </w:p>
    <w:p w14:paraId="7DE67843" w14:textId="77777777" w:rsidR="009C313D" w:rsidRPr="00D824AD" w:rsidRDefault="009C313D" w:rsidP="008C5EBB">
      <w:pPr>
        <w:pStyle w:val="Default"/>
        <w:numPr>
          <w:ilvl w:val="0"/>
          <w:numId w:val="23"/>
        </w:numPr>
        <w:ind w:left="426" w:hanging="426"/>
        <w:jc w:val="both"/>
        <w:rPr>
          <w:rFonts w:ascii="Garamond" w:hAnsi="Garamond"/>
          <w:i/>
          <w:iCs/>
        </w:rPr>
      </w:pPr>
      <w:r w:rsidRPr="00D824AD">
        <w:rPr>
          <w:rFonts w:ascii="Garamond" w:hAnsi="Garamond"/>
        </w:rPr>
        <w:t xml:space="preserve">SEBI passed an order, dated 28 September 2018, in the matter of Astec Life Sciences Limited imposing a penalty of </w:t>
      </w:r>
      <w:r>
        <w:rPr>
          <w:rFonts w:ascii="Cambria Math" w:hAnsi="Cambria Math" w:cs="Cambria Math"/>
        </w:rPr>
        <w:t>₹</w:t>
      </w:r>
      <w:r w:rsidRPr="00D824AD">
        <w:rPr>
          <w:rFonts w:ascii="Garamond" w:hAnsi="Garamond"/>
        </w:rPr>
        <w:t xml:space="preserve"> 2,00,000 (Rupees Two Lakh Only) on Hridaynath Consultancy Private Limited under section 15A(b) of SEBI Act, 1992 for violation of Regulations 29 (1) and 29 (2) read with 29 (3)of SEBI (SAST) Regulations, 2011.</w:t>
      </w:r>
    </w:p>
    <w:p w14:paraId="0DA0938F" w14:textId="77777777" w:rsidR="009C313D" w:rsidRPr="00D824AD" w:rsidRDefault="009C313D" w:rsidP="009C313D">
      <w:pPr>
        <w:pStyle w:val="ListParagraph"/>
        <w:rPr>
          <w:rFonts w:ascii="Garamond" w:hAnsi="Garamond"/>
          <w:i/>
          <w:iCs/>
        </w:rPr>
      </w:pPr>
    </w:p>
    <w:p w14:paraId="64499A1B"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SMS Techsoft (I) Ltd. imposing a </w:t>
      </w:r>
      <w:r w:rsidRPr="00D824AD">
        <w:rPr>
          <w:rFonts w:ascii="Garamond" w:hAnsi="Garamond"/>
          <w:bCs/>
        </w:rPr>
        <w:t>penalty</w:t>
      </w:r>
      <w:r w:rsidRPr="00D824AD">
        <w:rPr>
          <w:rFonts w:ascii="Garamond" w:hAnsi="Garamond"/>
        </w:rPr>
        <w:t xml:space="preserve"> of </w:t>
      </w:r>
      <w:r>
        <w:rPr>
          <w:rFonts w:ascii="Cambria Math" w:hAnsi="Cambria Math" w:cs="Cambria Math"/>
        </w:rPr>
        <w:t>₹</w:t>
      </w:r>
      <w:r>
        <w:rPr>
          <w:rFonts w:ascii="Garamond" w:hAnsi="Garamond"/>
        </w:rPr>
        <w:t xml:space="preserve"> </w:t>
      </w:r>
      <w:r w:rsidRPr="00D824AD">
        <w:rPr>
          <w:rFonts w:ascii="Garamond" w:hAnsi="Garamond"/>
        </w:rPr>
        <w:t>2,00,000/- (Rupees Two Lakh only) on Aashish Developer for violation of Regulations29(1) r/w 29(2)of SAST Regulations, 2011 and Regulation 13(1) of PIT Regulation 1992 r/w  Regulation  12  of  SEBI  ( Prohibition   of   Insider   Trading) Regulations, 2015.</w:t>
      </w:r>
    </w:p>
    <w:p w14:paraId="76A9F0BF" w14:textId="77777777" w:rsidR="009C313D" w:rsidRPr="00D824AD" w:rsidRDefault="009C313D" w:rsidP="009C313D">
      <w:pPr>
        <w:pStyle w:val="ListParagraph"/>
        <w:rPr>
          <w:rFonts w:ascii="Garamond" w:hAnsi="Garamond"/>
        </w:rPr>
      </w:pPr>
    </w:p>
    <w:p w14:paraId="7085C1A6"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M/s. Parichay Investments Ltd. imposing a penalty of </w:t>
      </w:r>
      <w:r>
        <w:rPr>
          <w:rFonts w:ascii="Cambria Math" w:hAnsi="Cambria Math" w:cs="Cambria Math"/>
        </w:rPr>
        <w:t>₹</w:t>
      </w:r>
      <w:r w:rsidRPr="00D824AD">
        <w:rPr>
          <w:rFonts w:ascii="Garamond" w:hAnsi="Garamond"/>
        </w:rPr>
        <w:t>18,00,000/- (Rupees Eighteen Lakh only) on Mr. Krunal Gopaldas Rana for violation under</w:t>
      </w:r>
      <w:r>
        <w:rPr>
          <w:rFonts w:ascii="Garamond" w:hAnsi="Garamond"/>
        </w:rPr>
        <w:t xml:space="preserve"> </w:t>
      </w:r>
      <w:r w:rsidRPr="00D824AD">
        <w:rPr>
          <w:rFonts w:ascii="Garamond" w:hAnsi="Garamond"/>
        </w:rPr>
        <w:t>7(1) of SAST Regulations and 13(1) PIT Regulations as a single violation.</w:t>
      </w:r>
    </w:p>
    <w:p w14:paraId="5662FDA8" w14:textId="77777777" w:rsidR="009C313D" w:rsidRPr="00D824AD" w:rsidRDefault="009C313D" w:rsidP="009C313D">
      <w:pPr>
        <w:pStyle w:val="ListParagraph"/>
        <w:rPr>
          <w:rFonts w:ascii="Garamond" w:hAnsi="Garamond"/>
        </w:rPr>
      </w:pPr>
    </w:p>
    <w:p w14:paraId="2EA9F5B7"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M/s. Parichay Investments Ltd. imposing a penalty of </w:t>
      </w:r>
      <w:r>
        <w:rPr>
          <w:rFonts w:ascii="Cambria Math" w:hAnsi="Cambria Math" w:cs="Cambria Math"/>
        </w:rPr>
        <w:t>₹</w:t>
      </w:r>
      <w:r w:rsidRPr="00D824AD">
        <w:rPr>
          <w:rFonts w:ascii="Garamond" w:hAnsi="Garamond"/>
        </w:rPr>
        <w:t xml:space="preserve">6,00,000/- (Rupees Six Lakh only) on Mr. Sanjay </w:t>
      </w:r>
      <w:r w:rsidRPr="00D824AD">
        <w:rPr>
          <w:rFonts w:ascii="Garamond" w:hAnsi="Garamond"/>
          <w:bCs/>
        </w:rPr>
        <w:t>Jethalal</w:t>
      </w:r>
      <w:r w:rsidRPr="00D824AD">
        <w:rPr>
          <w:rFonts w:ascii="Garamond" w:hAnsi="Garamond"/>
        </w:rPr>
        <w:t xml:space="preserve"> for violation under</w:t>
      </w:r>
      <w:r>
        <w:rPr>
          <w:rFonts w:ascii="Garamond" w:hAnsi="Garamond"/>
        </w:rPr>
        <w:t xml:space="preserve"> </w:t>
      </w:r>
      <w:r w:rsidRPr="00D824AD">
        <w:rPr>
          <w:rFonts w:ascii="Garamond" w:hAnsi="Garamond"/>
        </w:rPr>
        <w:t>7(1) of SAST Regulations and 13(1) PIT Regulations as a single violation.</w:t>
      </w:r>
    </w:p>
    <w:p w14:paraId="49444599" w14:textId="77777777" w:rsidR="009C313D" w:rsidRPr="00D824AD" w:rsidRDefault="009C313D" w:rsidP="009C313D">
      <w:pPr>
        <w:pStyle w:val="Default"/>
        <w:jc w:val="both"/>
        <w:rPr>
          <w:rFonts w:ascii="Garamond" w:hAnsi="Garamond"/>
        </w:rPr>
      </w:pPr>
    </w:p>
    <w:p w14:paraId="5B2EC96F"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M/s. Parab Infra Ltd. imposing a penalty of </w:t>
      </w:r>
      <w:r>
        <w:rPr>
          <w:rFonts w:ascii="Cambria Math" w:hAnsi="Cambria Math" w:cs="Cambria Math"/>
        </w:rPr>
        <w:t>₹</w:t>
      </w:r>
      <w:r w:rsidRPr="00D824AD">
        <w:rPr>
          <w:rFonts w:ascii="Garamond" w:hAnsi="Garamond"/>
        </w:rPr>
        <w:t xml:space="preserve">2,00,000/- (Rupees Two Lakh only) on the Noticees Acelight Hospitality </w:t>
      </w:r>
      <w:r w:rsidRPr="00D824AD">
        <w:rPr>
          <w:rFonts w:ascii="Garamond" w:hAnsi="Garamond"/>
          <w:bCs/>
        </w:rPr>
        <w:t>Ventures</w:t>
      </w:r>
      <w:r w:rsidRPr="00D824AD">
        <w:rPr>
          <w:rFonts w:ascii="Garamond" w:hAnsi="Garamond"/>
        </w:rPr>
        <w:t xml:space="preserve"> Private Ltd.</w:t>
      </w:r>
      <w:r>
        <w:rPr>
          <w:rFonts w:ascii="Garamond" w:hAnsi="Garamond"/>
        </w:rPr>
        <w:t xml:space="preserve"> (Noticee 1)</w:t>
      </w:r>
      <w:r w:rsidRPr="00D824AD">
        <w:rPr>
          <w:rFonts w:ascii="Garamond" w:hAnsi="Garamond"/>
        </w:rPr>
        <w:t xml:space="preserve">, Parab Financial Consultations Private Ltd. </w:t>
      </w:r>
      <w:r>
        <w:rPr>
          <w:rFonts w:ascii="Garamond" w:hAnsi="Garamond"/>
        </w:rPr>
        <w:t xml:space="preserve">(Noticee 2) </w:t>
      </w:r>
      <w:r w:rsidRPr="00D824AD">
        <w:rPr>
          <w:rFonts w:ascii="Garamond" w:hAnsi="Garamond"/>
        </w:rPr>
        <w:t xml:space="preserve">and Parab Infra Ltd. </w:t>
      </w:r>
      <w:r>
        <w:rPr>
          <w:rFonts w:ascii="Garamond" w:hAnsi="Garamond"/>
        </w:rPr>
        <w:t xml:space="preserve">(Noticee 3) </w:t>
      </w:r>
      <w:r w:rsidRPr="00D824AD">
        <w:rPr>
          <w:rFonts w:ascii="Garamond" w:hAnsi="Garamond"/>
        </w:rPr>
        <w:t xml:space="preserve">under section 15A (b) of the SEBI Act, 1992 jointly and severally for the violations of provisions of regulation 29(1) r/w 29(3) of SAST Regulations, 2011 by Noticee 1 and Noticee 2 and regulation 13(6) of PIT Regulations, 1992 by Noticee 3. </w:t>
      </w:r>
    </w:p>
    <w:p w14:paraId="2CF292C6" w14:textId="77777777" w:rsidR="009C313D" w:rsidRPr="00D824AD" w:rsidRDefault="009C313D" w:rsidP="009C313D">
      <w:pPr>
        <w:pStyle w:val="Default"/>
        <w:jc w:val="both"/>
        <w:rPr>
          <w:rFonts w:ascii="Garamond" w:hAnsi="Garamond"/>
        </w:rPr>
      </w:pPr>
    </w:p>
    <w:p w14:paraId="70F57B89"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M/s. Parichay Investments Ltd. </w:t>
      </w:r>
      <w:r w:rsidRPr="00D824AD">
        <w:rPr>
          <w:rFonts w:ascii="Garamond" w:hAnsi="Garamond"/>
          <w:bCs/>
        </w:rPr>
        <w:t>imposing</w:t>
      </w:r>
      <w:r w:rsidRPr="00D824AD">
        <w:rPr>
          <w:rFonts w:ascii="Garamond" w:hAnsi="Garamond"/>
        </w:rPr>
        <w:t xml:space="preserve"> a penalty of </w:t>
      </w:r>
      <w:r>
        <w:rPr>
          <w:rFonts w:ascii="Cambria Math" w:hAnsi="Cambria Math" w:cs="Cambria Math"/>
        </w:rPr>
        <w:t>₹</w:t>
      </w:r>
      <w:r w:rsidRPr="00D824AD">
        <w:rPr>
          <w:rFonts w:ascii="Garamond" w:hAnsi="Garamond"/>
        </w:rPr>
        <w:t>6,00,000/- (Rupees Six Lakh only) on Ms. Kripa Sanjay Soni for violation under</w:t>
      </w:r>
      <w:r>
        <w:rPr>
          <w:rFonts w:ascii="Garamond" w:hAnsi="Garamond"/>
        </w:rPr>
        <w:t xml:space="preserve"> </w:t>
      </w:r>
      <w:r w:rsidRPr="00D824AD">
        <w:rPr>
          <w:rFonts w:ascii="Garamond" w:hAnsi="Garamond"/>
        </w:rPr>
        <w:t>7(1) of SAST Regulations and 13(1) PIT Regulations as a single violation.</w:t>
      </w:r>
    </w:p>
    <w:p w14:paraId="14912D29" w14:textId="77777777" w:rsidR="009C313D" w:rsidRPr="00D824AD" w:rsidRDefault="009C313D" w:rsidP="009C313D">
      <w:pPr>
        <w:pStyle w:val="Default"/>
        <w:jc w:val="both"/>
        <w:rPr>
          <w:rFonts w:ascii="Garamond" w:hAnsi="Garamond"/>
        </w:rPr>
      </w:pPr>
    </w:p>
    <w:p w14:paraId="207E3113"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M/s. Parichay Investments Ltd. imposing a penalty of </w:t>
      </w:r>
      <w:r>
        <w:rPr>
          <w:rFonts w:ascii="Cambria Math" w:hAnsi="Cambria Math" w:cs="Cambria Math"/>
        </w:rPr>
        <w:t>₹</w:t>
      </w:r>
      <w:r w:rsidRPr="00D824AD">
        <w:rPr>
          <w:rFonts w:ascii="Garamond" w:hAnsi="Garamond"/>
        </w:rPr>
        <w:t>3,00,000/- (Rupees Three Lakh only) on Ms. Shweta Dhiren Agarwal for violation under</w:t>
      </w:r>
      <w:r>
        <w:rPr>
          <w:rFonts w:ascii="Garamond" w:hAnsi="Garamond"/>
        </w:rPr>
        <w:t xml:space="preserve"> </w:t>
      </w:r>
      <w:r w:rsidRPr="00D824AD">
        <w:rPr>
          <w:rFonts w:ascii="Garamond" w:hAnsi="Garamond"/>
        </w:rPr>
        <w:t>7(1) of SAST Regulations and 13(1) PIT Regulations as a single violation.</w:t>
      </w:r>
    </w:p>
    <w:p w14:paraId="242D5BB4" w14:textId="77777777" w:rsidR="009C313D" w:rsidRPr="00D824AD" w:rsidRDefault="009C313D" w:rsidP="009C313D">
      <w:pPr>
        <w:pStyle w:val="Default"/>
        <w:jc w:val="both"/>
        <w:rPr>
          <w:rFonts w:ascii="Garamond" w:hAnsi="Garamond"/>
        </w:rPr>
      </w:pPr>
    </w:p>
    <w:p w14:paraId="7B23CBE6"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M/s. Parichay </w:t>
      </w:r>
      <w:r w:rsidRPr="00D824AD">
        <w:rPr>
          <w:rFonts w:ascii="Garamond" w:hAnsi="Garamond"/>
          <w:bCs/>
        </w:rPr>
        <w:t>Investments</w:t>
      </w:r>
      <w:r w:rsidRPr="00D824AD">
        <w:rPr>
          <w:rFonts w:ascii="Garamond" w:hAnsi="Garamond"/>
        </w:rPr>
        <w:t xml:space="preserve"> Ltd. imposing a penalty of </w:t>
      </w:r>
      <w:r>
        <w:rPr>
          <w:rFonts w:ascii="Cambria Math" w:hAnsi="Cambria Math" w:cs="Cambria Math"/>
        </w:rPr>
        <w:t>₹</w:t>
      </w:r>
      <w:r w:rsidRPr="00D824AD">
        <w:rPr>
          <w:rFonts w:ascii="Garamond" w:hAnsi="Garamond"/>
        </w:rPr>
        <w:t>1,00,000/- (Rupees One Lakh only) on Shri Mahesh Somabhai Desai for violation under</w:t>
      </w:r>
      <w:r>
        <w:rPr>
          <w:rFonts w:ascii="Garamond" w:hAnsi="Garamond"/>
        </w:rPr>
        <w:t xml:space="preserve"> </w:t>
      </w:r>
      <w:r w:rsidRPr="00D824AD">
        <w:rPr>
          <w:rFonts w:ascii="Garamond" w:hAnsi="Garamond"/>
        </w:rPr>
        <w:t>7(1) of SAST Regulations and 13(1) PIT Regulations as a single violation.</w:t>
      </w:r>
    </w:p>
    <w:p w14:paraId="275229A5" w14:textId="77777777" w:rsidR="009C313D" w:rsidRPr="00D824AD" w:rsidRDefault="009C313D" w:rsidP="009C313D">
      <w:pPr>
        <w:pStyle w:val="Default"/>
        <w:jc w:val="both"/>
        <w:rPr>
          <w:rFonts w:ascii="Garamond" w:hAnsi="Garamond"/>
        </w:rPr>
      </w:pPr>
    </w:p>
    <w:p w14:paraId="161478C9"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M/s. BGIL Films and Technologies Limited imposing a penalty of </w:t>
      </w:r>
      <w:r>
        <w:rPr>
          <w:rFonts w:ascii="Cambria Math" w:hAnsi="Cambria Math" w:cs="Cambria Math"/>
        </w:rPr>
        <w:t>₹</w:t>
      </w:r>
      <w:r w:rsidRPr="00D824AD">
        <w:rPr>
          <w:rFonts w:ascii="Garamond" w:hAnsi="Garamond"/>
        </w:rPr>
        <w:t xml:space="preserve">3,00,000/- (Rupees Three Lakh only) on Mr. Rakesh Bhatia  under section 15A(b) of the SEBI Act, 1992 for the violation of the provision of Regulation 12(2) of SEBI PIT Regulations, 1992 read with Clause 2.1 and Clause 7(ii) of Schedule II of the code of Corporate Disclosure Practices for Prevention of </w:t>
      </w:r>
      <w:r w:rsidRPr="00D824AD">
        <w:rPr>
          <w:rFonts w:ascii="Garamond" w:hAnsi="Garamond"/>
          <w:bCs/>
        </w:rPr>
        <w:t>Insider</w:t>
      </w:r>
      <w:r w:rsidRPr="00D824AD">
        <w:rPr>
          <w:rFonts w:ascii="Garamond" w:hAnsi="Garamond"/>
        </w:rPr>
        <w:t xml:space="preserve"> Trading.</w:t>
      </w:r>
    </w:p>
    <w:p w14:paraId="2A6A6254" w14:textId="77777777" w:rsidR="009C313D" w:rsidRPr="00D824AD" w:rsidRDefault="009C313D" w:rsidP="009C313D">
      <w:pPr>
        <w:pStyle w:val="ListParagraph"/>
        <w:rPr>
          <w:rFonts w:ascii="Garamond" w:hAnsi="Garamond"/>
        </w:rPr>
      </w:pPr>
    </w:p>
    <w:p w14:paraId="4E4B09E8"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M/s. BGIL Films and Technologies Limited imposing a penalty of </w:t>
      </w:r>
      <w:r>
        <w:rPr>
          <w:rFonts w:ascii="Cambria Math" w:hAnsi="Cambria Math" w:cs="Cambria Math"/>
        </w:rPr>
        <w:t>₹</w:t>
      </w:r>
      <w:r w:rsidRPr="00D824AD">
        <w:rPr>
          <w:rFonts w:ascii="Garamond" w:hAnsi="Garamond"/>
        </w:rPr>
        <w:t>3,00,000/- (Rupees Three Lakh only) on Mr. Rakesh Bhatia  under section 15A(b) of the SEBI Act, 1992 for the violation of the provision of Regulation 12(2) of SEBI PIT Regulations, 1992 read with Clause 2.1 and Clause 7(ii) of Schedule II of the code of Corporate Disclosure Practices for Prevention of Insider Trading.</w:t>
      </w:r>
    </w:p>
    <w:p w14:paraId="2FC7D782" w14:textId="77777777" w:rsidR="009C313D" w:rsidRPr="00D824AD" w:rsidRDefault="009C313D" w:rsidP="009C313D">
      <w:pPr>
        <w:rPr>
          <w:rFonts w:ascii="Garamond" w:hAnsi="Garamond"/>
        </w:rPr>
      </w:pPr>
    </w:p>
    <w:p w14:paraId="20A361FB"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SMS Techsoft (India) Limited imposing a penalty of </w:t>
      </w:r>
      <w:r>
        <w:rPr>
          <w:rFonts w:ascii="Cambria Math" w:hAnsi="Cambria Math" w:cs="Cambria Math"/>
        </w:rPr>
        <w:t>₹</w:t>
      </w:r>
      <w:r w:rsidRPr="00D824AD">
        <w:rPr>
          <w:rFonts w:ascii="Garamond" w:hAnsi="Garamond"/>
        </w:rPr>
        <w:t xml:space="preserve">2,00,000/- (Rupees Two Lakh only) on Mr. Sunil Dadha </w:t>
      </w:r>
      <w:r w:rsidRPr="00D824AD">
        <w:rPr>
          <w:rFonts w:ascii="Garamond" w:hAnsi="Garamond"/>
          <w:bCs/>
        </w:rPr>
        <w:t>under</w:t>
      </w:r>
      <w:r w:rsidRPr="00D824AD">
        <w:rPr>
          <w:rFonts w:ascii="Garamond" w:hAnsi="Garamond"/>
        </w:rPr>
        <w:t xml:space="preserve"> Section 15A(b) of the SEBI Act for violation of Regulation 13(1) of the PIT Regulations and Regulation 29(1) read with 29(3) of the SAST Regulations.</w:t>
      </w:r>
    </w:p>
    <w:p w14:paraId="36F2A629" w14:textId="77777777" w:rsidR="009C313D" w:rsidRPr="00D824AD" w:rsidRDefault="009C313D" w:rsidP="009C313D">
      <w:pPr>
        <w:pStyle w:val="Default"/>
        <w:ind w:left="720"/>
        <w:jc w:val="both"/>
        <w:rPr>
          <w:rFonts w:ascii="Garamond" w:hAnsi="Garamond"/>
        </w:rPr>
      </w:pPr>
    </w:p>
    <w:p w14:paraId="15DD53C8"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Ladderup Finance </w:t>
      </w:r>
      <w:r w:rsidRPr="00D824AD">
        <w:rPr>
          <w:rFonts w:ascii="Garamond" w:hAnsi="Garamond"/>
          <w:bCs/>
        </w:rPr>
        <w:t>Limited</w:t>
      </w:r>
      <w:r w:rsidRPr="00D824AD">
        <w:rPr>
          <w:rFonts w:ascii="Garamond" w:hAnsi="Garamond"/>
        </w:rPr>
        <w:t xml:space="preserve"> imposing a total penalty of </w:t>
      </w:r>
      <w:r>
        <w:rPr>
          <w:rFonts w:ascii="Cambria Math" w:hAnsi="Cambria Math" w:cs="Cambria Math"/>
        </w:rPr>
        <w:t>₹</w:t>
      </w:r>
      <w:r w:rsidRPr="00D824AD">
        <w:rPr>
          <w:rFonts w:ascii="Garamond" w:hAnsi="Garamond"/>
        </w:rPr>
        <w:t>2,00,000/- (Rupees Two Lakh only) on Indianivesh Capitals Limited and Indianivesh Financial Advisors Ltd. under Section 15A(b) of the SEBI Act for violation of Regulation 29(1) read with 29(3) and Regulation 29(2) read with 29(3) of the SAST Regulations respectively.</w:t>
      </w:r>
    </w:p>
    <w:p w14:paraId="66E3CDCF" w14:textId="77777777" w:rsidR="009C313D" w:rsidRPr="00D824AD" w:rsidRDefault="009C313D" w:rsidP="009C313D">
      <w:pPr>
        <w:pStyle w:val="ListParagraph"/>
        <w:rPr>
          <w:rFonts w:ascii="Garamond" w:hAnsi="Garamond"/>
        </w:rPr>
      </w:pPr>
    </w:p>
    <w:p w14:paraId="4C5B7A35"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M/s. Somani Cement Company Limited imposing a penalty of </w:t>
      </w:r>
      <w:r>
        <w:rPr>
          <w:rFonts w:ascii="Cambria Math" w:hAnsi="Cambria Math" w:cs="Cambria Math"/>
        </w:rPr>
        <w:t>₹</w:t>
      </w:r>
      <w:r w:rsidRPr="00D824AD">
        <w:rPr>
          <w:rFonts w:ascii="Garamond" w:hAnsi="Garamond"/>
        </w:rPr>
        <w:t xml:space="preserve">2,00,000/- (Rupees Two Lakh only) on Shri </w:t>
      </w:r>
      <w:r w:rsidRPr="00D824AD">
        <w:rPr>
          <w:rFonts w:ascii="Garamond" w:hAnsi="Garamond"/>
          <w:bCs/>
        </w:rPr>
        <w:t>Umashankar</w:t>
      </w:r>
      <w:r w:rsidRPr="00D824AD">
        <w:rPr>
          <w:rFonts w:ascii="Garamond" w:hAnsi="Garamond"/>
        </w:rPr>
        <w:t xml:space="preserve"> Agarwal in terms of the provisions of Section 15A(b) of the SEBI Act for violation of  regulations  4(1)  and  4(2)  (a)  of  the  PFUTP  Regulations.</w:t>
      </w:r>
    </w:p>
    <w:p w14:paraId="6C6C0E54" w14:textId="77777777" w:rsidR="009C313D" w:rsidRPr="00D824AD" w:rsidRDefault="009C313D" w:rsidP="009C313D">
      <w:pPr>
        <w:pStyle w:val="ListParagraph"/>
        <w:rPr>
          <w:rFonts w:ascii="Garamond" w:hAnsi="Garamond"/>
          <w:color w:val="000000"/>
          <w:sz w:val="24"/>
          <w:szCs w:val="24"/>
        </w:rPr>
      </w:pPr>
    </w:p>
    <w:p w14:paraId="086EACDF" w14:textId="77777777" w:rsidR="009C313D" w:rsidRPr="00065A3A" w:rsidRDefault="009C313D" w:rsidP="008C5EBB">
      <w:pPr>
        <w:pStyle w:val="Default"/>
        <w:numPr>
          <w:ilvl w:val="0"/>
          <w:numId w:val="23"/>
        </w:numPr>
        <w:ind w:left="426" w:hanging="426"/>
        <w:jc w:val="both"/>
        <w:rPr>
          <w:rFonts w:ascii="Garamond" w:hAnsi="Garamond"/>
        </w:rPr>
      </w:pPr>
      <w:r w:rsidRPr="00065A3A">
        <w:rPr>
          <w:rFonts w:ascii="Garamond" w:hAnsi="Garamond"/>
        </w:rPr>
        <w:t xml:space="preserve">SEBI passed an order, dated 28 September 2018, in the matter of M/s. Ravi Kumar </w:t>
      </w:r>
      <w:r w:rsidRPr="00065A3A">
        <w:rPr>
          <w:rFonts w:ascii="Garamond" w:hAnsi="Garamond"/>
          <w:bCs/>
        </w:rPr>
        <w:t>Distilleries</w:t>
      </w:r>
      <w:r w:rsidRPr="00065A3A">
        <w:rPr>
          <w:rFonts w:ascii="Garamond" w:hAnsi="Garamond"/>
        </w:rPr>
        <w:t xml:space="preserve"> Ltd. imposing a penalty of </w:t>
      </w:r>
      <w:r w:rsidRPr="00065A3A">
        <w:rPr>
          <w:rFonts w:ascii="Cambria Math" w:hAnsi="Cambria Math" w:cs="Cambria Math"/>
        </w:rPr>
        <w:t>₹</w:t>
      </w:r>
      <w:r w:rsidRPr="00065A3A">
        <w:rPr>
          <w:rFonts w:ascii="Garamond" w:hAnsi="Garamond"/>
        </w:rPr>
        <w:t>5,00,000/- (Rupees Two Lakh only) on Gaungour Suppliers Private Limited under  the  provisions  of  Section  15A(a)  of  the SEBI   Act for its failure   to   submit the desired   details/information/ records/documents sought by  the  IA vide  summons dated  January  29, 2014  and  June  03,  2014,  which  resulted  in  violation of  the  provisions  of sections 11C(2) and11C(3) of the SEBI Act.</w:t>
      </w:r>
    </w:p>
    <w:p w14:paraId="18EAA056" w14:textId="77777777" w:rsidR="009C313D" w:rsidRPr="00D824AD" w:rsidRDefault="009C313D" w:rsidP="009C313D">
      <w:pPr>
        <w:pStyle w:val="ListParagraph"/>
        <w:rPr>
          <w:rFonts w:ascii="Garamond" w:hAnsi="Garamond"/>
          <w:color w:val="000000"/>
          <w:sz w:val="24"/>
          <w:szCs w:val="24"/>
        </w:rPr>
      </w:pPr>
    </w:p>
    <w:p w14:paraId="7C15B4FE"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Regency Hospital Limited, imposing a penalty of </w:t>
      </w:r>
      <w:r>
        <w:rPr>
          <w:rFonts w:ascii="Cambria Math" w:hAnsi="Cambria Math" w:cs="Cambria Math"/>
        </w:rPr>
        <w:t>₹</w:t>
      </w:r>
      <w:r w:rsidRPr="00D824AD">
        <w:rPr>
          <w:rFonts w:ascii="Garamond" w:hAnsi="Garamond"/>
        </w:rPr>
        <w:t xml:space="preserve">15,00,000/- (Rupees Fifteen Lakh only) on M/s. Regency </w:t>
      </w:r>
      <w:r w:rsidRPr="00D824AD">
        <w:rPr>
          <w:rFonts w:ascii="Garamond" w:hAnsi="Garamond"/>
          <w:bCs/>
        </w:rPr>
        <w:t>Hospital</w:t>
      </w:r>
      <w:r w:rsidRPr="00D824AD">
        <w:rPr>
          <w:rFonts w:ascii="Garamond" w:hAnsi="Garamond"/>
        </w:rPr>
        <w:t xml:space="preserve"> Limited, </w:t>
      </w:r>
      <w:r>
        <w:rPr>
          <w:rFonts w:ascii="Cambria Math" w:hAnsi="Cambria Math" w:cs="Cambria Math"/>
        </w:rPr>
        <w:t>₹</w:t>
      </w:r>
      <w:r w:rsidRPr="00D824AD">
        <w:rPr>
          <w:rFonts w:ascii="Garamond" w:hAnsi="Garamond"/>
        </w:rPr>
        <w:t xml:space="preserve"> 25,00,000/-(Rupees Twenty Five Lakh only) on Dr. Atul Kapoor and </w:t>
      </w:r>
      <w:r>
        <w:rPr>
          <w:rFonts w:ascii="Cambria Math" w:hAnsi="Cambria Math" w:cs="Cambria Math"/>
        </w:rPr>
        <w:t>₹</w:t>
      </w:r>
      <w:r w:rsidRPr="00D824AD">
        <w:rPr>
          <w:rFonts w:ascii="Garamond" w:hAnsi="Garamond"/>
        </w:rPr>
        <w:t xml:space="preserve"> 25,00,000 (Rupees Twenty Five Lakh only) on Dr. Rashmi Kapoor under the provisions of Section 15 HA of the SEBI Act.</w:t>
      </w:r>
    </w:p>
    <w:p w14:paraId="67CD657D" w14:textId="77777777" w:rsidR="009C313D" w:rsidRPr="00D824AD" w:rsidRDefault="009C313D" w:rsidP="009C313D">
      <w:pPr>
        <w:pStyle w:val="ListParagraph"/>
        <w:rPr>
          <w:rFonts w:ascii="Garamond" w:hAnsi="Garamond"/>
        </w:rPr>
      </w:pPr>
    </w:p>
    <w:p w14:paraId="4DBB57EF"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order, dated 28 September 2018, in the matter of Sharepro Services (I) Private Limited, </w:t>
      </w:r>
      <w:r w:rsidRPr="00D824AD">
        <w:rPr>
          <w:rFonts w:ascii="Garamond" w:hAnsi="Garamond"/>
          <w:bCs/>
        </w:rPr>
        <w:t>imposing</w:t>
      </w:r>
      <w:r w:rsidRPr="00D824AD">
        <w:rPr>
          <w:rFonts w:ascii="Garamond" w:hAnsi="Garamond"/>
        </w:rPr>
        <w:t xml:space="preserve"> a penalty of </w:t>
      </w:r>
      <w:r>
        <w:rPr>
          <w:rFonts w:ascii="Cambria Math" w:hAnsi="Cambria Math" w:cs="Cambria Math"/>
        </w:rPr>
        <w:t>₹</w:t>
      </w:r>
      <w:r w:rsidRPr="00D824AD">
        <w:rPr>
          <w:rFonts w:ascii="Garamond" w:hAnsi="Garamond"/>
        </w:rPr>
        <w:t>1,00,000/- (Rupees One Lakh only) on Vivid Global Industries Limited under the provisions of Section 15 HB of the SEBI Act.</w:t>
      </w:r>
    </w:p>
    <w:p w14:paraId="73659351" w14:textId="77777777" w:rsidR="009C313D" w:rsidRPr="00D824AD" w:rsidRDefault="009C313D" w:rsidP="008C5EBB">
      <w:pPr>
        <w:pStyle w:val="Default"/>
        <w:numPr>
          <w:ilvl w:val="0"/>
          <w:numId w:val="23"/>
        </w:numPr>
        <w:ind w:left="426" w:hanging="426"/>
        <w:jc w:val="both"/>
        <w:rPr>
          <w:rFonts w:ascii="Garamond" w:hAnsi="Garamond"/>
        </w:rPr>
      </w:pPr>
      <w:r w:rsidRPr="00D824AD">
        <w:rPr>
          <w:rFonts w:ascii="Garamond" w:hAnsi="Garamond"/>
        </w:rPr>
        <w:t xml:space="preserve">SEBI passed an </w:t>
      </w:r>
      <w:r w:rsidRPr="00D824AD">
        <w:rPr>
          <w:rFonts w:ascii="Garamond" w:hAnsi="Garamond"/>
          <w:bCs/>
        </w:rPr>
        <w:t>order</w:t>
      </w:r>
      <w:r w:rsidRPr="00D824AD">
        <w:rPr>
          <w:rFonts w:ascii="Garamond" w:hAnsi="Garamond"/>
        </w:rPr>
        <w:t xml:space="preserve">, dated 28 September 2018, in the matter of KGN Industries Limited, imposing a penalty of </w:t>
      </w:r>
      <w:r>
        <w:rPr>
          <w:rFonts w:ascii="Cambria Math" w:hAnsi="Cambria Math" w:cs="Cambria Math"/>
        </w:rPr>
        <w:t>₹</w:t>
      </w:r>
      <w:r w:rsidRPr="00D824AD">
        <w:rPr>
          <w:rFonts w:ascii="Garamond" w:hAnsi="Garamond"/>
        </w:rPr>
        <w:t xml:space="preserve">2,00,000/- (Rupees Two Lakh only) on Mr. Arif Memon under section 15A(b) of SEBI Act.  The </w:t>
      </w:r>
      <w:r>
        <w:rPr>
          <w:rFonts w:ascii="Garamond" w:hAnsi="Garamond"/>
        </w:rPr>
        <w:t>entity</w:t>
      </w:r>
      <w:r w:rsidRPr="00D824AD">
        <w:rPr>
          <w:rFonts w:ascii="Garamond" w:hAnsi="Garamond"/>
        </w:rPr>
        <w:t xml:space="preserve"> had made delayed disclosures to the company under regulation 13(4) and 13(4A) of PIT Regulations in respect of </w:t>
      </w:r>
      <w:r>
        <w:rPr>
          <w:rFonts w:ascii="Garamond" w:hAnsi="Garamond"/>
        </w:rPr>
        <w:t>nine</w:t>
      </w:r>
      <w:r w:rsidRPr="00D824AD">
        <w:rPr>
          <w:rFonts w:ascii="Garamond" w:hAnsi="Garamond"/>
        </w:rPr>
        <w:t xml:space="preserve"> acquisitions and the delay was in the range of 3 to 24 days. Further, the </w:t>
      </w:r>
      <w:r>
        <w:rPr>
          <w:rFonts w:ascii="Garamond" w:hAnsi="Garamond"/>
        </w:rPr>
        <w:t>entity</w:t>
      </w:r>
      <w:r w:rsidRPr="00D824AD">
        <w:rPr>
          <w:rFonts w:ascii="Garamond" w:hAnsi="Garamond"/>
        </w:rPr>
        <w:t xml:space="preserve"> had failed to make complete disclosures required under 13 (4) and 13 (4A) to BSE and the disclosures made by him were delayed by 02 to 25 days in respect of 11 acquisitions.</w:t>
      </w:r>
    </w:p>
    <w:p w14:paraId="73C2F407" w14:textId="77777777" w:rsidR="009C313D" w:rsidRPr="00B6439B" w:rsidRDefault="009C313D" w:rsidP="008C5EBB">
      <w:pPr>
        <w:pStyle w:val="Default"/>
        <w:numPr>
          <w:ilvl w:val="0"/>
          <w:numId w:val="23"/>
        </w:numPr>
        <w:ind w:left="426" w:hanging="426"/>
        <w:jc w:val="both"/>
        <w:rPr>
          <w:rFonts w:ascii="Garamond" w:hAnsi="Garamond"/>
          <w:bCs/>
        </w:rPr>
      </w:pPr>
      <w:r w:rsidRPr="00D824AD">
        <w:rPr>
          <w:rFonts w:ascii="Garamond" w:hAnsi="Garamond"/>
        </w:rPr>
        <w:t xml:space="preserve">SEBI passed an order, dated 28 September 2018, in the matter of M/s. Mangalam Drugs &amp; Organics Limited imposing a penalty of </w:t>
      </w:r>
      <w:r>
        <w:rPr>
          <w:rFonts w:ascii="Cambria Math" w:hAnsi="Cambria Math" w:cs="Cambria Math"/>
        </w:rPr>
        <w:t>₹</w:t>
      </w:r>
      <w:r w:rsidRPr="00D824AD">
        <w:rPr>
          <w:rFonts w:ascii="Garamond" w:hAnsi="Garamond"/>
        </w:rPr>
        <w:t xml:space="preserve">50,000/- (Rupees Fifty Thousand only) under Section 15A(b) of SEBI Act, 1992 and </w:t>
      </w:r>
      <w:r>
        <w:rPr>
          <w:rFonts w:ascii="Cambria Math" w:hAnsi="Cambria Math" w:cs="Cambria Math"/>
        </w:rPr>
        <w:t>₹</w:t>
      </w:r>
      <w:r w:rsidRPr="00D824AD">
        <w:rPr>
          <w:rFonts w:ascii="Garamond" w:hAnsi="Garamond"/>
        </w:rPr>
        <w:t>1,00,000/- (Rupees One Lakh Only) under section 23H of SCRA on Mangalam Drugs &amp; Organics Limited.</w:t>
      </w:r>
    </w:p>
    <w:p w14:paraId="1918AC2D" w14:textId="77777777" w:rsidR="009C313D" w:rsidRPr="00D824AD" w:rsidRDefault="009C313D" w:rsidP="009C313D">
      <w:pPr>
        <w:spacing w:after="160" w:line="259" w:lineRule="auto"/>
        <w:rPr>
          <w:rFonts w:ascii="Garamond" w:hAnsi="Garamond" w:cs="Arial"/>
          <w:bCs/>
          <w:color w:val="000000"/>
        </w:rPr>
      </w:pPr>
      <w:r w:rsidRPr="00D824AD">
        <w:rPr>
          <w:rFonts w:ascii="Garamond" w:hAnsi="Garamond"/>
          <w:bCs/>
        </w:rPr>
        <w:br w:type="page"/>
      </w:r>
    </w:p>
    <w:p w14:paraId="62920918" w14:textId="77777777" w:rsidR="009C313D" w:rsidRDefault="009C313D" w:rsidP="009C313D">
      <w:pPr>
        <w:rPr>
          <w:rFonts w:ascii="Garamond" w:hAnsi="Garamond"/>
          <w:b/>
        </w:rPr>
      </w:pPr>
      <w:r w:rsidRPr="00065A3A">
        <w:rPr>
          <w:rFonts w:ascii="Garamond" w:hAnsi="Garamond"/>
          <w:b/>
        </w:rPr>
        <w:t xml:space="preserve">Orders of Chairman / </w:t>
      </w:r>
      <w:r>
        <w:rPr>
          <w:rFonts w:ascii="Garamond" w:hAnsi="Garamond"/>
          <w:b/>
        </w:rPr>
        <w:t xml:space="preserve">Whole Time </w:t>
      </w:r>
      <w:r w:rsidRPr="00065A3A">
        <w:rPr>
          <w:rFonts w:ascii="Garamond" w:hAnsi="Garamond"/>
          <w:b/>
        </w:rPr>
        <w:t>Member</w:t>
      </w:r>
      <w:r>
        <w:rPr>
          <w:rFonts w:ascii="Garamond" w:hAnsi="Garamond"/>
          <w:b/>
        </w:rPr>
        <w:t>s</w:t>
      </w:r>
      <w:r w:rsidRPr="00065A3A">
        <w:rPr>
          <w:rFonts w:ascii="Garamond" w:hAnsi="Garamond"/>
          <w:b/>
        </w:rPr>
        <w:t>:</w:t>
      </w:r>
    </w:p>
    <w:p w14:paraId="1773DA41" w14:textId="77777777" w:rsidR="009C313D" w:rsidRPr="00065A3A" w:rsidRDefault="009C313D" w:rsidP="009C313D">
      <w:pPr>
        <w:rPr>
          <w:rFonts w:ascii="Garamond" w:hAnsi="Garamond"/>
          <w:b/>
        </w:rPr>
      </w:pPr>
    </w:p>
    <w:p w14:paraId="52889EBE" w14:textId="77777777" w:rsidR="009C313D" w:rsidRDefault="009C313D" w:rsidP="008C5EBB">
      <w:pPr>
        <w:pStyle w:val="Default"/>
        <w:numPr>
          <w:ilvl w:val="0"/>
          <w:numId w:val="23"/>
        </w:numPr>
        <w:ind w:left="426" w:hanging="426"/>
        <w:jc w:val="both"/>
        <w:rPr>
          <w:rFonts w:ascii="Garamond" w:hAnsi="Garamond"/>
          <w:bCs/>
        </w:rPr>
      </w:pPr>
      <w:r w:rsidRPr="00D824AD">
        <w:rPr>
          <w:rFonts w:ascii="Garamond" w:hAnsi="Garamond"/>
          <w:bCs/>
        </w:rPr>
        <w:t>SEBI passed an order, dated 05 September 2018, in the matter of Cell Industries Limited (CIL) directing that Recovery proceedings be immediately initiated against CIL and its directors for their failure or delay in compliance with Final Order dated May 12, 2016. Additionally, SEBI may initiate any other proceedings as mentioned in para 33(g) of the final order dated May 12, 2016, as deemed fit in the facts and circumstances of the case.</w:t>
      </w:r>
    </w:p>
    <w:p w14:paraId="5E3EC287" w14:textId="77777777" w:rsidR="009C313D" w:rsidRDefault="009C313D" w:rsidP="009C313D">
      <w:pPr>
        <w:pStyle w:val="Default"/>
        <w:jc w:val="both"/>
        <w:rPr>
          <w:rFonts w:ascii="Garamond" w:hAnsi="Garamond"/>
          <w:bCs/>
        </w:rPr>
      </w:pPr>
    </w:p>
    <w:p w14:paraId="28B99747"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 xml:space="preserve">SEBI passed an order, dated 07 September 2018, in the matter of Surana Corporation Limited directing Mr. K.E. Devarajan to ensure that internal records of the Surana Corporation Limited reflect the correct data in respect of the transactions covered in this order and any consequential changes thereof and publish the forthcoming quarterly filings before the stock exchanges reflecting the changes. Mr. Vijayraj Surana, Mr. K.E. Devarajan and Mr. S. Guruswamy were directed not to, directly or indirectly, access the securities market, by issuing prospectus, offer document or advertisement soliciting money from the public and are further restrained and prohibited from buying, selling or otherwise dealing in or associating with the securities market, directly or indirectly in whatsoever manner, starting from the date of this order till the expiry of 5 (five) years from the date of compliance of directions. They were further restrained from associating themselves or holding any position with any listed public company and/or any public company which intends to raise money from the public, either directly or indirectly, or with any intermediary registered with SEBI, starting from the date of this order till the expiry of 5 (five) years from the date of compliance with the directions </w:t>
      </w:r>
    </w:p>
    <w:p w14:paraId="72ED3749" w14:textId="77777777" w:rsidR="009C313D" w:rsidRPr="00D824AD" w:rsidRDefault="009C313D" w:rsidP="009C313D">
      <w:pPr>
        <w:ind w:left="360"/>
        <w:rPr>
          <w:rFonts w:ascii="Garamond" w:hAnsi="Garamond"/>
          <w:bCs/>
        </w:rPr>
      </w:pPr>
    </w:p>
    <w:p w14:paraId="116EEA14"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SEBI passed an order, dated 10 September 2018, in the matter of Vinati Organics Limited exempting the proposed Acquirers, viz. Vinod Saraf Family Trust and Kavita Vinod Saraf Family Trust, from complying with the requirements of Regulation 3(2) and Regulation 5 of the Takeover Regulations with respect to the proposed acquisition/exercise of voting rights in respect of the Target Company, viz. Vinati Organics Limited, by way of proposed transactions as mentioned in the Application.</w:t>
      </w:r>
    </w:p>
    <w:p w14:paraId="6716ACCC" w14:textId="77777777" w:rsidR="009C313D" w:rsidRPr="00D824AD" w:rsidRDefault="009C313D" w:rsidP="009C313D">
      <w:pPr>
        <w:ind w:left="360"/>
        <w:rPr>
          <w:rFonts w:ascii="Garamond" w:hAnsi="Garamond"/>
          <w:bCs/>
        </w:rPr>
      </w:pPr>
    </w:p>
    <w:p w14:paraId="6BEFFC67"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SEBI passed an order, dated 12 September 2018, in the matter of BSP Infrastructure &amp; Construction Limited (BICL) directing BICL and its directors to refund the money collected with an interest of 15 percent per annum. They were further restrained / prohibited from accessing the securities market and buying, selling or otherwise dealing in securities in any manner whatsoever, directly or indirectly, for a period of four years from the date of effecting the refund.</w:t>
      </w:r>
    </w:p>
    <w:p w14:paraId="70B2E3A4" w14:textId="77777777" w:rsidR="009C313D" w:rsidRPr="00D824AD" w:rsidRDefault="009C313D" w:rsidP="009C313D">
      <w:pPr>
        <w:ind w:left="360"/>
        <w:rPr>
          <w:rFonts w:ascii="Garamond" w:hAnsi="Garamond"/>
          <w:bCs/>
        </w:rPr>
      </w:pPr>
    </w:p>
    <w:p w14:paraId="19D3FDE5" w14:textId="77777777" w:rsidR="009C313D" w:rsidRPr="00D824AD" w:rsidRDefault="009C313D" w:rsidP="008C5EBB">
      <w:pPr>
        <w:pStyle w:val="Default"/>
        <w:numPr>
          <w:ilvl w:val="0"/>
          <w:numId w:val="23"/>
        </w:numPr>
        <w:ind w:left="426" w:hanging="426"/>
        <w:jc w:val="both"/>
        <w:rPr>
          <w:rFonts w:ascii="Garamond" w:hAnsi="Garamond"/>
          <w:bCs/>
        </w:rPr>
      </w:pPr>
      <w:r w:rsidRPr="00D824AD">
        <w:rPr>
          <w:rFonts w:ascii="Garamond" w:hAnsi="Garamond"/>
          <w:bCs/>
        </w:rPr>
        <w:t>SEBI passed an order, dated 12 September 2018, in the matter Vaastav ALR International Limited (VAIL) directing VAIL, Shri Bappaditya Mukherjee, Shri Atish Samanta Ray, Shri Netai Pramanik, Shri Anup Kumar Maiti, Shri Dibyendu Sekhar Maity, Shri Shilajit Ghosh and Shri Dilip Jana to refund the money collected with an interest of 15 percent per annum. They were further directed not to, directly or indirectly, access the securities market, by issuing prospectus, offer document or advertisement soliciting money from the public and were further restrained and prohibited from buying, selling or otherwise dealing in the securities market, directly or indirectly in whatsoever manner, from the date of the order, till the expiry of four years from the date of completion of refunds to investors. They were also restrained from associating themselves with any listed public company and any public company which intends to raise money from the public, or any intermediary registered with SEBI from the date of the Order till the expiry of four years from the date of completion of refunds to investors.</w:t>
      </w:r>
    </w:p>
    <w:p w14:paraId="74C002A5" w14:textId="77777777" w:rsidR="009C313D" w:rsidRPr="0087411A" w:rsidRDefault="009C313D" w:rsidP="008C5EBB">
      <w:pPr>
        <w:pStyle w:val="Default"/>
        <w:numPr>
          <w:ilvl w:val="0"/>
          <w:numId w:val="23"/>
        </w:numPr>
        <w:ind w:left="426" w:hanging="426"/>
        <w:jc w:val="both"/>
        <w:rPr>
          <w:rFonts w:ascii="Garamond" w:hAnsi="Garamond"/>
          <w:bCs/>
        </w:rPr>
      </w:pPr>
      <w:r w:rsidRPr="0087411A">
        <w:rPr>
          <w:rFonts w:ascii="Garamond" w:hAnsi="Garamond"/>
          <w:bCs/>
        </w:rPr>
        <w:t>SEBI passed an order, dated 17 September 2018, in the matter of SBEC Sugar Limited directing Umesh Kumar Modi, Kumkum Modi, Jayesh Modi, Longwell Investments Pvt. Ltd., A to Z Holding Pvt. Ltd., Moderate Leasing &amp; Capital Services Ltd. and SBEC Systems (India) Ltd to jointly and severally make public announcement to acquire the share of the target company in accordance with the provisions of Takeover Regulations. They were also directed to pay interest at the rate of 10% per annum along with the offer price, from the date when they incurred the liability to make the public announcement till the date of payment of consideration, to the shareholders who</w:t>
      </w:r>
      <w:r>
        <w:rPr>
          <w:rFonts w:ascii="Garamond" w:hAnsi="Garamond"/>
          <w:bCs/>
        </w:rPr>
        <w:t xml:space="preserve"> </w:t>
      </w:r>
      <w:r w:rsidRPr="0087411A">
        <w:rPr>
          <w:rFonts w:ascii="Garamond" w:hAnsi="Garamond"/>
          <w:bCs/>
        </w:rPr>
        <w:t>were holding shares in the target company on the date of violation and whose shares are accepted in the open offer, after adjustment of dividend paid, if any</w:t>
      </w:r>
    </w:p>
    <w:p w14:paraId="05326696" w14:textId="77777777" w:rsidR="009C313D" w:rsidRPr="00065A3A" w:rsidRDefault="009C313D" w:rsidP="009C313D">
      <w:pPr>
        <w:rPr>
          <w:rFonts w:ascii="Garamond" w:hAnsi="Garamond"/>
          <w:bCs/>
        </w:rPr>
      </w:pPr>
    </w:p>
    <w:p w14:paraId="799638AB" w14:textId="77777777" w:rsidR="009C313D" w:rsidRDefault="009C313D" w:rsidP="008C5EBB">
      <w:pPr>
        <w:pStyle w:val="Default"/>
        <w:numPr>
          <w:ilvl w:val="0"/>
          <w:numId w:val="23"/>
        </w:numPr>
        <w:ind w:left="426" w:hanging="426"/>
        <w:jc w:val="both"/>
        <w:rPr>
          <w:rFonts w:ascii="Garamond" w:hAnsi="Garamond"/>
          <w:bCs/>
        </w:rPr>
      </w:pPr>
      <w:r w:rsidRPr="007B21D3">
        <w:rPr>
          <w:rFonts w:ascii="Garamond" w:hAnsi="Garamond"/>
          <w:bCs/>
        </w:rPr>
        <w:t>SEBI passed an order, dated 24 September 2018, in the matter of Seashore Securities Ltd. (SSL) directing SSL, Mr. Pravat Kumar Dash, Ms. Jyotirani Sarangi, Mr. Sudhanshu Shekhar Pati, Mr. Prashanta Kumar Dash, Ms. Sapna Jenab and Mr. Gopal Chandra Sahu to refund the money collected. They were further prohibited from accessing the securities market for four years. They were also directed not to associate themselves from any listed public company and</w:t>
      </w:r>
      <w:r>
        <w:rPr>
          <w:rFonts w:ascii="Garamond" w:hAnsi="Garamond"/>
          <w:bCs/>
        </w:rPr>
        <w:t xml:space="preserve"> </w:t>
      </w:r>
      <w:r w:rsidRPr="007B21D3">
        <w:rPr>
          <w:rFonts w:ascii="Garamond" w:hAnsi="Garamond"/>
          <w:bCs/>
        </w:rPr>
        <w:t>any public company which intends to raise money from the public</w:t>
      </w:r>
      <w:r>
        <w:rPr>
          <w:rFonts w:ascii="Garamond" w:hAnsi="Garamond"/>
          <w:bCs/>
        </w:rPr>
        <w:t>.</w:t>
      </w:r>
    </w:p>
    <w:p w14:paraId="1308F076" w14:textId="77777777" w:rsidR="009C313D" w:rsidRDefault="009C313D" w:rsidP="009C313D">
      <w:pPr>
        <w:pStyle w:val="ListParagraph"/>
        <w:rPr>
          <w:rFonts w:ascii="Garamond" w:hAnsi="Garamond"/>
          <w:bCs/>
        </w:rPr>
      </w:pPr>
    </w:p>
    <w:p w14:paraId="58FD878D" w14:textId="77777777" w:rsidR="009C313D" w:rsidRDefault="009C313D" w:rsidP="008C5EBB">
      <w:pPr>
        <w:pStyle w:val="Default"/>
        <w:numPr>
          <w:ilvl w:val="0"/>
          <w:numId w:val="23"/>
        </w:numPr>
        <w:ind w:left="426" w:hanging="426"/>
        <w:jc w:val="both"/>
        <w:rPr>
          <w:rFonts w:ascii="Garamond" w:hAnsi="Garamond"/>
          <w:bCs/>
        </w:rPr>
      </w:pPr>
      <w:r w:rsidRPr="00217B13">
        <w:rPr>
          <w:rFonts w:ascii="Garamond" w:hAnsi="Garamond"/>
          <w:bCs/>
        </w:rPr>
        <w:t>SEBI passed an order, dated 25 September 2018, in respect of CPR Capital Services Ltd. and others restraining CPR Capital Services Ltd., Mr. Pawan Kumar Garg, Mr. Anuj Garg, Mr. Dinesh Kumar, CPR Commodities Services Pvt. Ltd., Ms. Shashi Garg, Mr. Vijay Pal Singh and Ms. Anita Mann from accessing the securities market and are further prohibited from buying, selling or otherwise dealing in securities, either directly or indirectly, or being associated with the securities market in any</w:t>
      </w:r>
      <w:r>
        <w:rPr>
          <w:rFonts w:ascii="Garamond" w:hAnsi="Garamond"/>
          <w:bCs/>
        </w:rPr>
        <w:t xml:space="preserve"> </w:t>
      </w:r>
      <w:r w:rsidRPr="00217B13">
        <w:rPr>
          <w:rFonts w:ascii="Garamond" w:hAnsi="Garamond"/>
          <w:bCs/>
        </w:rPr>
        <w:t>manner whatsoever, till further directions</w:t>
      </w:r>
      <w:r>
        <w:rPr>
          <w:rFonts w:ascii="Garamond" w:hAnsi="Garamond"/>
          <w:bCs/>
        </w:rPr>
        <w:t>.</w:t>
      </w:r>
    </w:p>
    <w:p w14:paraId="11461E44" w14:textId="77777777" w:rsidR="009C313D" w:rsidRDefault="009C313D" w:rsidP="009C313D">
      <w:pPr>
        <w:pStyle w:val="ListParagraph"/>
        <w:rPr>
          <w:rFonts w:ascii="Garamond" w:hAnsi="Garamond"/>
          <w:bCs/>
        </w:rPr>
      </w:pPr>
    </w:p>
    <w:p w14:paraId="4A03DBB6" w14:textId="77777777" w:rsidR="009C313D" w:rsidRDefault="009C313D" w:rsidP="008C5EBB">
      <w:pPr>
        <w:pStyle w:val="Default"/>
        <w:numPr>
          <w:ilvl w:val="0"/>
          <w:numId w:val="23"/>
        </w:numPr>
        <w:ind w:left="426" w:hanging="426"/>
        <w:jc w:val="both"/>
        <w:rPr>
          <w:rFonts w:ascii="Garamond" w:hAnsi="Garamond"/>
          <w:bCs/>
        </w:rPr>
      </w:pPr>
      <w:r w:rsidRPr="00BF6815">
        <w:rPr>
          <w:rFonts w:ascii="Garamond" w:hAnsi="Garamond"/>
          <w:bCs/>
        </w:rPr>
        <w:t xml:space="preserve">SEBI passed an order, dated 27 September 2018, in respect of Rich Infra Developers India Limited </w:t>
      </w:r>
      <w:r>
        <w:rPr>
          <w:rFonts w:ascii="Garamond" w:hAnsi="Garamond"/>
          <w:bCs/>
        </w:rPr>
        <w:t xml:space="preserve">(RIDIL) </w:t>
      </w:r>
      <w:r w:rsidRPr="00BF6815">
        <w:rPr>
          <w:rFonts w:ascii="Garamond" w:hAnsi="Garamond"/>
          <w:bCs/>
        </w:rPr>
        <w:t>directing RIDIL, Harvinder Pal Singh, Gurpreet Singh Sidhu, Parampreet Singh Sidhu and Baljinder Preet Singh to refund the money collected.  They were further restrained from accessing securities market for four years. They were also restrained from holding position as directors or key managerial personnel of any listed company for a</w:t>
      </w:r>
      <w:r>
        <w:rPr>
          <w:rFonts w:ascii="Garamond" w:hAnsi="Garamond"/>
          <w:bCs/>
        </w:rPr>
        <w:t xml:space="preserve"> </w:t>
      </w:r>
      <w:r w:rsidRPr="00BF6815">
        <w:rPr>
          <w:rFonts w:ascii="Garamond" w:hAnsi="Garamond"/>
          <w:bCs/>
        </w:rPr>
        <w:t xml:space="preserve">period of </w:t>
      </w:r>
      <w:r>
        <w:rPr>
          <w:rFonts w:ascii="Garamond" w:hAnsi="Garamond"/>
          <w:bCs/>
        </w:rPr>
        <w:t>four</w:t>
      </w:r>
      <w:r w:rsidRPr="00BF6815">
        <w:rPr>
          <w:rFonts w:ascii="Garamond" w:hAnsi="Garamond"/>
          <w:bCs/>
        </w:rPr>
        <w:t xml:space="preserve"> years.</w:t>
      </w:r>
    </w:p>
    <w:p w14:paraId="49C10B68" w14:textId="77777777" w:rsidR="009C313D" w:rsidRDefault="009C313D" w:rsidP="008C5EBB">
      <w:pPr>
        <w:pStyle w:val="Default"/>
        <w:numPr>
          <w:ilvl w:val="0"/>
          <w:numId w:val="23"/>
        </w:numPr>
        <w:ind w:left="426" w:hanging="426"/>
        <w:jc w:val="both"/>
        <w:rPr>
          <w:rFonts w:ascii="Garamond" w:hAnsi="Garamond"/>
          <w:bCs/>
        </w:rPr>
      </w:pPr>
      <w:r w:rsidRPr="00AC0B3A">
        <w:rPr>
          <w:rFonts w:ascii="Garamond" w:hAnsi="Garamond"/>
          <w:bCs/>
        </w:rPr>
        <w:t xml:space="preserve">SEBI passed interim order, dated 28 September 2018, </w:t>
      </w:r>
      <w:r w:rsidRPr="00B20284">
        <w:rPr>
          <w:rFonts w:ascii="Garamond" w:hAnsi="Garamond"/>
          <w:bCs/>
        </w:rPr>
        <w:t>in the matter of J Kumar Infraprojects Limited</w:t>
      </w:r>
      <w:r>
        <w:rPr>
          <w:rFonts w:ascii="Garamond" w:hAnsi="Garamond"/>
          <w:bCs/>
        </w:rPr>
        <w:t xml:space="preserve"> (JKIL)</w:t>
      </w:r>
      <w:r w:rsidRPr="00B20284">
        <w:rPr>
          <w:rFonts w:ascii="Garamond" w:hAnsi="Garamond"/>
          <w:bCs/>
        </w:rPr>
        <w:t xml:space="preserve"> </w:t>
      </w:r>
      <w:r w:rsidRPr="00AC0B3A">
        <w:rPr>
          <w:rFonts w:ascii="Garamond" w:hAnsi="Garamond"/>
          <w:bCs/>
        </w:rPr>
        <w:t>directing exchange to appoint an independent forensic auditor</w:t>
      </w:r>
      <w:r>
        <w:rPr>
          <w:rFonts w:ascii="Garamond" w:hAnsi="Garamond"/>
          <w:bCs/>
        </w:rPr>
        <w:t>,</w:t>
      </w:r>
      <w:r w:rsidRPr="00AC0B3A">
        <w:rPr>
          <w:rFonts w:ascii="Garamond" w:hAnsi="Garamond"/>
          <w:bCs/>
        </w:rPr>
        <w:t xml:space="preserve"> inter</w:t>
      </w:r>
      <w:r>
        <w:rPr>
          <w:rFonts w:ascii="Garamond" w:hAnsi="Garamond"/>
          <w:bCs/>
        </w:rPr>
        <w:t xml:space="preserve"> </w:t>
      </w:r>
      <w:r w:rsidRPr="00AC0B3A">
        <w:rPr>
          <w:rFonts w:ascii="Garamond" w:hAnsi="Garamond"/>
          <w:bCs/>
        </w:rPr>
        <w:t>alia</w:t>
      </w:r>
      <w:r>
        <w:rPr>
          <w:rFonts w:ascii="Garamond" w:hAnsi="Garamond"/>
          <w:bCs/>
        </w:rPr>
        <w:t>,</w:t>
      </w:r>
      <w:r w:rsidRPr="00AC0B3A">
        <w:rPr>
          <w:rFonts w:ascii="Garamond" w:hAnsi="Garamond"/>
          <w:bCs/>
        </w:rPr>
        <w:t xml:space="preserve"> to further verify </w:t>
      </w:r>
      <w:r>
        <w:rPr>
          <w:rFonts w:ascii="Garamond" w:hAnsi="Garamond"/>
          <w:bCs/>
        </w:rPr>
        <w:t>M</w:t>
      </w:r>
      <w:r w:rsidRPr="00AC0B3A">
        <w:rPr>
          <w:rFonts w:ascii="Garamond" w:hAnsi="Garamond"/>
          <w:bCs/>
        </w:rPr>
        <w:t>isrepresentation including of financials and/or business by JKIL, if any</w:t>
      </w:r>
      <w:r>
        <w:rPr>
          <w:rFonts w:ascii="Garamond" w:hAnsi="Garamond"/>
          <w:bCs/>
        </w:rPr>
        <w:t>,</w:t>
      </w:r>
      <w:r w:rsidRPr="00AC0B3A">
        <w:rPr>
          <w:rFonts w:ascii="Garamond" w:hAnsi="Garamond"/>
          <w:bCs/>
        </w:rPr>
        <w:t xml:space="preserve"> </w:t>
      </w:r>
      <w:r>
        <w:rPr>
          <w:rFonts w:ascii="Garamond" w:hAnsi="Garamond"/>
          <w:bCs/>
        </w:rPr>
        <w:t>a</w:t>
      </w:r>
      <w:r w:rsidRPr="00AC0B3A">
        <w:rPr>
          <w:rFonts w:ascii="Garamond" w:hAnsi="Garamond"/>
          <w:bCs/>
        </w:rPr>
        <w:t xml:space="preserve">nd </w:t>
      </w:r>
      <w:r>
        <w:rPr>
          <w:rFonts w:ascii="Garamond" w:hAnsi="Garamond"/>
          <w:bCs/>
        </w:rPr>
        <w:t>m</w:t>
      </w:r>
      <w:r w:rsidRPr="00AC0B3A">
        <w:rPr>
          <w:rFonts w:ascii="Garamond" w:hAnsi="Garamond"/>
          <w:bCs/>
        </w:rPr>
        <w:t>isuse of the books of accounts / funds including facilitation of accommodation</w:t>
      </w:r>
      <w:r>
        <w:rPr>
          <w:rFonts w:ascii="Garamond" w:hAnsi="Garamond"/>
          <w:bCs/>
        </w:rPr>
        <w:t xml:space="preserve"> </w:t>
      </w:r>
      <w:r w:rsidRPr="00AC0B3A">
        <w:rPr>
          <w:rFonts w:ascii="Garamond" w:hAnsi="Garamond"/>
          <w:bCs/>
        </w:rPr>
        <w:t>entries or compromise of minority shareholder interest</w:t>
      </w:r>
      <w:r>
        <w:rPr>
          <w:rFonts w:ascii="Garamond" w:hAnsi="Garamond"/>
          <w:bCs/>
        </w:rPr>
        <w:t xml:space="preserve"> by </w:t>
      </w:r>
      <w:r w:rsidRPr="00AC0B3A">
        <w:rPr>
          <w:rFonts w:ascii="Garamond" w:hAnsi="Garamond"/>
          <w:bCs/>
        </w:rPr>
        <w:t>JKIL</w:t>
      </w:r>
      <w:r>
        <w:rPr>
          <w:rFonts w:ascii="Garamond" w:hAnsi="Garamond"/>
          <w:bCs/>
        </w:rPr>
        <w:t>, if any.</w:t>
      </w:r>
    </w:p>
    <w:p w14:paraId="0DDF6DF3" w14:textId="77777777" w:rsidR="009C313D" w:rsidRDefault="009C313D" w:rsidP="009C313D">
      <w:pPr>
        <w:pStyle w:val="ListParagraph"/>
        <w:rPr>
          <w:rFonts w:ascii="Garamond" w:hAnsi="Garamond"/>
          <w:bCs/>
        </w:rPr>
      </w:pPr>
    </w:p>
    <w:p w14:paraId="4F89BC99" w14:textId="77777777" w:rsidR="009C313D" w:rsidRDefault="009C313D" w:rsidP="008C5EBB">
      <w:pPr>
        <w:pStyle w:val="Default"/>
        <w:numPr>
          <w:ilvl w:val="0"/>
          <w:numId w:val="23"/>
        </w:numPr>
        <w:ind w:left="426" w:hanging="426"/>
        <w:jc w:val="both"/>
        <w:rPr>
          <w:rFonts w:ascii="Garamond" w:hAnsi="Garamond"/>
          <w:bCs/>
        </w:rPr>
      </w:pPr>
      <w:r w:rsidRPr="0091091A">
        <w:rPr>
          <w:rFonts w:ascii="Garamond" w:hAnsi="Garamond"/>
          <w:bCs/>
        </w:rPr>
        <w:t xml:space="preserve">SEBI passed interim order, dated 28 September 2018, in the matter of Vital Communications Limited (VCL) directing VCL, Vijay Jhindal, Shubha Jhindal, MFL, Rajinder Kumar Garg, CBS, Anupama, Brut, CAPL, COPL, Cosmo, Fashion, Flare, Heritage, Perfect, Rajat, TTCPL, TTEXPL, TTELPL, Wisdom, SVS and TTMPL to disgorge the unlawful gain of </w:t>
      </w:r>
      <w:r>
        <w:rPr>
          <w:rFonts w:ascii="Cambria Math" w:hAnsi="Cambria Math" w:cs="Cambria Math"/>
          <w:bCs/>
        </w:rPr>
        <w:t>₹</w:t>
      </w:r>
      <w:r w:rsidRPr="0091091A">
        <w:rPr>
          <w:rFonts w:ascii="Garamond" w:hAnsi="Garamond"/>
          <w:bCs/>
        </w:rPr>
        <w:t>4,55,91,232/- (Rupees Four Crore Fifty</w:t>
      </w:r>
      <w:r>
        <w:rPr>
          <w:rFonts w:ascii="Garamond" w:hAnsi="Garamond"/>
          <w:bCs/>
        </w:rPr>
        <w:t xml:space="preserve"> </w:t>
      </w:r>
      <w:r w:rsidRPr="0091091A">
        <w:rPr>
          <w:rFonts w:ascii="Garamond" w:hAnsi="Garamond"/>
          <w:bCs/>
        </w:rPr>
        <w:t>Five Lakh Ninety</w:t>
      </w:r>
      <w:r>
        <w:rPr>
          <w:rFonts w:ascii="Garamond" w:hAnsi="Garamond"/>
          <w:bCs/>
        </w:rPr>
        <w:t xml:space="preserve"> </w:t>
      </w:r>
      <w:r w:rsidRPr="0091091A">
        <w:rPr>
          <w:rFonts w:ascii="Garamond" w:hAnsi="Garamond"/>
          <w:bCs/>
        </w:rPr>
        <w:t>One</w:t>
      </w:r>
      <w:r>
        <w:rPr>
          <w:rFonts w:ascii="Garamond" w:hAnsi="Garamond"/>
          <w:bCs/>
        </w:rPr>
        <w:t xml:space="preserve"> </w:t>
      </w:r>
      <w:r w:rsidRPr="0091091A">
        <w:rPr>
          <w:rFonts w:ascii="Garamond" w:hAnsi="Garamond"/>
          <w:bCs/>
        </w:rPr>
        <w:t xml:space="preserve">Thousand Two Hundred </w:t>
      </w:r>
      <w:r>
        <w:rPr>
          <w:rFonts w:ascii="Garamond" w:hAnsi="Garamond"/>
          <w:bCs/>
        </w:rPr>
        <w:t xml:space="preserve">and </w:t>
      </w:r>
      <w:r w:rsidRPr="0091091A">
        <w:rPr>
          <w:rFonts w:ascii="Garamond" w:hAnsi="Garamond"/>
          <w:bCs/>
        </w:rPr>
        <w:t>Thirty</w:t>
      </w:r>
      <w:r>
        <w:rPr>
          <w:rFonts w:ascii="Garamond" w:hAnsi="Garamond"/>
          <w:bCs/>
        </w:rPr>
        <w:t xml:space="preserve"> </w:t>
      </w:r>
      <w:r w:rsidRPr="0091091A">
        <w:rPr>
          <w:rFonts w:ascii="Garamond" w:hAnsi="Garamond"/>
          <w:bCs/>
        </w:rPr>
        <w:t>Two Only)</w:t>
      </w:r>
      <w:r>
        <w:rPr>
          <w:rFonts w:ascii="Garamond" w:hAnsi="Garamond"/>
          <w:bCs/>
        </w:rPr>
        <w:t>. There were also directed to pay interest as ascertained by SEBI and were further restrained from accessing securities market for a period of five years.</w:t>
      </w:r>
    </w:p>
    <w:p w14:paraId="721511B2" w14:textId="77777777" w:rsidR="009C313D" w:rsidRDefault="009C313D" w:rsidP="009C313D">
      <w:pPr>
        <w:pStyle w:val="ListParagraph"/>
        <w:rPr>
          <w:rFonts w:ascii="Garamond" w:hAnsi="Garamond"/>
          <w:bCs/>
        </w:rPr>
      </w:pPr>
    </w:p>
    <w:p w14:paraId="2D54CAE2" w14:textId="77777777" w:rsidR="009C313D" w:rsidRPr="00B6439B" w:rsidRDefault="009C313D" w:rsidP="008C5EBB">
      <w:pPr>
        <w:pStyle w:val="Default"/>
        <w:numPr>
          <w:ilvl w:val="0"/>
          <w:numId w:val="23"/>
        </w:numPr>
        <w:ind w:left="426" w:hanging="426"/>
        <w:jc w:val="both"/>
        <w:rPr>
          <w:rFonts w:ascii="Garamond" w:hAnsi="Garamond"/>
          <w:bCs/>
        </w:rPr>
      </w:pPr>
      <w:r w:rsidRPr="00B6439B">
        <w:rPr>
          <w:rFonts w:ascii="Garamond" w:hAnsi="Garamond"/>
          <w:bCs/>
        </w:rPr>
        <w:t>SEBI passed interim order, dated 28 September 2018, in the matter of Kavit Industries Ltd. restraining Kavit Industries, Jayesh Raichand Bhai Thakkar, Amit Tarachand Shah, Jigar Motta, Chirag Thakkar, Bhavesh Desai, Nikhil Bhut, Kalyani Rajeshirke and Kiran Soni from accessing securities marker for three years. They were further prohibited from holding any position as Director or Key Managerial Person of any other listed company for a period of 3 years.</w:t>
      </w:r>
    </w:p>
    <w:p w14:paraId="28F80543" w14:textId="77777777" w:rsidR="009C313D" w:rsidRPr="00D824AD" w:rsidRDefault="009C313D" w:rsidP="009C313D">
      <w:pPr>
        <w:rPr>
          <w:rFonts w:ascii="Garamond" w:hAnsi="Garamond"/>
          <w:b/>
          <w:i/>
        </w:rPr>
      </w:pPr>
    </w:p>
    <w:p w14:paraId="4DEEA7EB" w14:textId="77777777" w:rsidR="009C313D" w:rsidRPr="00D824AD" w:rsidRDefault="009C313D" w:rsidP="009C313D">
      <w:pPr>
        <w:pStyle w:val="Default"/>
        <w:jc w:val="both"/>
        <w:outlineLvl w:val="0"/>
        <w:rPr>
          <w:rFonts w:ascii="Garamond" w:hAnsi="Garamond"/>
          <w:i/>
        </w:rPr>
      </w:pPr>
      <w:r w:rsidRPr="00D824AD">
        <w:rPr>
          <w:rFonts w:ascii="Garamond" w:hAnsi="Garamond"/>
          <w:b/>
          <w:i/>
        </w:rPr>
        <w:t>Note: The information provided above is indicative only. For details, please log on to</w:t>
      </w:r>
    </w:p>
    <w:p w14:paraId="4FCCDBE9" w14:textId="2F110D22" w:rsidR="003F07E9" w:rsidRPr="003F07E9" w:rsidRDefault="009C313D" w:rsidP="00C6763D">
      <w:pPr>
        <w:tabs>
          <w:tab w:val="left" w:pos="-90"/>
        </w:tabs>
        <w:spacing w:line="276" w:lineRule="auto"/>
        <w:ind w:left="-450" w:hanging="180"/>
        <w:jc w:val="both"/>
        <w:rPr>
          <w:rFonts w:ascii="Garamond" w:hAnsi="Garamond"/>
          <w:b/>
          <w:sz w:val="28"/>
        </w:rPr>
      </w:pPr>
      <w:r w:rsidRPr="00D824AD">
        <w:rPr>
          <w:rFonts w:ascii="Garamond" w:hAnsi="Garamond"/>
          <w:i/>
        </w:rPr>
        <w:tab/>
      </w:r>
      <w:r w:rsidRPr="00D824AD">
        <w:rPr>
          <w:rFonts w:ascii="Garamond" w:hAnsi="Garamond"/>
          <w:i/>
        </w:rPr>
        <w:tab/>
      </w:r>
      <w:r w:rsidRPr="00D824AD">
        <w:rPr>
          <w:rFonts w:ascii="Garamond" w:hAnsi="Garamond"/>
          <w:i/>
        </w:rPr>
        <w:tab/>
        <w:t xml:space="preserve">   </w:t>
      </w:r>
      <w:hyperlink r:id="rId59" w:history="1">
        <w:r w:rsidRPr="00D824AD">
          <w:rPr>
            <w:rStyle w:val="Hyperlink"/>
            <w:rFonts w:ascii="Garamond" w:hAnsi="Garamond"/>
          </w:rPr>
          <w:t>http://www.sebi.gov.in/enforcement/orders.html</w:t>
        </w:r>
      </w:hyperlink>
    </w:p>
    <w:sectPr w:rsidR="003F07E9" w:rsidRPr="003F07E9" w:rsidSect="00AA4832">
      <w:footerReference w:type="default" r:id="rId60"/>
      <w:pgSz w:w="11906" w:h="16838"/>
      <w:pgMar w:top="1152" w:right="113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B5448" w14:textId="77777777" w:rsidR="0022215B" w:rsidRDefault="0022215B" w:rsidP="00E07645">
      <w:r>
        <w:separator/>
      </w:r>
    </w:p>
  </w:endnote>
  <w:endnote w:type="continuationSeparator" w:id="0">
    <w:p w14:paraId="4400E79D" w14:textId="77777777" w:rsidR="0022215B" w:rsidRDefault="0022215B" w:rsidP="00E0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1010600010101010101"/>
    <w:charset w:val="00"/>
    <w:family w:val="auto"/>
    <w:pitch w:val="variable"/>
    <w:sig w:usb0="0001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WCDV-Prakash">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auto"/>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Raavi">
    <w:panose1 w:val="020B0802040204020203"/>
    <w:charset w:val="00"/>
    <w:family w:val="auto"/>
    <w:pitch w:val="variable"/>
    <w:sig w:usb0="00020003" w:usb1="00000000" w:usb2="00000000" w:usb3="00000000" w:csb0="00000001" w:csb1="00000000"/>
  </w:font>
  <w:font w:name="Rupe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90410"/>
      <w:docPartObj>
        <w:docPartGallery w:val="Page Numbers (Bottom of Page)"/>
        <w:docPartUnique/>
      </w:docPartObj>
    </w:sdtPr>
    <w:sdtEndPr>
      <w:rPr>
        <w:color w:val="7F7F7F" w:themeColor="background1" w:themeShade="7F"/>
        <w:spacing w:val="60"/>
      </w:rPr>
    </w:sdtEndPr>
    <w:sdtContent>
      <w:p w14:paraId="2D1A6BC5" w14:textId="77777777" w:rsidR="00560A50" w:rsidRDefault="00560A50">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5C3D">
          <w:rPr>
            <w:noProof/>
          </w:rPr>
          <w:t>1</w:t>
        </w:r>
        <w:r>
          <w:rPr>
            <w:noProof/>
          </w:rPr>
          <w:fldChar w:fldCharType="end"/>
        </w:r>
        <w:r>
          <w:t xml:space="preserve"> | </w:t>
        </w:r>
        <w:r>
          <w:rPr>
            <w:color w:val="7F7F7F" w:themeColor="background1" w:themeShade="7F"/>
            <w:spacing w:val="60"/>
          </w:rPr>
          <w:t>Page</w:t>
        </w:r>
      </w:p>
    </w:sdtContent>
  </w:sdt>
  <w:p w14:paraId="69A53AA8" w14:textId="77777777" w:rsidR="00560A50" w:rsidRDefault="00560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964F5" w14:textId="77777777" w:rsidR="0022215B" w:rsidRDefault="0022215B" w:rsidP="00E07645">
      <w:r>
        <w:separator/>
      </w:r>
    </w:p>
  </w:footnote>
  <w:footnote w:type="continuationSeparator" w:id="0">
    <w:p w14:paraId="4461053B" w14:textId="77777777" w:rsidR="0022215B" w:rsidRDefault="0022215B" w:rsidP="00E07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5525"/>
    <w:multiLevelType w:val="hybridMultilevel"/>
    <w:tmpl w:val="E398E444"/>
    <w:lvl w:ilvl="0" w:tplc="9662B1A6">
      <w:start w:val="1"/>
      <w:numFmt w:val="lowerLetter"/>
      <w:lvlText w:val="%1."/>
      <w:lvlJc w:val="left"/>
      <w:pPr>
        <w:ind w:left="720"/>
      </w:pPr>
      <w:rPr>
        <w:rFonts w:ascii="Garamond" w:eastAsia="Arial" w:hAnsi="Garamond" w:cs="Arial" w:hint="default"/>
        <w:b w:val="0"/>
        <w:i w:val="0"/>
        <w:strike w:val="0"/>
        <w:dstrike w:val="0"/>
        <w:color w:val="000000"/>
        <w:sz w:val="24"/>
        <w:szCs w:val="28"/>
        <w:u w:val="none" w:color="000000"/>
        <w:bdr w:val="none" w:sz="0" w:space="0" w:color="auto"/>
        <w:shd w:val="clear" w:color="auto" w:fill="auto"/>
        <w:vertAlign w:val="baseline"/>
      </w:rPr>
    </w:lvl>
    <w:lvl w:ilvl="1" w:tplc="06A407B8">
      <w:start w:val="1"/>
      <w:numFmt w:val="lowerLetter"/>
      <w:lvlText w:val="%2"/>
      <w:lvlJc w:val="left"/>
      <w:pPr>
        <w:ind w:left="10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A08A67B0">
      <w:start w:val="1"/>
      <w:numFmt w:val="lowerRoman"/>
      <w:lvlText w:val="%3"/>
      <w:lvlJc w:val="left"/>
      <w:pPr>
        <w:ind w:left="18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3EF84178">
      <w:start w:val="1"/>
      <w:numFmt w:val="decimal"/>
      <w:lvlText w:val="%4"/>
      <w:lvlJc w:val="left"/>
      <w:pPr>
        <w:ind w:left="252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1916C7E2">
      <w:start w:val="1"/>
      <w:numFmt w:val="lowerLetter"/>
      <w:lvlText w:val="%5"/>
      <w:lvlJc w:val="left"/>
      <w:pPr>
        <w:ind w:left="324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E29AB5D6">
      <w:start w:val="1"/>
      <w:numFmt w:val="lowerRoman"/>
      <w:lvlText w:val="%6"/>
      <w:lvlJc w:val="left"/>
      <w:pPr>
        <w:ind w:left="39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5FBC427E">
      <w:start w:val="1"/>
      <w:numFmt w:val="decimal"/>
      <w:lvlText w:val="%7"/>
      <w:lvlJc w:val="left"/>
      <w:pPr>
        <w:ind w:left="46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3822ECCC">
      <w:start w:val="1"/>
      <w:numFmt w:val="lowerLetter"/>
      <w:lvlText w:val="%8"/>
      <w:lvlJc w:val="left"/>
      <w:pPr>
        <w:ind w:left="54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D728D6A6">
      <w:start w:val="1"/>
      <w:numFmt w:val="lowerRoman"/>
      <w:lvlText w:val="%9"/>
      <w:lvlJc w:val="left"/>
      <w:pPr>
        <w:ind w:left="6120"/>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1">
    <w:nsid w:val="04EF776E"/>
    <w:multiLevelType w:val="hybridMultilevel"/>
    <w:tmpl w:val="3194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6126A"/>
    <w:multiLevelType w:val="hybridMultilevel"/>
    <w:tmpl w:val="03E6123E"/>
    <w:lvl w:ilvl="0" w:tplc="16A0667C">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84692"/>
    <w:multiLevelType w:val="hybridMultilevel"/>
    <w:tmpl w:val="368A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D2F90"/>
    <w:multiLevelType w:val="hybridMultilevel"/>
    <w:tmpl w:val="B1E899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FEB0FF8"/>
    <w:multiLevelType w:val="hybridMultilevel"/>
    <w:tmpl w:val="9B602400"/>
    <w:lvl w:ilvl="0" w:tplc="5E66F854">
      <w:start w:val="1"/>
      <w:numFmt w:val="decimal"/>
      <w:lvlText w:val="%1."/>
      <w:lvlJc w:val="left"/>
      <w:pPr>
        <w:ind w:left="1440" w:hanging="360"/>
      </w:pPr>
      <w:rPr>
        <w:b/>
        <w:bCs/>
        <w:color w:val="000000" w:themeColor="text1"/>
      </w:rPr>
    </w:lvl>
    <w:lvl w:ilvl="1" w:tplc="04090003">
      <w:numFmt w:val="bullet"/>
      <w:lvlText w:val="•"/>
      <w:lvlJc w:val="left"/>
      <w:pPr>
        <w:ind w:left="2550" w:hanging="750"/>
      </w:pPr>
      <w:rPr>
        <w:rFonts w:ascii="Garamond" w:eastAsiaTheme="minorHAnsi" w:hAnsi="Garamond" w:cstheme="minorBidi" w:hint="default"/>
      </w:r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6">
    <w:nsid w:val="30B4389A"/>
    <w:multiLevelType w:val="hybridMultilevel"/>
    <w:tmpl w:val="47BC5332"/>
    <w:lvl w:ilvl="0" w:tplc="0409000F">
      <w:start w:val="1"/>
      <w:numFmt w:val="decimal"/>
      <w:lvlText w:val="%1."/>
      <w:lvlJc w:val="left"/>
      <w:pPr>
        <w:ind w:left="1440" w:hanging="360"/>
      </w:pPr>
    </w:lvl>
    <w:lvl w:ilvl="1" w:tplc="04090003">
      <w:numFmt w:val="bullet"/>
      <w:lvlText w:val="•"/>
      <w:lvlJc w:val="left"/>
      <w:pPr>
        <w:ind w:left="2550" w:hanging="750"/>
      </w:pPr>
      <w:rPr>
        <w:rFonts w:ascii="Garamond" w:eastAsiaTheme="minorHAnsi" w:hAnsi="Garamond" w:cstheme="minorBidi" w:hint="default"/>
      </w:rPr>
    </w:lvl>
    <w:lvl w:ilvl="2" w:tplc="01CADA06">
      <w:numFmt w:val="bullet"/>
      <w:lvlText w:val="−"/>
      <w:lvlJc w:val="left"/>
      <w:pPr>
        <w:ind w:left="3060" w:hanging="360"/>
      </w:pPr>
      <w:rPr>
        <w:rFonts w:ascii="Palatino Linotype" w:eastAsiaTheme="minorHAnsi" w:hAnsi="Palatino Linotype" w:cstheme="minorBidi" w:hint="default"/>
      </w:r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7">
    <w:nsid w:val="350B1D62"/>
    <w:multiLevelType w:val="multilevel"/>
    <w:tmpl w:val="EEE6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641E26"/>
    <w:multiLevelType w:val="hybridMultilevel"/>
    <w:tmpl w:val="3DFA31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B97F8B"/>
    <w:multiLevelType w:val="hybridMultilevel"/>
    <w:tmpl w:val="745445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4FE373B3"/>
    <w:multiLevelType w:val="hybridMultilevel"/>
    <w:tmpl w:val="52F87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477FA3"/>
    <w:multiLevelType w:val="hybridMultilevel"/>
    <w:tmpl w:val="8CA28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19394B"/>
    <w:multiLevelType w:val="hybridMultilevel"/>
    <w:tmpl w:val="77DEDB28"/>
    <w:lvl w:ilvl="0" w:tplc="3498F4F6">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AB57AB"/>
    <w:multiLevelType w:val="hybridMultilevel"/>
    <w:tmpl w:val="0E0C2DF6"/>
    <w:lvl w:ilvl="0" w:tplc="B5DC50A8">
      <w:start w:val="20"/>
      <w:numFmt w:val="decimal"/>
      <w:lvlText w:val="%1."/>
      <w:lvlJc w:val="left"/>
      <w:pPr>
        <w:ind w:left="7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6343B52">
      <w:start w:val="1"/>
      <w:numFmt w:val="lowerRoman"/>
      <w:lvlText w:val="%2."/>
      <w:lvlJc w:val="left"/>
      <w:pPr>
        <w:ind w:left="207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2D8DA22">
      <w:start w:val="1"/>
      <w:numFmt w:val="lowerRoman"/>
      <w:lvlText w:val="%3"/>
      <w:lvlJc w:val="left"/>
      <w:pPr>
        <w:ind w:left="24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C841988">
      <w:start w:val="1"/>
      <w:numFmt w:val="decimal"/>
      <w:lvlText w:val="%4"/>
      <w:lvlJc w:val="left"/>
      <w:pPr>
        <w:ind w:left="32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8FE1B14">
      <w:start w:val="1"/>
      <w:numFmt w:val="lowerLetter"/>
      <w:lvlText w:val="%5"/>
      <w:lvlJc w:val="left"/>
      <w:pPr>
        <w:ind w:left="39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AD8C19C">
      <w:start w:val="1"/>
      <w:numFmt w:val="lowerRoman"/>
      <w:lvlText w:val="%6"/>
      <w:lvlJc w:val="left"/>
      <w:pPr>
        <w:ind w:left="4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B2CD4E8">
      <w:start w:val="1"/>
      <w:numFmt w:val="decimal"/>
      <w:lvlText w:val="%7"/>
      <w:lvlJc w:val="left"/>
      <w:pPr>
        <w:ind w:left="5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95A8AA6">
      <w:start w:val="1"/>
      <w:numFmt w:val="lowerLetter"/>
      <w:lvlText w:val="%8"/>
      <w:lvlJc w:val="left"/>
      <w:pPr>
        <w:ind w:left="6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CA2B226">
      <w:start w:val="1"/>
      <w:numFmt w:val="lowerRoman"/>
      <w:lvlText w:val="%9"/>
      <w:lvlJc w:val="left"/>
      <w:pPr>
        <w:ind w:left="6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58003FE0"/>
    <w:multiLevelType w:val="multilevel"/>
    <w:tmpl w:val="8EEC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BE40FB"/>
    <w:multiLevelType w:val="hybridMultilevel"/>
    <w:tmpl w:val="E398E444"/>
    <w:lvl w:ilvl="0" w:tplc="9662B1A6">
      <w:start w:val="1"/>
      <w:numFmt w:val="lowerLetter"/>
      <w:lvlText w:val="%1."/>
      <w:lvlJc w:val="left"/>
      <w:pPr>
        <w:ind w:left="720"/>
      </w:pPr>
      <w:rPr>
        <w:rFonts w:ascii="Garamond" w:eastAsia="Arial" w:hAnsi="Garamond" w:cs="Arial" w:hint="default"/>
        <w:b w:val="0"/>
        <w:i w:val="0"/>
        <w:strike w:val="0"/>
        <w:dstrike w:val="0"/>
        <w:color w:val="000000"/>
        <w:sz w:val="24"/>
        <w:szCs w:val="28"/>
        <w:u w:val="none" w:color="000000"/>
        <w:bdr w:val="none" w:sz="0" w:space="0" w:color="auto"/>
        <w:shd w:val="clear" w:color="auto" w:fill="auto"/>
        <w:vertAlign w:val="baseline"/>
      </w:rPr>
    </w:lvl>
    <w:lvl w:ilvl="1" w:tplc="06A407B8">
      <w:start w:val="1"/>
      <w:numFmt w:val="lowerLetter"/>
      <w:lvlText w:val="%2"/>
      <w:lvlJc w:val="left"/>
      <w:pPr>
        <w:ind w:left="10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A08A67B0">
      <w:start w:val="1"/>
      <w:numFmt w:val="lowerRoman"/>
      <w:lvlText w:val="%3"/>
      <w:lvlJc w:val="left"/>
      <w:pPr>
        <w:ind w:left="18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3EF84178">
      <w:start w:val="1"/>
      <w:numFmt w:val="decimal"/>
      <w:lvlText w:val="%4"/>
      <w:lvlJc w:val="left"/>
      <w:pPr>
        <w:ind w:left="252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1916C7E2">
      <w:start w:val="1"/>
      <w:numFmt w:val="lowerLetter"/>
      <w:lvlText w:val="%5"/>
      <w:lvlJc w:val="left"/>
      <w:pPr>
        <w:ind w:left="324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E29AB5D6">
      <w:start w:val="1"/>
      <w:numFmt w:val="lowerRoman"/>
      <w:lvlText w:val="%6"/>
      <w:lvlJc w:val="left"/>
      <w:pPr>
        <w:ind w:left="396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5FBC427E">
      <w:start w:val="1"/>
      <w:numFmt w:val="decimal"/>
      <w:lvlText w:val="%7"/>
      <w:lvlJc w:val="left"/>
      <w:pPr>
        <w:ind w:left="468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3822ECCC">
      <w:start w:val="1"/>
      <w:numFmt w:val="lowerLetter"/>
      <w:lvlText w:val="%8"/>
      <w:lvlJc w:val="left"/>
      <w:pPr>
        <w:ind w:left="540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D728D6A6">
      <w:start w:val="1"/>
      <w:numFmt w:val="lowerRoman"/>
      <w:lvlText w:val="%9"/>
      <w:lvlJc w:val="left"/>
      <w:pPr>
        <w:ind w:left="6120"/>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16">
    <w:nsid w:val="5EC0307A"/>
    <w:multiLevelType w:val="hybridMultilevel"/>
    <w:tmpl w:val="652A969C"/>
    <w:lvl w:ilvl="0" w:tplc="56BE3F22">
      <w:start w:val="1"/>
      <w:numFmt w:val="decimal"/>
      <w:lvlText w:val="%1."/>
      <w:lvlJc w:val="left"/>
      <w:pPr>
        <w:ind w:left="1440" w:firstLine="0"/>
      </w:pPr>
      <w:rPr>
        <w:rFonts w:ascii="Garamond" w:eastAsia="Arial" w:hAnsi="Garamond" w:cs="Arial" w:hint="default"/>
        <w:b/>
        <w:i w:val="0"/>
        <w:strike w:val="0"/>
        <w:dstrike w:val="0"/>
        <w:color w:val="000000"/>
        <w:sz w:val="24"/>
        <w:szCs w:val="24"/>
        <w:u w:val="none" w:color="000000"/>
        <w:bdr w:val="none" w:sz="0" w:space="0" w:color="auto"/>
        <w:shd w:val="clear" w:color="auto" w:fill="auto"/>
        <w:vertAlign w:val="baseline"/>
      </w:rPr>
    </w:lvl>
    <w:lvl w:ilvl="1" w:tplc="6DD6334C">
      <w:start w:val="1"/>
      <w:numFmt w:val="lowerRoman"/>
      <w:lvlText w:val="(%2)"/>
      <w:lvlJc w:val="left"/>
      <w:pPr>
        <w:ind w:left="437"/>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2" w:tplc="344EDEF4">
      <w:start w:val="1"/>
      <w:numFmt w:val="lowerRoman"/>
      <w:lvlText w:val="%3"/>
      <w:lvlJc w:val="left"/>
      <w:pPr>
        <w:ind w:left="106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3" w:tplc="CB1A294A">
      <w:start w:val="1"/>
      <w:numFmt w:val="decimal"/>
      <w:lvlText w:val="%4"/>
      <w:lvlJc w:val="left"/>
      <w:pPr>
        <w:ind w:left="178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4" w:tplc="76B0D4BC">
      <w:start w:val="1"/>
      <w:numFmt w:val="lowerLetter"/>
      <w:lvlText w:val="%5"/>
      <w:lvlJc w:val="left"/>
      <w:pPr>
        <w:ind w:left="250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5" w:tplc="BF5E0CA4">
      <w:start w:val="1"/>
      <w:numFmt w:val="lowerRoman"/>
      <w:lvlText w:val="%6"/>
      <w:lvlJc w:val="left"/>
      <w:pPr>
        <w:ind w:left="322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6" w:tplc="5F64F03C">
      <w:start w:val="1"/>
      <w:numFmt w:val="decimal"/>
      <w:lvlText w:val="%7"/>
      <w:lvlJc w:val="left"/>
      <w:pPr>
        <w:ind w:left="394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7" w:tplc="AFA849E4">
      <w:start w:val="1"/>
      <w:numFmt w:val="lowerLetter"/>
      <w:lvlText w:val="%8"/>
      <w:lvlJc w:val="left"/>
      <w:pPr>
        <w:ind w:left="4665"/>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8" w:tplc="3C6439A8">
      <w:start w:val="1"/>
      <w:numFmt w:val="lowerRoman"/>
      <w:lvlText w:val="%9"/>
      <w:lvlJc w:val="left"/>
      <w:pPr>
        <w:ind w:left="5385"/>
      </w:pPr>
      <w:rPr>
        <w:rFonts w:ascii="Arial" w:eastAsia="Arial" w:hAnsi="Arial" w:cs="Arial"/>
        <w:b w:val="0"/>
        <w:i w:val="0"/>
        <w:strike w:val="0"/>
        <w:dstrike w:val="0"/>
        <w:color w:val="000000"/>
        <w:sz w:val="23"/>
        <w:u w:val="none" w:color="000000"/>
        <w:bdr w:val="none" w:sz="0" w:space="0" w:color="auto"/>
        <w:shd w:val="clear" w:color="auto" w:fill="auto"/>
        <w:vertAlign w:val="baseline"/>
      </w:rPr>
    </w:lvl>
  </w:abstractNum>
  <w:abstractNum w:abstractNumId="17">
    <w:nsid w:val="609578C3"/>
    <w:multiLevelType w:val="hybridMultilevel"/>
    <w:tmpl w:val="E2E4C712"/>
    <w:lvl w:ilvl="0" w:tplc="9A8ED434">
      <w:start w:val="1"/>
      <w:numFmt w:val="decimal"/>
      <w:lvlText w:val="%1."/>
      <w:lvlJc w:val="left"/>
      <w:pPr>
        <w:ind w:left="1440" w:hanging="360"/>
      </w:pPr>
      <w:rPr>
        <w:b/>
        <w:bCs/>
        <w:color w:val="000000" w:themeColor="text1"/>
      </w:rPr>
    </w:lvl>
    <w:lvl w:ilvl="1" w:tplc="04090003">
      <w:numFmt w:val="bullet"/>
      <w:lvlText w:val="•"/>
      <w:lvlJc w:val="left"/>
      <w:pPr>
        <w:ind w:left="2550" w:hanging="750"/>
      </w:pPr>
      <w:rPr>
        <w:rFonts w:ascii="Garamond" w:eastAsiaTheme="minorHAnsi" w:hAnsi="Garamond" w:cstheme="minorBidi" w:hint="default"/>
      </w:r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8">
    <w:nsid w:val="67E46815"/>
    <w:multiLevelType w:val="hybridMultilevel"/>
    <w:tmpl w:val="5DB2F8D8"/>
    <w:lvl w:ilvl="0" w:tplc="06FE9D56">
      <w:start w:val="37"/>
      <w:numFmt w:val="decimal"/>
      <w:lvlText w:val="%1."/>
      <w:lvlJc w:val="left"/>
      <w:pPr>
        <w:ind w:left="7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D8E9DF0">
      <w:start w:val="1"/>
      <w:numFmt w:val="lowerRoman"/>
      <w:lvlText w:val="%2."/>
      <w:lvlJc w:val="left"/>
      <w:pPr>
        <w:ind w:left="15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2DA1A78">
      <w:start w:val="1"/>
      <w:numFmt w:val="lowerRoman"/>
      <w:lvlText w:val="%3"/>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0807E50">
      <w:start w:val="1"/>
      <w:numFmt w:val="decimal"/>
      <w:lvlText w:val="%4"/>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D6A1A3E">
      <w:start w:val="1"/>
      <w:numFmt w:val="lowerLetter"/>
      <w:lvlText w:val="%5"/>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85E1940">
      <w:start w:val="1"/>
      <w:numFmt w:val="lowerRoman"/>
      <w:lvlText w:val="%6"/>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A826662">
      <w:start w:val="1"/>
      <w:numFmt w:val="decimal"/>
      <w:lvlText w:val="%7"/>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5842786">
      <w:start w:val="1"/>
      <w:numFmt w:val="lowerLetter"/>
      <w:lvlText w:val="%8"/>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A888826">
      <w:start w:val="1"/>
      <w:numFmt w:val="lowerRoman"/>
      <w:lvlText w:val="%9"/>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6FCD5F69"/>
    <w:multiLevelType w:val="hybridMultilevel"/>
    <w:tmpl w:val="6D222ABC"/>
    <w:lvl w:ilvl="0" w:tplc="E5FEFCE6">
      <w:start w:val="1"/>
      <w:numFmt w:val="decimal"/>
      <w:lvlText w:val="%1."/>
      <w:lvlJc w:val="left"/>
      <w:pPr>
        <w:ind w:left="1440" w:hanging="360"/>
      </w:pPr>
      <w:rPr>
        <w:b/>
        <w:bCs/>
        <w:i w:val="0"/>
        <w:iCs w:val="0"/>
        <w:color w:val="000000" w:themeColor="text1"/>
        <w:sz w:val="24"/>
        <w:szCs w:val="22"/>
      </w:rPr>
    </w:lvl>
    <w:lvl w:ilvl="1" w:tplc="04090003">
      <w:numFmt w:val="bullet"/>
      <w:lvlText w:val="•"/>
      <w:lvlJc w:val="left"/>
      <w:pPr>
        <w:ind w:left="2550" w:hanging="750"/>
      </w:pPr>
      <w:rPr>
        <w:rFonts w:ascii="Garamond" w:eastAsiaTheme="minorHAnsi" w:hAnsi="Garamond" w:cstheme="minorBidi" w:hint="default"/>
      </w:r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0">
    <w:nsid w:val="73D46ADF"/>
    <w:multiLevelType w:val="hybridMultilevel"/>
    <w:tmpl w:val="E6A4BE5E"/>
    <w:lvl w:ilvl="0" w:tplc="9808F264">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785CC3"/>
    <w:multiLevelType w:val="hybridMultilevel"/>
    <w:tmpl w:val="8EB08B00"/>
    <w:lvl w:ilvl="0" w:tplc="1D604BB6">
      <w:start w:val="1"/>
      <w:numFmt w:val="decimal"/>
      <w:lvlText w:val="%1."/>
      <w:lvlJc w:val="left"/>
      <w:pPr>
        <w:ind w:left="1440" w:hanging="360"/>
      </w:pPr>
      <w:rPr>
        <w:b/>
        <w:bCs/>
        <w:color w:val="000000" w:themeColor="text1"/>
      </w:rPr>
    </w:lvl>
    <w:lvl w:ilvl="1" w:tplc="04090003">
      <w:numFmt w:val="bullet"/>
      <w:lvlText w:val="•"/>
      <w:lvlJc w:val="left"/>
      <w:pPr>
        <w:ind w:left="2550" w:hanging="750"/>
      </w:pPr>
      <w:rPr>
        <w:rFonts w:ascii="Garamond" w:eastAsiaTheme="minorHAnsi" w:hAnsi="Garamond" w:cstheme="minorBidi" w:hint="default"/>
      </w:r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nsid w:val="7CB04E7C"/>
    <w:multiLevelType w:val="hybridMultilevel"/>
    <w:tmpl w:val="9B602400"/>
    <w:lvl w:ilvl="0" w:tplc="5E66F854">
      <w:start w:val="1"/>
      <w:numFmt w:val="decimal"/>
      <w:lvlText w:val="%1."/>
      <w:lvlJc w:val="left"/>
      <w:pPr>
        <w:ind w:left="1440" w:hanging="360"/>
      </w:pPr>
      <w:rPr>
        <w:b/>
        <w:bCs/>
        <w:color w:val="000000" w:themeColor="text1"/>
      </w:rPr>
    </w:lvl>
    <w:lvl w:ilvl="1" w:tplc="04090003">
      <w:numFmt w:val="bullet"/>
      <w:lvlText w:val="•"/>
      <w:lvlJc w:val="left"/>
      <w:pPr>
        <w:ind w:left="2550" w:hanging="750"/>
      </w:pPr>
      <w:rPr>
        <w:rFonts w:ascii="Garamond" w:eastAsiaTheme="minorHAnsi" w:hAnsi="Garamond" w:cstheme="minorBidi" w:hint="default"/>
      </w:r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num w:numId="1">
    <w:abstractNumId w:val="20"/>
  </w:num>
  <w:num w:numId="2">
    <w:abstractNumId w:val="12"/>
  </w:num>
  <w:num w:numId="3">
    <w:abstractNumId w:val="8"/>
  </w:num>
  <w:num w:numId="4">
    <w:abstractNumId w:val="1"/>
  </w:num>
  <w:num w:numId="5">
    <w:abstractNumId w:val="11"/>
  </w:num>
  <w:num w:numId="6">
    <w:abstractNumId w:val="10"/>
  </w:num>
  <w:num w:numId="7">
    <w:abstractNumId w:val="13"/>
  </w:num>
  <w:num w:numId="8">
    <w:abstractNumId w:val="18"/>
  </w:num>
  <w:num w:numId="9">
    <w:abstractNumId w:val="6"/>
  </w:num>
  <w:num w:numId="10">
    <w:abstractNumId w:val="19"/>
  </w:num>
  <w:num w:numId="11">
    <w:abstractNumId w:val="21"/>
  </w:num>
  <w:num w:numId="12">
    <w:abstractNumId w:val="17"/>
  </w:num>
  <w:num w:numId="13">
    <w:abstractNumId w:val="5"/>
  </w:num>
  <w:num w:numId="14">
    <w:abstractNumId w:val="7"/>
  </w:num>
  <w:num w:numId="15">
    <w:abstractNumId w:val="22"/>
  </w:num>
  <w:num w:numId="16">
    <w:abstractNumId w:val="14"/>
  </w:num>
  <w:num w:numId="17">
    <w:abstractNumId w:val="9"/>
  </w:num>
  <w:num w:numId="18">
    <w:abstractNumId w:val="4"/>
  </w:num>
  <w:num w:numId="19">
    <w:abstractNumId w:val="3"/>
  </w:num>
  <w:num w:numId="20">
    <w:abstractNumId w:val="16"/>
  </w:num>
  <w:num w:numId="21">
    <w:abstractNumId w:val="15"/>
  </w:num>
  <w:num w:numId="22">
    <w:abstractNumId w:val="0"/>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7C"/>
    <w:rsid w:val="00001102"/>
    <w:rsid w:val="0000238B"/>
    <w:rsid w:val="00007C89"/>
    <w:rsid w:val="000100A3"/>
    <w:rsid w:val="00013A01"/>
    <w:rsid w:val="00023E03"/>
    <w:rsid w:val="000345C2"/>
    <w:rsid w:val="00035307"/>
    <w:rsid w:val="0003625D"/>
    <w:rsid w:val="00044819"/>
    <w:rsid w:val="00050B9F"/>
    <w:rsid w:val="00050DB7"/>
    <w:rsid w:val="00052A9C"/>
    <w:rsid w:val="00063FF5"/>
    <w:rsid w:val="0007759D"/>
    <w:rsid w:val="00087B33"/>
    <w:rsid w:val="00090DEF"/>
    <w:rsid w:val="000B0DD6"/>
    <w:rsid w:val="000B5449"/>
    <w:rsid w:val="000C02A3"/>
    <w:rsid w:val="000C0C5B"/>
    <w:rsid w:val="000C1CD7"/>
    <w:rsid w:val="000C69C1"/>
    <w:rsid w:val="000D4867"/>
    <w:rsid w:val="000E3746"/>
    <w:rsid w:val="000E46BB"/>
    <w:rsid w:val="000F1858"/>
    <w:rsid w:val="000F7F35"/>
    <w:rsid w:val="00100211"/>
    <w:rsid w:val="00100F24"/>
    <w:rsid w:val="001041E6"/>
    <w:rsid w:val="001045BE"/>
    <w:rsid w:val="001048AC"/>
    <w:rsid w:val="0011033C"/>
    <w:rsid w:val="00110766"/>
    <w:rsid w:val="00112036"/>
    <w:rsid w:val="00112407"/>
    <w:rsid w:val="00114AC5"/>
    <w:rsid w:val="001164CA"/>
    <w:rsid w:val="00125AF5"/>
    <w:rsid w:val="0012648B"/>
    <w:rsid w:val="00130306"/>
    <w:rsid w:val="00135277"/>
    <w:rsid w:val="00143013"/>
    <w:rsid w:val="00150006"/>
    <w:rsid w:val="00151C67"/>
    <w:rsid w:val="001523E1"/>
    <w:rsid w:val="0015597F"/>
    <w:rsid w:val="00160183"/>
    <w:rsid w:val="00160DEC"/>
    <w:rsid w:val="00166D74"/>
    <w:rsid w:val="001720CD"/>
    <w:rsid w:val="00175977"/>
    <w:rsid w:val="00177824"/>
    <w:rsid w:val="001852D7"/>
    <w:rsid w:val="001912C3"/>
    <w:rsid w:val="001961E8"/>
    <w:rsid w:val="001A2361"/>
    <w:rsid w:val="001A718E"/>
    <w:rsid w:val="001A7DC2"/>
    <w:rsid w:val="001B1D3E"/>
    <w:rsid w:val="001B4C10"/>
    <w:rsid w:val="001C0BB1"/>
    <w:rsid w:val="001D1729"/>
    <w:rsid w:val="001D52A6"/>
    <w:rsid w:val="001E2A24"/>
    <w:rsid w:val="001E4F7E"/>
    <w:rsid w:val="001E4FFA"/>
    <w:rsid w:val="001F19F8"/>
    <w:rsid w:val="002005C8"/>
    <w:rsid w:val="00200742"/>
    <w:rsid w:val="00200C72"/>
    <w:rsid w:val="00201776"/>
    <w:rsid w:val="00201C91"/>
    <w:rsid w:val="002135D8"/>
    <w:rsid w:val="00217822"/>
    <w:rsid w:val="0022215B"/>
    <w:rsid w:val="00223671"/>
    <w:rsid w:val="00226A46"/>
    <w:rsid w:val="002322F9"/>
    <w:rsid w:val="002413B5"/>
    <w:rsid w:val="00242DB6"/>
    <w:rsid w:val="002450DA"/>
    <w:rsid w:val="00245553"/>
    <w:rsid w:val="00245C3D"/>
    <w:rsid w:val="00250D94"/>
    <w:rsid w:val="00250FFA"/>
    <w:rsid w:val="002523ED"/>
    <w:rsid w:val="00252B54"/>
    <w:rsid w:val="0025439E"/>
    <w:rsid w:val="00255283"/>
    <w:rsid w:val="00267A7C"/>
    <w:rsid w:val="0027231F"/>
    <w:rsid w:val="00272F12"/>
    <w:rsid w:val="00273AAE"/>
    <w:rsid w:val="002776BE"/>
    <w:rsid w:val="00280740"/>
    <w:rsid w:val="00280CFD"/>
    <w:rsid w:val="00283974"/>
    <w:rsid w:val="00284BC2"/>
    <w:rsid w:val="002852AB"/>
    <w:rsid w:val="00286614"/>
    <w:rsid w:val="002924F3"/>
    <w:rsid w:val="002A0BBE"/>
    <w:rsid w:val="002A51F7"/>
    <w:rsid w:val="002A54FF"/>
    <w:rsid w:val="002B14AC"/>
    <w:rsid w:val="002C4D20"/>
    <w:rsid w:val="002C5F1B"/>
    <w:rsid w:val="002C66D0"/>
    <w:rsid w:val="002D3E7C"/>
    <w:rsid w:val="002D456A"/>
    <w:rsid w:val="002D46D6"/>
    <w:rsid w:val="002D6708"/>
    <w:rsid w:val="002E006D"/>
    <w:rsid w:val="002E11AF"/>
    <w:rsid w:val="002E154E"/>
    <w:rsid w:val="002E2589"/>
    <w:rsid w:val="002E2C31"/>
    <w:rsid w:val="002E320D"/>
    <w:rsid w:val="002F41CD"/>
    <w:rsid w:val="002F70EB"/>
    <w:rsid w:val="00300262"/>
    <w:rsid w:val="00301C6A"/>
    <w:rsid w:val="00302A9D"/>
    <w:rsid w:val="00305806"/>
    <w:rsid w:val="00314ED5"/>
    <w:rsid w:val="003213E1"/>
    <w:rsid w:val="00322C6F"/>
    <w:rsid w:val="0032394B"/>
    <w:rsid w:val="003245DD"/>
    <w:rsid w:val="003327D8"/>
    <w:rsid w:val="00334516"/>
    <w:rsid w:val="00336FC3"/>
    <w:rsid w:val="00344ED1"/>
    <w:rsid w:val="00345367"/>
    <w:rsid w:val="00352307"/>
    <w:rsid w:val="0035797F"/>
    <w:rsid w:val="0036493B"/>
    <w:rsid w:val="003671F5"/>
    <w:rsid w:val="0037133A"/>
    <w:rsid w:val="0037442E"/>
    <w:rsid w:val="00374E1A"/>
    <w:rsid w:val="00384E16"/>
    <w:rsid w:val="00387126"/>
    <w:rsid w:val="0039654D"/>
    <w:rsid w:val="00397E98"/>
    <w:rsid w:val="003A21E5"/>
    <w:rsid w:val="003B2AA2"/>
    <w:rsid w:val="003B2FD2"/>
    <w:rsid w:val="003B6169"/>
    <w:rsid w:val="003C221C"/>
    <w:rsid w:val="003C6A4A"/>
    <w:rsid w:val="003D15FC"/>
    <w:rsid w:val="003D2B66"/>
    <w:rsid w:val="003D6074"/>
    <w:rsid w:val="003E14ED"/>
    <w:rsid w:val="003E70CB"/>
    <w:rsid w:val="003F07E9"/>
    <w:rsid w:val="003F537A"/>
    <w:rsid w:val="00400E77"/>
    <w:rsid w:val="004018C7"/>
    <w:rsid w:val="00406C29"/>
    <w:rsid w:val="00410017"/>
    <w:rsid w:val="004139A3"/>
    <w:rsid w:val="004205AB"/>
    <w:rsid w:val="00421135"/>
    <w:rsid w:val="00424C9E"/>
    <w:rsid w:val="00432A89"/>
    <w:rsid w:val="00432CD0"/>
    <w:rsid w:val="004333ED"/>
    <w:rsid w:val="00444568"/>
    <w:rsid w:val="00445C99"/>
    <w:rsid w:val="00446ADD"/>
    <w:rsid w:val="004509F8"/>
    <w:rsid w:val="00451CE6"/>
    <w:rsid w:val="0045332B"/>
    <w:rsid w:val="004539CC"/>
    <w:rsid w:val="00454BBE"/>
    <w:rsid w:val="0046745E"/>
    <w:rsid w:val="00475EA5"/>
    <w:rsid w:val="00476DC3"/>
    <w:rsid w:val="00477023"/>
    <w:rsid w:val="004877E5"/>
    <w:rsid w:val="004917F4"/>
    <w:rsid w:val="0049180F"/>
    <w:rsid w:val="004918D4"/>
    <w:rsid w:val="004925AA"/>
    <w:rsid w:val="00492688"/>
    <w:rsid w:val="00493829"/>
    <w:rsid w:val="00493C95"/>
    <w:rsid w:val="004A07E7"/>
    <w:rsid w:val="004A0A89"/>
    <w:rsid w:val="004A27E6"/>
    <w:rsid w:val="004B0848"/>
    <w:rsid w:val="004B124F"/>
    <w:rsid w:val="004B2189"/>
    <w:rsid w:val="004B50FF"/>
    <w:rsid w:val="004B58D5"/>
    <w:rsid w:val="004B5C1C"/>
    <w:rsid w:val="004B7E75"/>
    <w:rsid w:val="004C06B8"/>
    <w:rsid w:val="004C5B13"/>
    <w:rsid w:val="004C6C55"/>
    <w:rsid w:val="004C755E"/>
    <w:rsid w:val="004D20E5"/>
    <w:rsid w:val="004D4725"/>
    <w:rsid w:val="004E1212"/>
    <w:rsid w:val="004E1A56"/>
    <w:rsid w:val="004E2725"/>
    <w:rsid w:val="004E6A68"/>
    <w:rsid w:val="004E7938"/>
    <w:rsid w:val="004F324A"/>
    <w:rsid w:val="004F560A"/>
    <w:rsid w:val="00501CB2"/>
    <w:rsid w:val="005021A7"/>
    <w:rsid w:val="005029BF"/>
    <w:rsid w:val="00512441"/>
    <w:rsid w:val="00513E19"/>
    <w:rsid w:val="00515F72"/>
    <w:rsid w:val="00520349"/>
    <w:rsid w:val="0052378B"/>
    <w:rsid w:val="00530099"/>
    <w:rsid w:val="005364CA"/>
    <w:rsid w:val="0053744E"/>
    <w:rsid w:val="00542B8F"/>
    <w:rsid w:val="00546F34"/>
    <w:rsid w:val="005473DC"/>
    <w:rsid w:val="00550718"/>
    <w:rsid w:val="00550730"/>
    <w:rsid w:val="0055100E"/>
    <w:rsid w:val="00551F25"/>
    <w:rsid w:val="00554852"/>
    <w:rsid w:val="0055674D"/>
    <w:rsid w:val="005609FB"/>
    <w:rsid w:val="00560A50"/>
    <w:rsid w:val="00576EC5"/>
    <w:rsid w:val="00582803"/>
    <w:rsid w:val="00586AF5"/>
    <w:rsid w:val="00586E40"/>
    <w:rsid w:val="0058711A"/>
    <w:rsid w:val="0059339E"/>
    <w:rsid w:val="00593652"/>
    <w:rsid w:val="00594DA2"/>
    <w:rsid w:val="005A0A20"/>
    <w:rsid w:val="005A7521"/>
    <w:rsid w:val="005B3173"/>
    <w:rsid w:val="005B3403"/>
    <w:rsid w:val="005B5428"/>
    <w:rsid w:val="005C71B0"/>
    <w:rsid w:val="005D07CE"/>
    <w:rsid w:val="005E2A41"/>
    <w:rsid w:val="005E4FE5"/>
    <w:rsid w:val="005F3D2C"/>
    <w:rsid w:val="005F5DCF"/>
    <w:rsid w:val="005F5E77"/>
    <w:rsid w:val="006014E5"/>
    <w:rsid w:val="00605DA3"/>
    <w:rsid w:val="006116C3"/>
    <w:rsid w:val="00614200"/>
    <w:rsid w:val="00615396"/>
    <w:rsid w:val="00615DB4"/>
    <w:rsid w:val="00617923"/>
    <w:rsid w:val="0062348C"/>
    <w:rsid w:val="00634228"/>
    <w:rsid w:val="006372C3"/>
    <w:rsid w:val="0064028C"/>
    <w:rsid w:val="00642251"/>
    <w:rsid w:val="00642FAF"/>
    <w:rsid w:val="00643350"/>
    <w:rsid w:val="0064762E"/>
    <w:rsid w:val="006479A5"/>
    <w:rsid w:val="006514AD"/>
    <w:rsid w:val="006538B5"/>
    <w:rsid w:val="00653B6D"/>
    <w:rsid w:val="00654C57"/>
    <w:rsid w:val="0065637B"/>
    <w:rsid w:val="00657483"/>
    <w:rsid w:val="006626C6"/>
    <w:rsid w:val="006639C3"/>
    <w:rsid w:val="00665D17"/>
    <w:rsid w:val="00671E15"/>
    <w:rsid w:val="00673377"/>
    <w:rsid w:val="006746EC"/>
    <w:rsid w:val="00677E70"/>
    <w:rsid w:val="00682024"/>
    <w:rsid w:val="006826F4"/>
    <w:rsid w:val="0068361F"/>
    <w:rsid w:val="0068366D"/>
    <w:rsid w:val="006849C4"/>
    <w:rsid w:val="00684ED5"/>
    <w:rsid w:val="006859F1"/>
    <w:rsid w:val="00690A86"/>
    <w:rsid w:val="00691339"/>
    <w:rsid w:val="00695284"/>
    <w:rsid w:val="00695903"/>
    <w:rsid w:val="00695C3D"/>
    <w:rsid w:val="006969B4"/>
    <w:rsid w:val="00697927"/>
    <w:rsid w:val="006A250E"/>
    <w:rsid w:val="006A2996"/>
    <w:rsid w:val="006A4BB9"/>
    <w:rsid w:val="006B43CF"/>
    <w:rsid w:val="006B5B65"/>
    <w:rsid w:val="006C2176"/>
    <w:rsid w:val="006C2C41"/>
    <w:rsid w:val="006C59F0"/>
    <w:rsid w:val="006C682D"/>
    <w:rsid w:val="006D3C88"/>
    <w:rsid w:val="006D681F"/>
    <w:rsid w:val="006D6C4F"/>
    <w:rsid w:val="006D6D8A"/>
    <w:rsid w:val="006D7BD6"/>
    <w:rsid w:val="006E0F44"/>
    <w:rsid w:val="006E2811"/>
    <w:rsid w:val="006E776E"/>
    <w:rsid w:val="006F01A5"/>
    <w:rsid w:val="006F06C7"/>
    <w:rsid w:val="00711718"/>
    <w:rsid w:val="007147ED"/>
    <w:rsid w:val="0071730D"/>
    <w:rsid w:val="00717DC5"/>
    <w:rsid w:val="00720132"/>
    <w:rsid w:val="00720C83"/>
    <w:rsid w:val="00726C7B"/>
    <w:rsid w:val="0073327C"/>
    <w:rsid w:val="00734548"/>
    <w:rsid w:val="00735976"/>
    <w:rsid w:val="007402CA"/>
    <w:rsid w:val="007440F1"/>
    <w:rsid w:val="00747D9D"/>
    <w:rsid w:val="007509C8"/>
    <w:rsid w:val="007518D6"/>
    <w:rsid w:val="007522E5"/>
    <w:rsid w:val="00753513"/>
    <w:rsid w:val="007550EC"/>
    <w:rsid w:val="007577D0"/>
    <w:rsid w:val="007617CE"/>
    <w:rsid w:val="00762299"/>
    <w:rsid w:val="00765EB9"/>
    <w:rsid w:val="00766DB9"/>
    <w:rsid w:val="00771E4F"/>
    <w:rsid w:val="00776955"/>
    <w:rsid w:val="00780EC3"/>
    <w:rsid w:val="00787D73"/>
    <w:rsid w:val="007928D1"/>
    <w:rsid w:val="00795793"/>
    <w:rsid w:val="007A291E"/>
    <w:rsid w:val="007A6867"/>
    <w:rsid w:val="007A7B9F"/>
    <w:rsid w:val="007B0EEB"/>
    <w:rsid w:val="007B4C1C"/>
    <w:rsid w:val="007B6607"/>
    <w:rsid w:val="007C18BF"/>
    <w:rsid w:val="007C5387"/>
    <w:rsid w:val="007C7A52"/>
    <w:rsid w:val="007E5DD0"/>
    <w:rsid w:val="007E60FA"/>
    <w:rsid w:val="007F09C0"/>
    <w:rsid w:val="00806B1F"/>
    <w:rsid w:val="00812A19"/>
    <w:rsid w:val="008169AF"/>
    <w:rsid w:val="00817F15"/>
    <w:rsid w:val="00821A1D"/>
    <w:rsid w:val="00830A1B"/>
    <w:rsid w:val="00831200"/>
    <w:rsid w:val="008316D5"/>
    <w:rsid w:val="00833A5C"/>
    <w:rsid w:val="00835294"/>
    <w:rsid w:val="00836FAC"/>
    <w:rsid w:val="0083773A"/>
    <w:rsid w:val="00837D47"/>
    <w:rsid w:val="00837E30"/>
    <w:rsid w:val="008434E0"/>
    <w:rsid w:val="00847245"/>
    <w:rsid w:val="00854774"/>
    <w:rsid w:val="00854782"/>
    <w:rsid w:val="00864747"/>
    <w:rsid w:val="00867B1A"/>
    <w:rsid w:val="00870826"/>
    <w:rsid w:val="0087315B"/>
    <w:rsid w:val="00876AA6"/>
    <w:rsid w:val="008846F1"/>
    <w:rsid w:val="00885921"/>
    <w:rsid w:val="00897679"/>
    <w:rsid w:val="008A3113"/>
    <w:rsid w:val="008A7F54"/>
    <w:rsid w:val="008B361B"/>
    <w:rsid w:val="008B586C"/>
    <w:rsid w:val="008B60BD"/>
    <w:rsid w:val="008B6B2A"/>
    <w:rsid w:val="008C4815"/>
    <w:rsid w:val="008C5EBB"/>
    <w:rsid w:val="008D1040"/>
    <w:rsid w:val="008D6416"/>
    <w:rsid w:val="008D6ED3"/>
    <w:rsid w:val="008D74BC"/>
    <w:rsid w:val="008E0D37"/>
    <w:rsid w:val="008E4CD7"/>
    <w:rsid w:val="008E641D"/>
    <w:rsid w:val="008E68CC"/>
    <w:rsid w:val="008F3465"/>
    <w:rsid w:val="008F720E"/>
    <w:rsid w:val="00902F72"/>
    <w:rsid w:val="0090344A"/>
    <w:rsid w:val="0090754B"/>
    <w:rsid w:val="009158AA"/>
    <w:rsid w:val="00917022"/>
    <w:rsid w:val="00920C84"/>
    <w:rsid w:val="00920F02"/>
    <w:rsid w:val="009217B7"/>
    <w:rsid w:val="00926673"/>
    <w:rsid w:val="009330DA"/>
    <w:rsid w:val="009357E5"/>
    <w:rsid w:val="009402E0"/>
    <w:rsid w:val="0094265B"/>
    <w:rsid w:val="0094581E"/>
    <w:rsid w:val="0094583D"/>
    <w:rsid w:val="00970201"/>
    <w:rsid w:val="00971402"/>
    <w:rsid w:val="00980A15"/>
    <w:rsid w:val="00986146"/>
    <w:rsid w:val="009872FF"/>
    <w:rsid w:val="00992888"/>
    <w:rsid w:val="009947F1"/>
    <w:rsid w:val="00994F03"/>
    <w:rsid w:val="009A01F1"/>
    <w:rsid w:val="009A1D3C"/>
    <w:rsid w:val="009A690B"/>
    <w:rsid w:val="009B0BA2"/>
    <w:rsid w:val="009B1322"/>
    <w:rsid w:val="009B2029"/>
    <w:rsid w:val="009B2ABB"/>
    <w:rsid w:val="009B6859"/>
    <w:rsid w:val="009C2D4D"/>
    <w:rsid w:val="009C313D"/>
    <w:rsid w:val="009C60FB"/>
    <w:rsid w:val="009D3922"/>
    <w:rsid w:val="009D771F"/>
    <w:rsid w:val="009E258D"/>
    <w:rsid w:val="009E4DF6"/>
    <w:rsid w:val="009F1734"/>
    <w:rsid w:val="009F3B03"/>
    <w:rsid w:val="009F3E40"/>
    <w:rsid w:val="009F669E"/>
    <w:rsid w:val="00A0126B"/>
    <w:rsid w:val="00A01720"/>
    <w:rsid w:val="00A02454"/>
    <w:rsid w:val="00A072C1"/>
    <w:rsid w:val="00A134B2"/>
    <w:rsid w:val="00A139E6"/>
    <w:rsid w:val="00A17085"/>
    <w:rsid w:val="00A21509"/>
    <w:rsid w:val="00A250DA"/>
    <w:rsid w:val="00A26E55"/>
    <w:rsid w:val="00A27D3E"/>
    <w:rsid w:val="00A31EA1"/>
    <w:rsid w:val="00A32146"/>
    <w:rsid w:val="00A33C7F"/>
    <w:rsid w:val="00A35768"/>
    <w:rsid w:val="00A446B7"/>
    <w:rsid w:val="00A45698"/>
    <w:rsid w:val="00A47ED7"/>
    <w:rsid w:val="00A541BE"/>
    <w:rsid w:val="00A64F56"/>
    <w:rsid w:val="00A65A24"/>
    <w:rsid w:val="00A70308"/>
    <w:rsid w:val="00A7097C"/>
    <w:rsid w:val="00A712FA"/>
    <w:rsid w:val="00A754AA"/>
    <w:rsid w:val="00A77112"/>
    <w:rsid w:val="00A77A56"/>
    <w:rsid w:val="00A80438"/>
    <w:rsid w:val="00A839BC"/>
    <w:rsid w:val="00A97396"/>
    <w:rsid w:val="00AA4832"/>
    <w:rsid w:val="00AB1FF4"/>
    <w:rsid w:val="00AB38CA"/>
    <w:rsid w:val="00AB511C"/>
    <w:rsid w:val="00AB6456"/>
    <w:rsid w:val="00AC0F50"/>
    <w:rsid w:val="00AC19B8"/>
    <w:rsid w:val="00AC4CEB"/>
    <w:rsid w:val="00AD5A34"/>
    <w:rsid w:val="00AE162B"/>
    <w:rsid w:val="00AE2057"/>
    <w:rsid w:val="00AE5BDE"/>
    <w:rsid w:val="00AF1491"/>
    <w:rsid w:val="00AF59E7"/>
    <w:rsid w:val="00B0603F"/>
    <w:rsid w:val="00B07E11"/>
    <w:rsid w:val="00B13314"/>
    <w:rsid w:val="00B15323"/>
    <w:rsid w:val="00B21A9F"/>
    <w:rsid w:val="00B23269"/>
    <w:rsid w:val="00B25DA6"/>
    <w:rsid w:val="00B27023"/>
    <w:rsid w:val="00B31B5A"/>
    <w:rsid w:val="00B372D9"/>
    <w:rsid w:val="00B37ABA"/>
    <w:rsid w:val="00B37E5E"/>
    <w:rsid w:val="00B40CCB"/>
    <w:rsid w:val="00B42B1C"/>
    <w:rsid w:val="00B519C5"/>
    <w:rsid w:val="00B5660F"/>
    <w:rsid w:val="00B600D9"/>
    <w:rsid w:val="00B64466"/>
    <w:rsid w:val="00B66852"/>
    <w:rsid w:val="00B7072F"/>
    <w:rsid w:val="00B805E4"/>
    <w:rsid w:val="00B80DAE"/>
    <w:rsid w:val="00B833BF"/>
    <w:rsid w:val="00B87DCC"/>
    <w:rsid w:val="00B91017"/>
    <w:rsid w:val="00B92845"/>
    <w:rsid w:val="00B9607F"/>
    <w:rsid w:val="00B9731F"/>
    <w:rsid w:val="00BC079B"/>
    <w:rsid w:val="00BC4B77"/>
    <w:rsid w:val="00BD17AA"/>
    <w:rsid w:val="00BD2401"/>
    <w:rsid w:val="00BD2932"/>
    <w:rsid w:val="00BD5205"/>
    <w:rsid w:val="00BD7552"/>
    <w:rsid w:val="00BD7D76"/>
    <w:rsid w:val="00BE0246"/>
    <w:rsid w:val="00BE423B"/>
    <w:rsid w:val="00BE7030"/>
    <w:rsid w:val="00BE779E"/>
    <w:rsid w:val="00BF007D"/>
    <w:rsid w:val="00BF447E"/>
    <w:rsid w:val="00BF567D"/>
    <w:rsid w:val="00C133E4"/>
    <w:rsid w:val="00C15A80"/>
    <w:rsid w:val="00C17881"/>
    <w:rsid w:val="00C27038"/>
    <w:rsid w:val="00C35459"/>
    <w:rsid w:val="00C3589A"/>
    <w:rsid w:val="00C46B1C"/>
    <w:rsid w:val="00C51B98"/>
    <w:rsid w:val="00C53BC6"/>
    <w:rsid w:val="00C54416"/>
    <w:rsid w:val="00C54DA6"/>
    <w:rsid w:val="00C5624F"/>
    <w:rsid w:val="00C57059"/>
    <w:rsid w:val="00C64FC7"/>
    <w:rsid w:val="00C654B8"/>
    <w:rsid w:val="00C6763D"/>
    <w:rsid w:val="00C70BDA"/>
    <w:rsid w:val="00C723F9"/>
    <w:rsid w:val="00C72BCD"/>
    <w:rsid w:val="00C73A0A"/>
    <w:rsid w:val="00C763D3"/>
    <w:rsid w:val="00C76896"/>
    <w:rsid w:val="00C76904"/>
    <w:rsid w:val="00C814A1"/>
    <w:rsid w:val="00C87C7C"/>
    <w:rsid w:val="00C908AE"/>
    <w:rsid w:val="00C90DAF"/>
    <w:rsid w:val="00C916B4"/>
    <w:rsid w:val="00C91BD8"/>
    <w:rsid w:val="00C9597C"/>
    <w:rsid w:val="00C962F1"/>
    <w:rsid w:val="00C9692E"/>
    <w:rsid w:val="00C9773F"/>
    <w:rsid w:val="00CA13DB"/>
    <w:rsid w:val="00CA7E0E"/>
    <w:rsid w:val="00CC08F1"/>
    <w:rsid w:val="00CC1B54"/>
    <w:rsid w:val="00CC56F4"/>
    <w:rsid w:val="00CC5B2C"/>
    <w:rsid w:val="00CC662B"/>
    <w:rsid w:val="00CD0317"/>
    <w:rsid w:val="00CD0A5D"/>
    <w:rsid w:val="00CD2680"/>
    <w:rsid w:val="00CE02B0"/>
    <w:rsid w:val="00CE0764"/>
    <w:rsid w:val="00CE5886"/>
    <w:rsid w:val="00CE701B"/>
    <w:rsid w:val="00CE7331"/>
    <w:rsid w:val="00CE7473"/>
    <w:rsid w:val="00CF084E"/>
    <w:rsid w:val="00CF1126"/>
    <w:rsid w:val="00CF30AD"/>
    <w:rsid w:val="00CF5D0A"/>
    <w:rsid w:val="00D03781"/>
    <w:rsid w:val="00D10A04"/>
    <w:rsid w:val="00D128D7"/>
    <w:rsid w:val="00D27BC8"/>
    <w:rsid w:val="00D36D16"/>
    <w:rsid w:val="00D440E0"/>
    <w:rsid w:val="00D53DAE"/>
    <w:rsid w:val="00D54667"/>
    <w:rsid w:val="00D5516F"/>
    <w:rsid w:val="00D566D4"/>
    <w:rsid w:val="00D60949"/>
    <w:rsid w:val="00D63306"/>
    <w:rsid w:val="00D64AD2"/>
    <w:rsid w:val="00D72D6A"/>
    <w:rsid w:val="00D74300"/>
    <w:rsid w:val="00D80581"/>
    <w:rsid w:val="00D8082E"/>
    <w:rsid w:val="00D836B2"/>
    <w:rsid w:val="00D84DBD"/>
    <w:rsid w:val="00D8518B"/>
    <w:rsid w:val="00D85E18"/>
    <w:rsid w:val="00D87764"/>
    <w:rsid w:val="00D91B74"/>
    <w:rsid w:val="00D92B64"/>
    <w:rsid w:val="00D93E39"/>
    <w:rsid w:val="00D94F46"/>
    <w:rsid w:val="00D96803"/>
    <w:rsid w:val="00D96B14"/>
    <w:rsid w:val="00D96F38"/>
    <w:rsid w:val="00D97978"/>
    <w:rsid w:val="00DB0890"/>
    <w:rsid w:val="00DB348A"/>
    <w:rsid w:val="00DB548B"/>
    <w:rsid w:val="00DB59BA"/>
    <w:rsid w:val="00DB689E"/>
    <w:rsid w:val="00DC5DFC"/>
    <w:rsid w:val="00DC5EAF"/>
    <w:rsid w:val="00DD203D"/>
    <w:rsid w:val="00DD5E88"/>
    <w:rsid w:val="00DD61AC"/>
    <w:rsid w:val="00DE1F79"/>
    <w:rsid w:val="00E00787"/>
    <w:rsid w:val="00E03B3D"/>
    <w:rsid w:val="00E058A7"/>
    <w:rsid w:val="00E07645"/>
    <w:rsid w:val="00E10C48"/>
    <w:rsid w:val="00E12966"/>
    <w:rsid w:val="00E15721"/>
    <w:rsid w:val="00E1633B"/>
    <w:rsid w:val="00E21C48"/>
    <w:rsid w:val="00E24A39"/>
    <w:rsid w:val="00E31551"/>
    <w:rsid w:val="00E35D00"/>
    <w:rsid w:val="00E3666B"/>
    <w:rsid w:val="00E36952"/>
    <w:rsid w:val="00E36DE6"/>
    <w:rsid w:val="00E41CA0"/>
    <w:rsid w:val="00E4209B"/>
    <w:rsid w:val="00E51B1F"/>
    <w:rsid w:val="00E532C7"/>
    <w:rsid w:val="00E54E86"/>
    <w:rsid w:val="00E55F04"/>
    <w:rsid w:val="00E67B51"/>
    <w:rsid w:val="00E7279F"/>
    <w:rsid w:val="00E736B1"/>
    <w:rsid w:val="00E75332"/>
    <w:rsid w:val="00E77543"/>
    <w:rsid w:val="00E8251D"/>
    <w:rsid w:val="00E86EA2"/>
    <w:rsid w:val="00E87E37"/>
    <w:rsid w:val="00E92017"/>
    <w:rsid w:val="00E92CFD"/>
    <w:rsid w:val="00E9744A"/>
    <w:rsid w:val="00EA26A1"/>
    <w:rsid w:val="00EA5938"/>
    <w:rsid w:val="00EA5A39"/>
    <w:rsid w:val="00EA5BCF"/>
    <w:rsid w:val="00EB1F8D"/>
    <w:rsid w:val="00EB5843"/>
    <w:rsid w:val="00EB6589"/>
    <w:rsid w:val="00EC37D2"/>
    <w:rsid w:val="00EC49C1"/>
    <w:rsid w:val="00EC53F2"/>
    <w:rsid w:val="00EC55C4"/>
    <w:rsid w:val="00ED205C"/>
    <w:rsid w:val="00ED7314"/>
    <w:rsid w:val="00EE481C"/>
    <w:rsid w:val="00EE48F1"/>
    <w:rsid w:val="00EE66E6"/>
    <w:rsid w:val="00EF4AD3"/>
    <w:rsid w:val="00F046EA"/>
    <w:rsid w:val="00F17823"/>
    <w:rsid w:val="00F23074"/>
    <w:rsid w:val="00F23FAD"/>
    <w:rsid w:val="00F31F13"/>
    <w:rsid w:val="00F359B1"/>
    <w:rsid w:val="00F37BB4"/>
    <w:rsid w:val="00F42F9E"/>
    <w:rsid w:val="00F52BA8"/>
    <w:rsid w:val="00F609DC"/>
    <w:rsid w:val="00F64404"/>
    <w:rsid w:val="00F6708D"/>
    <w:rsid w:val="00F67EFB"/>
    <w:rsid w:val="00F70ADA"/>
    <w:rsid w:val="00F74216"/>
    <w:rsid w:val="00F81E68"/>
    <w:rsid w:val="00F841C3"/>
    <w:rsid w:val="00F90EC9"/>
    <w:rsid w:val="00F97EE2"/>
    <w:rsid w:val="00FB5B4E"/>
    <w:rsid w:val="00FB5F3F"/>
    <w:rsid w:val="00FC5E32"/>
    <w:rsid w:val="00FC6BE8"/>
    <w:rsid w:val="00FD4EB6"/>
    <w:rsid w:val="00FD564D"/>
    <w:rsid w:val="00FE16B3"/>
    <w:rsid w:val="00FF5443"/>
    <w:rsid w:val="00FF7A1B"/>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E9B5"/>
  <w15:chartTrackingRefBased/>
  <w15:docId w15:val="{E07EC410-0CE4-4606-AA9F-A6FC6F01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Garamond"/>
    <w:basedOn w:val="Normal"/>
    <w:next w:val="Normal"/>
    <w:link w:val="Heading1Char"/>
    <w:uiPriority w:val="9"/>
    <w:qFormat/>
    <w:rsid w:val="00C9597C"/>
    <w:pPr>
      <w:keepNext/>
      <w:keepLines/>
      <w:spacing w:line="276" w:lineRule="auto"/>
      <w:jc w:val="both"/>
      <w:outlineLvl w:val="0"/>
    </w:pPr>
    <w:rPr>
      <w:rFonts w:ascii="Garamond" w:eastAsia="Times New Roman" w:hAnsi="Garamond"/>
      <w:bCs/>
      <w:szCs w:val="28"/>
    </w:rPr>
  </w:style>
  <w:style w:type="paragraph" w:styleId="Heading2">
    <w:name w:val="heading 2"/>
    <w:basedOn w:val="Normal"/>
    <w:next w:val="Normal"/>
    <w:link w:val="Heading2Char"/>
    <w:unhideWhenUsed/>
    <w:qFormat/>
    <w:rsid w:val="00C9597C"/>
    <w:pPr>
      <w:keepNext/>
      <w:keepLines/>
      <w:spacing w:before="200" w:line="276"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nhideWhenUsed/>
    <w:qFormat/>
    <w:rsid w:val="00C9597C"/>
    <w:pPr>
      <w:keepNext/>
      <w:keepLines/>
      <w:spacing w:before="200"/>
      <w:jc w:val="both"/>
      <w:outlineLvl w:val="2"/>
    </w:pPr>
    <w:rPr>
      <w:rFonts w:ascii="Cambria" w:eastAsia="Times New Roman" w:hAnsi="Cambria"/>
      <w:b/>
      <w:bCs/>
      <w:color w:val="4F81BD"/>
    </w:rPr>
  </w:style>
  <w:style w:type="paragraph" w:styleId="Heading4">
    <w:name w:val="heading 4"/>
    <w:basedOn w:val="Normal"/>
    <w:next w:val="Normal"/>
    <w:link w:val="Heading4Char"/>
    <w:rsid w:val="00C9597C"/>
    <w:pPr>
      <w:keepNext/>
      <w:keepLines/>
      <w:spacing w:before="240" w:after="40"/>
      <w:contextualSpacing/>
      <w:jc w:val="both"/>
      <w:outlineLvl w:val="3"/>
    </w:pPr>
    <w:rPr>
      <w:rFonts w:ascii="Times New Roman" w:eastAsia="Times New Roman" w:hAnsi="Times New Roman"/>
      <w:b/>
      <w:color w:val="000000"/>
      <w:lang w:val="en-IN" w:eastAsia="en-IN"/>
    </w:rPr>
  </w:style>
  <w:style w:type="paragraph" w:styleId="Heading5">
    <w:name w:val="heading 5"/>
    <w:basedOn w:val="Normal"/>
    <w:next w:val="Normal"/>
    <w:link w:val="Heading5Char"/>
    <w:qFormat/>
    <w:rsid w:val="00C9597C"/>
    <w:pPr>
      <w:spacing w:before="240" w:after="60"/>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rsid w:val="00C9597C"/>
    <w:pPr>
      <w:keepNext/>
      <w:keepLines/>
      <w:spacing w:before="200" w:after="40"/>
      <w:contextualSpacing/>
      <w:jc w:val="both"/>
      <w:outlineLvl w:val="5"/>
    </w:pPr>
    <w:rPr>
      <w:rFonts w:ascii="Times New Roman" w:eastAsia="Times New Roman" w:hAnsi="Times New Roman"/>
      <w:b/>
      <w:color w:val="000000"/>
      <w:sz w:val="20"/>
      <w:szCs w:val="20"/>
      <w:lang w:val="en-IN" w:eastAsia="en-IN"/>
    </w:rPr>
  </w:style>
  <w:style w:type="paragraph" w:styleId="Heading7">
    <w:name w:val="heading 7"/>
    <w:basedOn w:val="Normal"/>
    <w:next w:val="Normal"/>
    <w:link w:val="Heading7Char"/>
    <w:qFormat/>
    <w:rsid w:val="00C9597C"/>
    <w:pPr>
      <w:spacing w:before="240" w:after="60"/>
      <w:outlineLvl w:val="6"/>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aramond Char"/>
    <w:basedOn w:val="DefaultParagraphFont"/>
    <w:link w:val="Heading1"/>
    <w:uiPriority w:val="9"/>
    <w:rsid w:val="00C9597C"/>
    <w:rPr>
      <w:rFonts w:ascii="Garamond" w:eastAsia="Times New Roman" w:hAnsi="Garamond"/>
      <w:bCs/>
      <w:szCs w:val="28"/>
    </w:rPr>
  </w:style>
  <w:style w:type="character" w:customStyle="1" w:styleId="Heading2Char">
    <w:name w:val="Heading 2 Char"/>
    <w:basedOn w:val="DefaultParagraphFont"/>
    <w:link w:val="Heading2"/>
    <w:rsid w:val="00C9597C"/>
    <w:rPr>
      <w:rFonts w:ascii="Cambria" w:eastAsia="Times New Roman" w:hAnsi="Cambria"/>
      <w:b/>
      <w:bCs/>
      <w:color w:val="4F81BD"/>
      <w:sz w:val="26"/>
      <w:szCs w:val="26"/>
      <w:lang w:val="en-US"/>
    </w:rPr>
  </w:style>
  <w:style w:type="character" w:customStyle="1" w:styleId="Heading3Char">
    <w:name w:val="Heading 3 Char"/>
    <w:basedOn w:val="DefaultParagraphFont"/>
    <w:link w:val="Heading3"/>
    <w:rsid w:val="00C9597C"/>
    <w:rPr>
      <w:rFonts w:ascii="Cambria" w:eastAsia="Times New Roman" w:hAnsi="Cambria"/>
      <w:b/>
      <w:bCs/>
      <w:color w:val="4F81BD"/>
    </w:rPr>
  </w:style>
  <w:style w:type="character" w:customStyle="1" w:styleId="Heading4Char">
    <w:name w:val="Heading 4 Char"/>
    <w:basedOn w:val="DefaultParagraphFont"/>
    <w:link w:val="Heading4"/>
    <w:rsid w:val="00C9597C"/>
    <w:rPr>
      <w:rFonts w:ascii="Times New Roman" w:eastAsia="Times New Roman" w:hAnsi="Times New Roman"/>
      <w:b/>
      <w:color w:val="000000"/>
      <w:lang w:val="en-IN" w:eastAsia="en-IN"/>
    </w:rPr>
  </w:style>
  <w:style w:type="character" w:customStyle="1" w:styleId="Heading5Char">
    <w:name w:val="Heading 5 Char"/>
    <w:basedOn w:val="DefaultParagraphFont"/>
    <w:link w:val="Heading5"/>
    <w:rsid w:val="00C9597C"/>
    <w:rPr>
      <w:rFonts w:ascii="Times New Roman" w:eastAsia="Times New Roman" w:hAnsi="Times New Roman"/>
      <w:b/>
      <w:bCs/>
      <w:i/>
      <w:iCs/>
      <w:sz w:val="26"/>
      <w:szCs w:val="26"/>
      <w:lang w:val="en-US"/>
    </w:rPr>
  </w:style>
  <w:style w:type="character" w:customStyle="1" w:styleId="Heading6Char">
    <w:name w:val="Heading 6 Char"/>
    <w:basedOn w:val="DefaultParagraphFont"/>
    <w:link w:val="Heading6"/>
    <w:rsid w:val="00C9597C"/>
    <w:rPr>
      <w:rFonts w:ascii="Times New Roman" w:eastAsia="Times New Roman" w:hAnsi="Times New Roman"/>
      <w:b/>
      <w:color w:val="000000"/>
      <w:sz w:val="20"/>
      <w:szCs w:val="20"/>
      <w:lang w:val="en-IN" w:eastAsia="en-IN"/>
    </w:rPr>
  </w:style>
  <w:style w:type="character" w:customStyle="1" w:styleId="Heading7Char">
    <w:name w:val="Heading 7 Char"/>
    <w:basedOn w:val="DefaultParagraphFont"/>
    <w:link w:val="Heading7"/>
    <w:rsid w:val="00C9597C"/>
    <w:rPr>
      <w:rFonts w:ascii="Times New Roman" w:eastAsia="Times New Roman" w:hAnsi="Times New Roman"/>
      <w:lang w:val="en-US"/>
    </w:rPr>
  </w:style>
  <w:style w:type="paragraph" w:styleId="ListParagraph">
    <w:name w:val="List Paragraph"/>
    <w:basedOn w:val="Normal"/>
    <w:link w:val="ListParagraphChar"/>
    <w:uiPriority w:val="34"/>
    <w:qFormat/>
    <w:rsid w:val="00C9597C"/>
    <w:pPr>
      <w:spacing w:after="200" w:line="276" w:lineRule="auto"/>
      <w:ind w:left="720"/>
      <w:contextualSpacing/>
    </w:pPr>
    <w:rPr>
      <w:rFonts w:ascii="Calibri" w:eastAsia="Calibri" w:hAnsi="Calibri"/>
      <w:sz w:val="20"/>
      <w:szCs w:val="20"/>
      <w:lang w:val="en-US"/>
    </w:rPr>
  </w:style>
  <w:style w:type="paragraph" w:customStyle="1" w:styleId="Default">
    <w:name w:val="Default"/>
    <w:rsid w:val="00C9597C"/>
    <w:pPr>
      <w:autoSpaceDE w:val="0"/>
      <w:autoSpaceDN w:val="0"/>
      <w:adjustRightInd w:val="0"/>
    </w:pPr>
    <w:rPr>
      <w:rFonts w:ascii="Arial" w:eastAsia="Calibri" w:hAnsi="Arial" w:cs="Arial"/>
      <w:color w:val="000000"/>
      <w:lang w:val="en-US"/>
    </w:rPr>
  </w:style>
  <w:style w:type="paragraph" w:styleId="BalloonText">
    <w:name w:val="Balloon Text"/>
    <w:basedOn w:val="Normal"/>
    <w:link w:val="BalloonTextChar"/>
    <w:uiPriority w:val="99"/>
    <w:semiHidden/>
    <w:unhideWhenUsed/>
    <w:rsid w:val="00C9597C"/>
    <w:rPr>
      <w:rFonts w:ascii="Tahoma" w:eastAsia="Calibri" w:hAnsi="Tahoma"/>
      <w:sz w:val="16"/>
      <w:szCs w:val="16"/>
      <w:lang w:val="en-US"/>
    </w:rPr>
  </w:style>
  <w:style w:type="character" w:customStyle="1" w:styleId="BalloonTextChar">
    <w:name w:val="Balloon Text Char"/>
    <w:basedOn w:val="DefaultParagraphFont"/>
    <w:link w:val="BalloonText"/>
    <w:uiPriority w:val="99"/>
    <w:semiHidden/>
    <w:rsid w:val="00C9597C"/>
    <w:rPr>
      <w:rFonts w:ascii="Tahoma" w:eastAsia="Calibri" w:hAnsi="Tahoma"/>
      <w:sz w:val="16"/>
      <w:szCs w:val="16"/>
      <w:lang w:val="en-US"/>
    </w:rPr>
  </w:style>
  <w:style w:type="paragraph" w:styleId="Title">
    <w:name w:val="Title"/>
    <w:basedOn w:val="Normal"/>
    <w:link w:val="TitleChar"/>
    <w:qFormat/>
    <w:rsid w:val="00C9597C"/>
    <w:pPr>
      <w:jc w:val="center"/>
    </w:pPr>
    <w:rPr>
      <w:rFonts w:ascii="Times New Roman" w:eastAsia="Times New Roman" w:hAnsi="Times New Roman"/>
      <w:b/>
      <w:u w:val="single"/>
      <w:lang w:val="en-US"/>
    </w:rPr>
  </w:style>
  <w:style w:type="character" w:customStyle="1" w:styleId="TitleChar">
    <w:name w:val="Title Char"/>
    <w:basedOn w:val="DefaultParagraphFont"/>
    <w:link w:val="Title"/>
    <w:rsid w:val="00C9597C"/>
    <w:rPr>
      <w:rFonts w:ascii="Times New Roman" w:eastAsia="Times New Roman" w:hAnsi="Times New Roman"/>
      <w:b/>
      <w:u w:val="single"/>
      <w:lang w:val="en-US"/>
    </w:rPr>
  </w:style>
  <w:style w:type="paragraph" w:styleId="Header">
    <w:name w:val="header"/>
    <w:basedOn w:val="Normal"/>
    <w:link w:val="HeaderChar"/>
    <w:uiPriority w:val="99"/>
    <w:rsid w:val="00C9597C"/>
    <w:pPr>
      <w:tabs>
        <w:tab w:val="center" w:pos="4320"/>
        <w:tab w:val="right" w:pos="8640"/>
      </w:tabs>
    </w:pPr>
    <w:rPr>
      <w:rFonts w:ascii="Times New Roman" w:eastAsia="Times New Roman" w:hAnsi="Times New Roman"/>
      <w:szCs w:val="20"/>
      <w:lang w:val="en-US"/>
    </w:rPr>
  </w:style>
  <w:style w:type="character" w:customStyle="1" w:styleId="HeaderChar">
    <w:name w:val="Header Char"/>
    <w:basedOn w:val="DefaultParagraphFont"/>
    <w:link w:val="Header"/>
    <w:uiPriority w:val="99"/>
    <w:rsid w:val="00C9597C"/>
    <w:rPr>
      <w:rFonts w:ascii="Times New Roman" w:eastAsia="Times New Roman" w:hAnsi="Times New Roman"/>
      <w:szCs w:val="20"/>
      <w:lang w:val="en-US"/>
    </w:rPr>
  </w:style>
  <w:style w:type="paragraph" w:styleId="NoSpacing">
    <w:name w:val="No Spacing"/>
    <w:link w:val="NoSpacingChar"/>
    <w:uiPriority w:val="1"/>
    <w:qFormat/>
    <w:rsid w:val="00C9597C"/>
    <w:rPr>
      <w:rFonts w:ascii="Calibri" w:eastAsia="Calibri" w:hAnsi="Calibri"/>
      <w:sz w:val="22"/>
      <w:szCs w:val="22"/>
      <w:lang w:val="en-US"/>
    </w:rPr>
  </w:style>
  <w:style w:type="character" w:customStyle="1" w:styleId="NoSpacingChar">
    <w:name w:val="No Spacing Char"/>
    <w:link w:val="NoSpacing"/>
    <w:uiPriority w:val="1"/>
    <w:rsid w:val="00C9597C"/>
    <w:rPr>
      <w:rFonts w:ascii="Calibri" w:eastAsia="Calibri" w:hAnsi="Calibri"/>
      <w:sz w:val="22"/>
      <w:szCs w:val="22"/>
      <w:lang w:val="en-US"/>
    </w:rPr>
  </w:style>
  <w:style w:type="character" w:customStyle="1" w:styleId="apple-style-span">
    <w:name w:val="apple-style-span"/>
    <w:basedOn w:val="DefaultParagraphFont"/>
    <w:rsid w:val="00C9597C"/>
  </w:style>
  <w:style w:type="character" w:customStyle="1" w:styleId="apple-converted-space">
    <w:name w:val="apple-converted-space"/>
    <w:basedOn w:val="DefaultParagraphFont"/>
    <w:rsid w:val="00C9597C"/>
  </w:style>
  <w:style w:type="character" w:styleId="Strong">
    <w:name w:val="Strong"/>
    <w:uiPriority w:val="22"/>
    <w:qFormat/>
    <w:rsid w:val="00C9597C"/>
    <w:rPr>
      <w:b/>
      <w:bCs/>
    </w:rPr>
  </w:style>
  <w:style w:type="paragraph" w:styleId="Caption">
    <w:name w:val="caption"/>
    <w:basedOn w:val="Normal"/>
    <w:next w:val="Normal"/>
    <w:uiPriority w:val="35"/>
    <w:unhideWhenUsed/>
    <w:qFormat/>
    <w:rsid w:val="00C9597C"/>
    <w:pPr>
      <w:spacing w:after="200"/>
    </w:pPr>
    <w:rPr>
      <w:rFonts w:ascii="Calibri" w:eastAsia="Calibri" w:hAnsi="Calibri"/>
      <w:b/>
      <w:bCs/>
      <w:color w:val="4F81BD"/>
      <w:sz w:val="18"/>
      <w:szCs w:val="18"/>
      <w:lang w:val="en-US"/>
    </w:rPr>
  </w:style>
  <w:style w:type="paragraph" w:customStyle="1" w:styleId="CM10">
    <w:name w:val="CM10"/>
    <w:basedOn w:val="Default"/>
    <w:next w:val="Default"/>
    <w:uiPriority w:val="99"/>
    <w:rsid w:val="00C9597C"/>
    <w:pPr>
      <w:widowControl w:val="0"/>
      <w:spacing w:after="268"/>
    </w:pPr>
    <w:rPr>
      <w:rFonts w:ascii="AWCDV-Prakash" w:eastAsia="Times New Roman" w:hAnsi="AWCDV-Prakash" w:cs="Times New Roman"/>
      <w:color w:val="auto"/>
    </w:rPr>
  </w:style>
  <w:style w:type="paragraph" w:customStyle="1" w:styleId="CM4">
    <w:name w:val="CM4"/>
    <w:basedOn w:val="Default"/>
    <w:next w:val="Default"/>
    <w:uiPriority w:val="99"/>
    <w:rsid w:val="00C9597C"/>
    <w:pPr>
      <w:widowControl w:val="0"/>
      <w:spacing w:line="391" w:lineRule="atLeast"/>
    </w:pPr>
    <w:rPr>
      <w:rFonts w:ascii="AWCDV-Prakash" w:eastAsia="Times New Roman" w:hAnsi="AWCDV-Prakash" w:cs="Times New Roman"/>
      <w:color w:val="auto"/>
    </w:rPr>
  </w:style>
  <w:style w:type="paragraph" w:customStyle="1" w:styleId="CM14">
    <w:name w:val="CM14"/>
    <w:basedOn w:val="Default"/>
    <w:next w:val="Default"/>
    <w:uiPriority w:val="99"/>
    <w:rsid w:val="00C9597C"/>
    <w:pPr>
      <w:widowControl w:val="0"/>
      <w:spacing w:after="128"/>
    </w:pPr>
    <w:rPr>
      <w:rFonts w:ascii="AWCDV-Prakash" w:eastAsia="Times New Roman" w:hAnsi="AWCDV-Prakash" w:cs="Times New Roman"/>
      <w:color w:val="auto"/>
    </w:rPr>
  </w:style>
  <w:style w:type="paragraph" w:customStyle="1" w:styleId="CM6">
    <w:name w:val="CM6"/>
    <w:basedOn w:val="Default"/>
    <w:next w:val="Default"/>
    <w:uiPriority w:val="99"/>
    <w:rsid w:val="00C9597C"/>
    <w:pPr>
      <w:widowControl w:val="0"/>
      <w:spacing w:line="391" w:lineRule="atLeast"/>
    </w:pPr>
    <w:rPr>
      <w:rFonts w:ascii="AWCDV-Prakash" w:eastAsia="Times New Roman" w:hAnsi="AWCDV-Prakash" w:cs="Times New Roman"/>
      <w:color w:val="auto"/>
    </w:rPr>
  </w:style>
  <w:style w:type="paragraph" w:customStyle="1" w:styleId="CM8">
    <w:name w:val="CM8"/>
    <w:basedOn w:val="Default"/>
    <w:next w:val="Default"/>
    <w:uiPriority w:val="99"/>
    <w:rsid w:val="00C9597C"/>
    <w:pPr>
      <w:widowControl w:val="0"/>
      <w:spacing w:line="391" w:lineRule="atLeast"/>
    </w:pPr>
    <w:rPr>
      <w:rFonts w:ascii="AWCDV-Prakash" w:eastAsia="Times New Roman" w:hAnsi="AWCDV-Prakash" w:cs="Times New Roman"/>
      <w:color w:val="auto"/>
    </w:rPr>
  </w:style>
  <w:style w:type="paragraph" w:styleId="NormalWeb">
    <w:name w:val="Normal (Web)"/>
    <w:basedOn w:val="Normal"/>
    <w:uiPriority w:val="99"/>
    <w:rsid w:val="00C9597C"/>
    <w:pPr>
      <w:spacing w:before="100" w:beforeAutospacing="1" w:after="100" w:afterAutospacing="1"/>
    </w:pPr>
    <w:rPr>
      <w:rFonts w:ascii="Times New Roman" w:eastAsia="Times New Roman" w:hAnsi="Times New Roman"/>
      <w:lang w:val="en-US"/>
    </w:rPr>
  </w:style>
  <w:style w:type="character" w:styleId="Emphasis">
    <w:name w:val="Emphasis"/>
    <w:uiPriority w:val="20"/>
    <w:qFormat/>
    <w:rsid w:val="00C9597C"/>
    <w:rPr>
      <w:i/>
      <w:iCs/>
    </w:rPr>
  </w:style>
  <w:style w:type="character" w:styleId="Hyperlink">
    <w:name w:val="Hyperlink"/>
    <w:uiPriority w:val="99"/>
    <w:unhideWhenUsed/>
    <w:rsid w:val="00C9597C"/>
    <w:rPr>
      <w:color w:val="0000FF"/>
      <w:u w:val="single"/>
    </w:rPr>
  </w:style>
  <w:style w:type="paragraph" w:styleId="Footer">
    <w:name w:val="footer"/>
    <w:basedOn w:val="Normal"/>
    <w:link w:val="FooterChar"/>
    <w:uiPriority w:val="99"/>
    <w:unhideWhenUsed/>
    <w:rsid w:val="00C9597C"/>
    <w:pPr>
      <w:tabs>
        <w:tab w:val="center" w:pos="4680"/>
        <w:tab w:val="right" w:pos="9360"/>
      </w:tabs>
    </w:pPr>
    <w:rPr>
      <w:rFonts w:ascii="Calibri" w:eastAsia="Calibri" w:hAnsi="Calibri"/>
      <w:sz w:val="20"/>
      <w:szCs w:val="20"/>
      <w:lang w:val="en-US"/>
    </w:rPr>
  </w:style>
  <w:style w:type="character" w:customStyle="1" w:styleId="FooterChar">
    <w:name w:val="Footer Char"/>
    <w:basedOn w:val="DefaultParagraphFont"/>
    <w:link w:val="Footer"/>
    <w:uiPriority w:val="99"/>
    <w:rsid w:val="00C9597C"/>
    <w:rPr>
      <w:rFonts w:ascii="Calibri" w:eastAsia="Calibri" w:hAnsi="Calibri"/>
      <w:sz w:val="20"/>
      <w:szCs w:val="20"/>
      <w:lang w:val="en-US"/>
    </w:rPr>
  </w:style>
  <w:style w:type="table" w:styleId="TableGrid">
    <w:name w:val="Table Grid"/>
    <w:basedOn w:val="TableNormal"/>
    <w:uiPriority w:val="5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C9597C"/>
    <w:rPr>
      <w:rFonts w:ascii="Calibri" w:eastAsia="Calibri" w:hAnsi="Calibri"/>
      <w:sz w:val="20"/>
      <w:szCs w:val="20"/>
      <w:lang w:val="en-US"/>
    </w:rPr>
  </w:style>
  <w:style w:type="character" w:customStyle="1" w:styleId="EndnoteTextChar">
    <w:name w:val="Endnote Text Char"/>
    <w:basedOn w:val="DefaultParagraphFont"/>
    <w:link w:val="EndnoteText"/>
    <w:uiPriority w:val="99"/>
    <w:semiHidden/>
    <w:rsid w:val="00C9597C"/>
    <w:rPr>
      <w:rFonts w:ascii="Calibri" w:eastAsia="Calibri" w:hAnsi="Calibri"/>
      <w:sz w:val="20"/>
      <w:szCs w:val="20"/>
      <w:lang w:val="en-US"/>
    </w:rPr>
  </w:style>
  <w:style w:type="character" w:styleId="EndnoteReference">
    <w:name w:val="endnote reference"/>
    <w:uiPriority w:val="99"/>
    <w:semiHidden/>
    <w:unhideWhenUsed/>
    <w:rsid w:val="00C9597C"/>
    <w:rPr>
      <w:vertAlign w:val="superscript"/>
    </w:rPr>
  </w:style>
  <w:style w:type="paragraph" w:styleId="FootnoteText">
    <w:name w:val="footnote text"/>
    <w:basedOn w:val="Normal"/>
    <w:link w:val="FootnoteTextChar"/>
    <w:uiPriority w:val="99"/>
    <w:unhideWhenUsed/>
    <w:rsid w:val="00C9597C"/>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C9597C"/>
    <w:rPr>
      <w:rFonts w:ascii="Calibri" w:eastAsia="Calibri" w:hAnsi="Calibri"/>
      <w:sz w:val="20"/>
      <w:szCs w:val="20"/>
      <w:lang w:val="en-US"/>
    </w:rPr>
  </w:style>
  <w:style w:type="character" w:styleId="FootnoteReference">
    <w:name w:val="footnote reference"/>
    <w:uiPriority w:val="99"/>
    <w:semiHidden/>
    <w:unhideWhenUsed/>
    <w:rsid w:val="00C9597C"/>
    <w:rPr>
      <w:vertAlign w:val="superscript"/>
    </w:rPr>
  </w:style>
  <w:style w:type="character" w:customStyle="1" w:styleId="spelle">
    <w:name w:val="spelle"/>
    <w:basedOn w:val="DefaultParagraphFont"/>
    <w:rsid w:val="00C9597C"/>
  </w:style>
  <w:style w:type="character" w:customStyle="1" w:styleId="grame">
    <w:name w:val="grame"/>
    <w:basedOn w:val="DefaultParagraphFont"/>
    <w:rsid w:val="00C9597C"/>
  </w:style>
  <w:style w:type="paragraph" w:styleId="BodyTextIndent">
    <w:name w:val="Body Text Indent"/>
    <w:basedOn w:val="Normal"/>
    <w:link w:val="BodyTextIndentChar"/>
    <w:uiPriority w:val="99"/>
    <w:semiHidden/>
    <w:unhideWhenUsed/>
    <w:rsid w:val="00C9597C"/>
    <w:pPr>
      <w:spacing w:before="100" w:beforeAutospacing="1" w:after="100" w:afterAutospacing="1"/>
    </w:pPr>
    <w:rPr>
      <w:rFonts w:ascii="Times New Roman" w:eastAsia="Times New Roman" w:hAnsi="Times New Roman"/>
      <w:lang w:val="en-US"/>
    </w:rPr>
  </w:style>
  <w:style w:type="character" w:customStyle="1" w:styleId="BodyTextIndentChar">
    <w:name w:val="Body Text Indent Char"/>
    <w:basedOn w:val="DefaultParagraphFont"/>
    <w:link w:val="BodyTextIndent"/>
    <w:uiPriority w:val="99"/>
    <w:semiHidden/>
    <w:rsid w:val="00C9597C"/>
    <w:rPr>
      <w:rFonts w:ascii="Times New Roman" w:eastAsia="Times New Roman" w:hAnsi="Times New Roman"/>
      <w:lang w:val="en-US"/>
    </w:rPr>
  </w:style>
  <w:style w:type="paragraph" w:customStyle="1" w:styleId="listparagraph0">
    <w:name w:val="listparagraph"/>
    <w:basedOn w:val="Normal"/>
    <w:rsid w:val="00C9597C"/>
    <w:pPr>
      <w:spacing w:before="100" w:beforeAutospacing="1" w:after="100" w:afterAutospacing="1"/>
    </w:pPr>
    <w:rPr>
      <w:rFonts w:ascii="Times New Roman" w:eastAsia="Times New Roman" w:hAnsi="Times New Roman"/>
      <w:lang w:val="en-US"/>
    </w:rPr>
  </w:style>
  <w:style w:type="paragraph" w:customStyle="1" w:styleId="listparagraphcxspmiddle">
    <w:name w:val="listparagraphcxspmiddle"/>
    <w:basedOn w:val="Normal"/>
    <w:rsid w:val="00C9597C"/>
    <w:pPr>
      <w:spacing w:before="100" w:beforeAutospacing="1" w:after="100" w:afterAutospacing="1"/>
    </w:pPr>
    <w:rPr>
      <w:rFonts w:ascii="Times New Roman" w:eastAsia="Times New Roman" w:hAnsi="Times New Roman"/>
      <w:lang w:val="en-US"/>
    </w:rPr>
  </w:style>
  <w:style w:type="paragraph" w:customStyle="1" w:styleId="listparagraphcxsplast">
    <w:name w:val="listparagraphcxsplast"/>
    <w:basedOn w:val="Normal"/>
    <w:rsid w:val="00C9597C"/>
    <w:pPr>
      <w:spacing w:before="100" w:beforeAutospacing="1" w:after="100" w:afterAutospacing="1"/>
    </w:pPr>
    <w:rPr>
      <w:rFonts w:ascii="Times New Roman" w:eastAsia="Times New Roman" w:hAnsi="Times New Roman"/>
      <w:lang w:val="en-US"/>
    </w:rPr>
  </w:style>
  <w:style w:type="paragraph" w:customStyle="1" w:styleId="style3">
    <w:name w:val="style3"/>
    <w:basedOn w:val="Normal"/>
    <w:rsid w:val="00C9597C"/>
    <w:pPr>
      <w:spacing w:before="100" w:beforeAutospacing="1" w:after="100" w:afterAutospacing="1"/>
    </w:pPr>
    <w:rPr>
      <w:rFonts w:ascii="Arial" w:eastAsia="Times New Roman" w:hAnsi="Arial" w:cs="Arial"/>
      <w:sz w:val="21"/>
      <w:szCs w:val="21"/>
      <w:lang w:val="en-US"/>
    </w:rPr>
  </w:style>
  <w:style w:type="paragraph" w:customStyle="1" w:styleId="style15">
    <w:name w:val="style15"/>
    <w:basedOn w:val="Normal"/>
    <w:rsid w:val="00C9597C"/>
    <w:pPr>
      <w:spacing w:before="100" w:beforeAutospacing="1" w:after="100" w:afterAutospacing="1"/>
    </w:pPr>
    <w:rPr>
      <w:rFonts w:ascii="Arial" w:eastAsia="Times New Roman" w:hAnsi="Arial" w:cs="Arial"/>
      <w:sz w:val="23"/>
      <w:szCs w:val="23"/>
      <w:lang w:val="en-US"/>
    </w:rPr>
  </w:style>
  <w:style w:type="character" w:styleId="FollowedHyperlink">
    <w:name w:val="FollowedHyperlink"/>
    <w:uiPriority w:val="99"/>
    <w:semiHidden/>
    <w:unhideWhenUsed/>
    <w:rsid w:val="00C9597C"/>
    <w:rPr>
      <w:color w:val="800080"/>
      <w:u w:val="single"/>
    </w:rPr>
  </w:style>
  <w:style w:type="character" w:customStyle="1" w:styleId="style151">
    <w:name w:val="style151"/>
    <w:rsid w:val="00C9597C"/>
    <w:rPr>
      <w:rFonts w:ascii="Arial" w:hAnsi="Arial" w:cs="Arial" w:hint="default"/>
      <w:sz w:val="23"/>
      <w:szCs w:val="23"/>
    </w:rPr>
  </w:style>
  <w:style w:type="paragraph" w:customStyle="1" w:styleId="style17">
    <w:name w:val="style17"/>
    <w:basedOn w:val="Normal"/>
    <w:rsid w:val="00C9597C"/>
    <w:pPr>
      <w:spacing w:before="100" w:beforeAutospacing="1" w:after="100" w:afterAutospacing="1"/>
    </w:pPr>
    <w:rPr>
      <w:rFonts w:ascii="Arial" w:eastAsia="Times New Roman" w:hAnsi="Arial" w:cs="Arial"/>
      <w:sz w:val="27"/>
      <w:szCs w:val="27"/>
      <w:lang w:val="en-US"/>
    </w:rPr>
  </w:style>
  <w:style w:type="character" w:customStyle="1" w:styleId="style171">
    <w:name w:val="style171"/>
    <w:rsid w:val="00C9597C"/>
    <w:rPr>
      <w:rFonts w:ascii="Arial" w:hAnsi="Arial" w:cs="Arial" w:hint="default"/>
      <w:sz w:val="27"/>
      <w:szCs w:val="27"/>
    </w:rPr>
  </w:style>
  <w:style w:type="character" w:customStyle="1" w:styleId="style141">
    <w:name w:val="style141"/>
    <w:rsid w:val="00C9597C"/>
    <w:rPr>
      <w:rFonts w:ascii="Arial" w:hAnsi="Arial" w:cs="Arial" w:hint="default"/>
      <w:sz w:val="27"/>
      <w:szCs w:val="27"/>
    </w:rPr>
  </w:style>
  <w:style w:type="character" w:customStyle="1" w:styleId="style161">
    <w:name w:val="style161"/>
    <w:rsid w:val="00C9597C"/>
    <w:rPr>
      <w:color w:val="000000"/>
    </w:rPr>
  </w:style>
  <w:style w:type="paragraph" w:customStyle="1" w:styleId="style22">
    <w:name w:val="style22"/>
    <w:basedOn w:val="Normal"/>
    <w:rsid w:val="00C9597C"/>
    <w:pPr>
      <w:spacing w:before="100" w:beforeAutospacing="1" w:after="100" w:afterAutospacing="1"/>
    </w:pPr>
    <w:rPr>
      <w:rFonts w:ascii="Arial" w:eastAsia="Times New Roman" w:hAnsi="Arial" w:cs="Arial"/>
      <w:sz w:val="22"/>
      <w:szCs w:val="22"/>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C9597C"/>
    <w:pPr>
      <w:spacing w:after="160" w:line="240" w:lineRule="exact"/>
    </w:pPr>
    <w:rPr>
      <w:rFonts w:ascii="Verdana" w:eastAsia="Times New Roman" w:hAnsi="Verdana"/>
      <w:sz w:val="20"/>
      <w:szCs w:val="20"/>
      <w:lang w:val="en-US"/>
    </w:rPr>
  </w:style>
  <w:style w:type="character" w:customStyle="1" w:styleId="style221">
    <w:name w:val="style221"/>
    <w:rsid w:val="00C9597C"/>
    <w:rPr>
      <w:rFonts w:ascii="Arial" w:hAnsi="Arial" w:cs="Arial" w:hint="default"/>
      <w:sz w:val="22"/>
      <w:szCs w:val="22"/>
    </w:rPr>
  </w:style>
  <w:style w:type="paragraph" w:customStyle="1" w:styleId="style32">
    <w:name w:val="style32"/>
    <w:basedOn w:val="Normal"/>
    <w:rsid w:val="00C9597C"/>
    <w:pPr>
      <w:spacing w:before="100" w:beforeAutospacing="1" w:after="100" w:afterAutospacing="1"/>
    </w:pPr>
    <w:rPr>
      <w:rFonts w:ascii="Arial" w:eastAsia="Times New Roman" w:hAnsi="Arial" w:cs="Arial"/>
      <w:lang w:val="en-US"/>
    </w:rPr>
  </w:style>
  <w:style w:type="character" w:customStyle="1" w:styleId="style311">
    <w:name w:val="style311"/>
    <w:rsid w:val="00C9597C"/>
    <w:rPr>
      <w:sz w:val="24"/>
      <w:szCs w:val="24"/>
    </w:rPr>
  </w:style>
  <w:style w:type="character" w:customStyle="1" w:styleId="style331">
    <w:name w:val="style331"/>
    <w:rsid w:val="00C9597C"/>
    <w:rPr>
      <w:rFonts w:ascii="Calibri" w:hAnsi="Calibri" w:cs="Calibri" w:hint="default"/>
      <w:sz w:val="27"/>
      <w:szCs w:val="27"/>
    </w:rPr>
  </w:style>
  <w:style w:type="character" w:customStyle="1" w:styleId="style31">
    <w:name w:val="style31"/>
    <w:basedOn w:val="DefaultParagraphFont"/>
    <w:rsid w:val="00C9597C"/>
  </w:style>
  <w:style w:type="character" w:customStyle="1" w:styleId="style37">
    <w:name w:val="style37"/>
    <w:basedOn w:val="DefaultParagraphFont"/>
    <w:rsid w:val="00C9597C"/>
  </w:style>
  <w:style w:type="table" w:styleId="MediumGrid3-Accent1">
    <w:name w:val="Medium Grid 3 Accent 1"/>
    <w:basedOn w:val="TableNormal"/>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C9597C"/>
    <w:pPr>
      <w:spacing w:before="100" w:beforeAutospacing="1" w:after="100" w:afterAutospacing="1"/>
      <w:jc w:val="both"/>
    </w:pPr>
    <w:rPr>
      <w:rFonts w:ascii="Times New Roman" w:eastAsia="Times New Roman" w:hAnsi="Times New Roman"/>
      <w:lang w:eastAsia="en-GB"/>
    </w:rPr>
  </w:style>
  <w:style w:type="paragraph" w:customStyle="1" w:styleId="default0">
    <w:name w:val="default"/>
    <w:basedOn w:val="Normal"/>
    <w:rsid w:val="00C9597C"/>
    <w:pPr>
      <w:spacing w:before="100" w:beforeAutospacing="1" w:after="100" w:afterAutospacing="1"/>
    </w:pPr>
    <w:rPr>
      <w:rFonts w:ascii="Times New Roman" w:eastAsia="Times New Roman" w:hAnsi="Times New Roman"/>
      <w:lang w:val="en-US"/>
    </w:rPr>
  </w:style>
  <w:style w:type="paragraph" w:customStyle="1" w:styleId="style34">
    <w:name w:val="style34"/>
    <w:basedOn w:val="Normal"/>
    <w:uiPriority w:val="99"/>
    <w:rsid w:val="00C9597C"/>
    <w:pPr>
      <w:spacing w:before="100" w:beforeAutospacing="1" w:after="100" w:afterAutospacing="1"/>
    </w:pPr>
    <w:rPr>
      <w:rFonts w:ascii="Times New Roman" w:eastAsia="Calibri" w:hAnsi="Times New Roman"/>
      <w:lang w:val="en-US"/>
    </w:rPr>
  </w:style>
  <w:style w:type="paragraph" w:customStyle="1" w:styleId="style361">
    <w:name w:val="style361"/>
    <w:basedOn w:val="Normal"/>
    <w:uiPriority w:val="99"/>
    <w:rsid w:val="00C9597C"/>
    <w:pPr>
      <w:spacing w:before="100" w:beforeAutospacing="1" w:after="100" w:afterAutospacing="1"/>
    </w:pPr>
    <w:rPr>
      <w:rFonts w:ascii="Times New Roman" w:eastAsia="Calibri" w:hAnsi="Times New Roman"/>
      <w:lang w:val="en-US"/>
    </w:rPr>
  </w:style>
  <w:style w:type="character" w:customStyle="1" w:styleId="style36">
    <w:name w:val="style36"/>
    <w:basedOn w:val="DefaultParagraphFont"/>
    <w:rsid w:val="00C9597C"/>
  </w:style>
  <w:style w:type="character" w:styleId="CommentReference">
    <w:name w:val="annotation reference"/>
    <w:uiPriority w:val="99"/>
    <w:semiHidden/>
    <w:unhideWhenUsed/>
    <w:rsid w:val="00C9597C"/>
    <w:rPr>
      <w:sz w:val="16"/>
      <w:szCs w:val="16"/>
    </w:rPr>
  </w:style>
  <w:style w:type="paragraph" w:styleId="CommentText">
    <w:name w:val="annotation text"/>
    <w:basedOn w:val="Normal"/>
    <w:link w:val="CommentTextChar"/>
    <w:uiPriority w:val="99"/>
    <w:semiHidden/>
    <w:unhideWhenUsed/>
    <w:rsid w:val="00C9597C"/>
    <w:pPr>
      <w:spacing w:after="20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C9597C"/>
    <w:rPr>
      <w:rFonts w:ascii="Calibri" w:eastAsia="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C9597C"/>
    <w:rPr>
      <w:b/>
      <w:bCs/>
    </w:rPr>
  </w:style>
  <w:style w:type="character" w:customStyle="1" w:styleId="CommentSubjectChar">
    <w:name w:val="Comment Subject Char"/>
    <w:basedOn w:val="CommentTextChar"/>
    <w:link w:val="CommentSubject"/>
    <w:uiPriority w:val="99"/>
    <w:semiHidden/>
    <w:rsid w:val="00C9597C"/>
    <w:rPr>
      <w:rFonts w:ascii="Calibri" w:eastAsia="Calibri" w:hAnsi="Calibri"/>
      <w:b/>
      <w:bCs/>
      <w:sz w:val="20"/>
      <w:szCs w:val="20"/>
      <w:lang w:val="en-US"/>
    </w:rPr>
  </w:style>
  <w:style w:type="character" w:customStyle="1" w:styleId="BalloonTextChar1">
    <w:name w:val="Balloon Text Char1"/>
    <w:uiPriority w:val="99"/>
    <w:semiHidden/>
    <w:rsid w:val="00C9597C"/>
    <w:rPr>
      <w:rFonts w:ascii="Tahoma" w:hAnsi="Tahoma" w:cs="Tahoma"/>
      <w:sz w:val="16"/>
      <w:szCs w:val="16"/>
      <w:lang w:val="en-GB"/>
    </w:rPr>
  </w:style>
  <w:style w:type="character" w:customStyle="1" w:styleId="CommentTextChar1">
    <w:name w:val="Comment Text Char1"/>
    <w:uiPriority w:val="99"/>
    <w:semiHidden/>
    <w:rsid w:val="00C9597C"/>
    <w:rPr>
      <w:sz w:val="20"/>
      <w:szCs w:val="20"/>
      <w:lang w:val="en-GB"/>
    </w:rPr>
  </w:style>
  <w:style w:type="character" w:customStyle="1" w:styleId="CommentSubjectChar1">
    <w:name w:val="Comment Subject Char1"/>
    <w:uiPriority w:val="99"/>
    <w:semiHidden/>
    <w:rsid w:val="00C9597C"/>
    <w:rPr>
      <w:b/>
      <w:bCs/>
      <w:sz w:val="20"/>
      <w:szCs w:val="20"/>
      <w:lang w:val="en-GB"/>
    </w:rPr>
  </w:style>
  <w:style w:type="paragraph" w:customStyle="1" w:styleId="style119">
    <w:name w:val="style119"/>
    <w:basedOn w:val="Normal"/>
    <w:rsid w:val="00C9597C"/>
    <w:pPr>
      <w:spacing w:before="100" w:beforeAutospacing="1" w:after="100" w:afterAutospacing="1"/>
    </w:pPr>
    <w:rPr>
      <w:rFonts w:ascii="Arial" w:eastAsia="Calibri" w:hAnsi="Arial" w:cs="Arial"/>
      <w:sz w:val="20"/>
      <w:szCs w:val="20"/>
      <w:lang w:val="en-US" w:bidi="hi-IN"/>
    </w:rPr>
  </w:style>
  <w:style w:type="paragraph" w:customStyle="1" w:styleId="style120">
    <w:name w:val="style120"/>
    <w:basedOn w:val="Normal"/>
    <w:rsid w:val="00C9597C"/>
    <w:pPr>
      <w:spacing w:before="100" w:beforeAutospacing="1" w:after="100" w:afterAutospacing="1"/>
    </w:pPr>
    <w:rPr>
      <w:rFonts w:ascii="Times New Roman" w:eastAsia="Calibri" w:hAnsi="Times New Roman"/>
      <w:sz w:val="20"/>
      <w:szCs w:val="20"/>
      <w:lang w:val="en-US" w:bidi="hi-IN"/>
    </w:rPr>
  </w:style>
  <w:style w:type="character" w:customStyle="1" w:styleId="style1201">
    <w:name w:val="style1201"/>
    <w:rsid w:val="00C9597C"/>
    <w:rPr>
      <w:sz w:val="20"/>
      <w:szCs w:val="20"/>
    </w:rPr>
  </w:style>
  <w:style w:type="character" w:customStyle="1" w:styleId="style1191">
    <w:name w:val="style1191"/>
    <w:rsid w:val="00C9597C"/>
    <w:rPr>
      <w:rFonts w:ascii="Arial" w:hAnsi="Arial" w:cs="Arial" w:hint="default"/>
      <w:sz w:val="20"/>
      <w:szCs w:val="20"/>
    </w:rPr>
  </w:style>
  <w:style w:type="character" w:customStyle="1" w:styleId="Heading1Char1">
    <w:name w:val="Heading 1 Char1"/>
    <w:aliases w:val="Garamond Char1"/>
    <w:uiPriority w:val="9"/>
    <w:rsid w:val="00C9597C"/>
    <w:rPr>
      <w:rFonts w:ascii="Cambria" w:eastAsia="Times New Roman" w:hAnsi="Cambria" w:cs="Times New Roman"/>
      <w:b/>
      <w:bCs/>
      <w:color w:val="365F91"/>
      <w:sz w:val="28"/>
      <w:szCs w:val="28"/>
      <w:lang w:val="en-GB"/>
    </w:rPr>
  </w:style>
  <w:style w:type="table" w:styleId="MediumGrid1-Accent1">
    <w:name w:val="Medium Grid 1 Accent 1"/>
    <w:basedOn w:val="TableNormal"/>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
    <w:name w:val="Light Grid - Accent 12"/>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14">
    <w:name w:val="style14"/>
    <w:basedOn w:val="Normal"/>
    <w:uiPriority w:val="99"/>
    <w:rsid w:val="00C9597C"/>
    <w:pPr>
      <w:spacing w:before="100" w:beforeAutospacing="1" w:after="100" w:afterAutospacing="1"/>
    </w:pPr>
    <w:rPr>
      <w:rFonts w:ascii="Arial" w:eastAsia="Calibri" w:hAnsi="Arial" w:cs="Arial"/>
      <w:sz w:val="20"/>
      <w:szCs w:val="20"/>
      <w:lang w:val="en-US" w:bidi="hi-IN"/>
    </w:rPr>
  </w:style>
  <w:style w:type="paragraph" w:customStyle="1" w:styleId="style1">
    <w:name w:val="style1"/>
    <w:basedOn w:val="Normal"/>
    <w:uiPriority w:val="99"/>
    <w:rsid w:val="00C9597C"/>
    <w:pPr>
      <w:spacing w:before="100" w:beforeAutospacing="1" w:after="100" w:afterAutospacing="1"/>
    </w:pPr>
    <w:rPr>
      <w:rFonts w:ascii="Arial" w:eastAsia="Calibri" w:hAnsi="Arial" w:cs="Arial"/>
      <w:sz w:val="20"/>
      <w:szCs w:val="20"/>
      <w:lang w:val="en-US"/>
    </w:rPr>
  </w:style>
  <w:style w:type="paragraph" w:customStyle="1" w:styleId="paraattribute2">
    <w:name w:val="paraattribute2"/>
    <w:basedOn w:val="Normal"/>
    <w:rsid w:val="00C9597C"/>
    <w:pPr>
      <w:spacing w:before="100" w:beforeAutospacing="1" w:after="100" w:afterAutospacing="1"/>
    </w:pPr>
    <w:rPr>
      <w:rFonts w:ascii="Times New Roman" w:eastAsia="Times New Roman" w:hAnsi="Times New Roman"/>
      <w:lang w:val="en-US" w:bidi="hi-IN"/>
    </w:rPr>
  </w:style>
  <w:style w:type="paragraph" w:customStyle="1" w:styleId="bodytext20">
    <w:name w:val="bodytext20"/>
    <w:basedOn w:val="Normal"/>
    <w:rsid w:val="00C9597C"/>
    <w:pPr>
      <w:spacing w:before="100" w:beforeAutospacing="1" w:after="100" w:afterAutospacing="1"/>
    </w:pPr>
    <w:rPr>
      <w:rFonts w:ascii="Times New Roman" w:eastAsia="Times New Roman" w:hAnsi="Times New Roman"/>
      <w:lang w:val="en-US" w:bidi="hi-IN"/>
    </w:rPr>
  </w:style>
  <w:style w:type="paragraph" w:customStyle="1" w:styleId="bodytext0">
    <w:name w:val="bodytext0"/>
    <w:basedOn w:val="Normal"/>
    <w:rsid w:val="00C9597C"/>
    <w:pPr>
      <w:spacing w:before="100" w:beforeAutospacing="1" w:after="100" w:afterAutospacing="1"/>
    </w:pPr>
    <w:rPr>
      <w:rFonts w:ascii="Times New Roman" w:eastAsia="Times New Roman" w:hAnsi="Times New Roman"/>
      <w:lang w:val="en-US"/>
    </w:rPr>
  </w:style>
  <w:style w:type="character" w:customStyle="1" w:styleId="style38">
    <w:name w:val="style38"/>
    <w:basedOn w:val="DefaultParagraphFont"/>
    <w:rsid w:val="00C9597C"/>
  </w:style>
  <w:style w:type="paragraph" w:customStyle="1" w:styleId="style49">
    <w:name w:val="style49"/>
    <w:basedOn w:val="Normal"/>
    <w:uiPriority w:val="99"/>
    <w:rsid w:val="00C9597C"/>
    <w:pPr>
      <w:spacing w:before="100" w:beforeAutospacing="1" w:after="100" w:afterAutospacing="1"/>
    </w:pPr>
    <w:rPr>
      <w:rFonts w:ascii="Times New Roman" w:eastAsia="Calibri" w:hAnsi="Times New Roman"/>
      <w:sz w:val="20"/>
      <w:szCs w:val="20"/>
      <w:lang w:val="en-US" w:bidi="hi-IN"/>
    </w:rPr>
  </w:style>
  <w:style w:type="character" w:customStyle="1" w:styleId="style1361">
    <w:name w:val="style1361"/>
    <w:rsid w:val="00C9597C"/>
    <w:rPr>
      <w:b/>
      <w:bCs/>
    </w:rPr>
  </w:style>
  <w:style w:type="character" w:customStyle="1" w:styleId="style1351">
    <w:name w:val="style1351"/>
    <w:rsid w:val="00C9597C"/>
    <w:rPr>
      <w:b/>
      <w:bCs/>
    </w:rPr>
  </w:style>
  <w:style w:type="character" w:customStyle="1" w:styleId="style1341">
    <w:name w:val="style1341"/>
    <w:rsid w:val="00C9597C"/>
    <w:rPr>
      <w:b/>
      <w:bCs/>
    </w:rPr>
  </w:style>
  <w:style w:type="character" w:customStyle="1" w:styleId="style1331">
    <w:name w:val="style1331"/>
    <w:rsid w:val="00C9597C"/>
    <w:rPr>
      <w:b/>
      <w:bCs/>
    </w:rPr>
  </w:style>
  <w:style w:type="character" w:customStyle="1" w:styleId="style1321">
    <w:name w:val="style1321"/>
    <w:rsid w:val="00C9597C"/>
    <w:rPr>
      <w:b/>
      <w:bCs/>
    </w:rPr>
  </w:style>
  <w:style w:type="character" w:customStyle="1" w:styleId="style1311">
    <w:name w:val="style1311"/>
    <w:rsid w:val="00C9597C"/>
    <w:rPr>
      <w:b/>
      <w:bCs/>
    </w:rPr>
  </w:style>
  <w:style w:type="character" w:customStyle="1" w:styleId="style201">
    <w:name w:val="style201"/>
    <w:rsid w:val="00C9597C"/>
    <w:rPr>
      <w:b/>
      <w:bCs/>
    </w:rPr>
  </w:style>
  <w:style w:type="character" w:customStyle="1" w:styleId="style191">
    <w:name w:val="style191"/>
    <w:rsid w:val="00C9597C"/>
    <w:rPr>
      <w:b/>
      <w:bCs/>
    </w:rPr>
  </w:style>
  <w:style w:type="character" w:customStyle="1" w:styleId="style181">
    <w:name w:val="style181"/>
    <w:rsid w:val="00C9597C"/>
    <w:rPr>
      <w:b/>
      <w:bCs/>
    </w:rPr>
  </w:style>
  <w:style w:type="table" w:customStyle="1" w:styleId="LightGrid-Accent13">
    <w:name w:val="Light Grid - Accent 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tyle291">
    <w:name w:val="style291"/>
    <w:rsid w:val="00C9597C"/>
    <w:rPr>
      <w:rFonts w:ascii="Arial" w:hAnsi="Arial" w:cs="Arial" w:hint="default"/>
    </w:rPr>
  </w:style>
  <w:style w:type="paragraph" w:customStyle="1" w:styleId="style2">
    <w:name w:val="style2"/>
    <w:basedOn w:val="Normal"/>
    <w:uiPriority w:val="99"/>
    <w:rsid w:val="00C9597C"/>
    <w:pPr>
      <w:spacing w:before="100" w:beforeAutospacing="1" w:after="100" w:afterAutospacing="1"/>
    </w:pPr>
    <w:rPr>
      <w:rFonts w:ascii="Times New Roman" w:eastAsia="Calibri" w:hAnsi="Times New Roman"/>
      <w:b/>
      <w:bCs/>
      <w:sz w:val="20"/>
      <w:szCs w:val="20"/>
      <w:lang w:val="en-US"/>
    </w:rPr>
  </w:style>
  <w:style w:type="character" w:customStyle="1" w:styleId="ListParagraphChar">
    <w:name w:val="List Paragraph Char"/>
    <w:link w:val="ListParagraph"/>
    <w:uiPriority w:val="34"/>
    <w:locked/>
    <w:rsid w:val="00C9597C"/>
    <w:rPr>
      <w:rFonts w:ascii="Calibri" w:eastAsia="Calibri" w:hAnsi="Calibri"/>
      <w:sz w:val="20"/>
      <w:szCs w:val="20"/>
      <w:lang w:val="en-US"/>
    </w:rPr>
  </w:style>
  <w:style w:type="table" w:styleId="MediumGrid1-Accent3">
    <w:name w:val="Medium Grid 1 Accent 3"/>
    <w:basedOn w:val="TableNormal"/>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paragraph">
    <w:name w:val="paragraph"/>
    <w:basedOn w:val="Normal"/>
    <w:rsid w:val="00C9597C"/>
    <w:pPr>
      <w:spacing w:before="100" w:beforeAutospacing="1" w:after="100" w:afterAutospacing="1"/>
    </w:pPr>
    <w:rPr>
      <w:rFonts w:ascii="Times New Roman" w:eastAsia="Times New Roman" w:hAnsi="Times New Roman"/>
      <w:lang w:val="en-US"/>
    </w:rPr>
  </w:style>
  <w:style w:type="character" w:customStyle="1" w:styleId="ilad">
    <w:name w:val="il_ad"/>
    <w:basedOn w:val="DefaultParagraphFont"/>
    <w:rsid w:val="00C9597C"/>
  </w:style>
  <w:style w:type="paragraph" w:customStyle="1" w:styleId="s8">
    <w:name w:val="s8"/>
    <w:basedOn w:val="Normal"/>
    <w:rsid w:val="00C9597C"/>
    <w:pPr>
      <w:spacing w:before="100" w:beforeAutospacing="1" w:after="100" w:afterAutospacing="1"/>
    </w:pPr>
    <w:rPr>
      <w:rFonts w:ascii="Times New Roman" w:eastAsia="Times New Roman" w:hAnsi="Times New Roman"/>
      <w:lang w:val="en-US"/>
    </w:rPr>
  </w:style>
  <w:style w:type="character" w:customStyle="1" w:styleId="s7">
    <w:name w:val="s7"/>
    <w:basedOn w:val="DefaultParagraphFont"/>
    <w:rsid w:val="00C9597C"/>
  </w:style>
  <w:style w:type="paragraph" w:customStyle="1" w:styleId="s10">
    <w:name w:val="s10"/>
    <w:basedOn w:val="Normal"/>
    <w:rsid w:val="00C9597C"/>
    <w:pPr>
      <w:spacing w:before="100" w:beforeAutospacing="1" w:after="100" w:afterAutospacing="1"/>
    </w:pPr>
    <w:rPr>
      <w:rFonts w:ascii="Times New Roman" w:eastAsia="Times New Roman" w:hAnsi="Times New Roman"/>
      <w:lang w:val="en-US"/>
    </w:rPr>
  </w:style>
  <w:style w:type="numbering" w:customStyle="1" w:styleId="NoList1">
    <w:name w:val="No List1"/>
    <w:next w:val="NoList"/>
    <w:uiPriority w:val="99"/>
    <w:semiHidden/>
    <w:unhideWhenUsed/>
    <w:rsid w:val="00C9597C"/>
  </w:style>
  <w:style w:type="table" w:customStyle="1" w:styleId="MediumGrid1-Accent11">
    <w:name w:val="Medium Grid 1 - Accent 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
    <w:name w:val="Light Grid - Accent 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
    <w:name w:val="Light Grid - Accent 5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
    <w:name w:val="Light Grid - Accent 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
    <w:name w:val="Light List - Accent 5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
    <w:name w:val="Light List - Accent 1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
    <w:name w:val="Light Grid - Accent 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
    <w:name w:val="Medium Grid 1 - Accent 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
    <w:name w:val="Grid Table 4 - Accent 3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Revision">
    <w:name w:val="Revision"/>
    <w:hidden/>
    <w:uiPriority w:val="99"/>
    <w:semiHidden/>
    <w:rsid w:val="00C9597C"/>
    <w:rPr>
      <w:rFonts w:ascii="Calibri" w:eastAsia="Calibri" w:hAnsi="Calibri"/>
      <w:sz w:val="22"/>
      <w:szCs w:val="22"/>
      <w:lang w:val="en-US"/>
    </w:rPr>
  </w:style>
  <w:style w:type="numbering" w:customStyle="1" w:styleId="NoList2">
    <w:name w:val="No List2"/>
    <w:next w:val="NoList"/>
    <w:uiPriority w:val="99"/>
    <w:semiHidden/>
    <w:unhideWhenUsed/>
    <w:rsid w:val="00C9597C"/>
  </w:style>
  <w:style w:type="table" w:customStyle="1" w:styleId="MediumGrid1-Accent12">
    <w:name w:val="Medium Grid 1 - Accent 12"/>
    <w:basedOn w:val="TableNormal"/>
    <w:next w:val="MediumGrid1-Accent1"/>
    <w:uiPriority w:val="67"/>
    <w:rsid w:val="00C9597C"/>
    <w:pPr>
      <w:jc w:val="both"/>
    </w:pPr>
    <w:rPr>
      <w:rFonts w:ascii="Times New Roman" w:hAnsi="Times New Roman"/>
      <w:lang w:val="en-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Grid-Accent112">
    <w:name w:val="Light Grid - Accent 112"/>
    <w:basedOn w:val="TableNormal"/>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2">
    <w:name w:val="Light Grid - Accent 52"/>
    <w:basedOn w:val="TableNormal"/>
    <w:next w:val="LightGrid-Accent5"/>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22">
    <w:name w:val="Light Grid - Accent 122"/>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Accent52">
    <w:name w:val="Light List - Accent 52"/>
    <w:basedOn w:val="TableNormal"/>
    <w:next w:val="LightList-Accent5"/>
    <w:uiPriority w:val="61"/>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112">
    <w:name w:val="Light List - Accent 112"/>
    <w:basedOn w:val="TableNormal"/>
    <w:uiPriority w:val="61"/>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132">
    <w:name w:val="Light Grid - Accent 132"/>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Grid1-Accent32">
    <w:name w:val="Medium Grid 1 - Accent 32"/>
    <w:basedOn w:val="TableNormal"/>
    <w:next w:val="MediumGrid1-Accent3"/>
    <w:uiPriority w:val="67"/>
    <w:rsid w:val="00C9597C"/>
    <w:pPr>
      <w:jc w:val="both"/>
    </w:pPr>
    <w:rPr>
      <w:rFonts w:ascii="Times New Roman" w:hAnsi="Times New Roman"/>
      <w:lang w:val="en-IN"/>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GridTable4Accent31">
    <w:name w:val="Grid Table 4 Accent 31"/>
    <w:basedOn w:val="TableNormal"/>
    <w:uiPriority w:val="49"/>
    <w:rsid w:val="00C9597C"/>
    <w:pPr>
      <w:jc w:val="both"/>
    </w:pPr>
    <w:rPr>
      <w:rFonts w:ascii="Times New Roman" w:hAnsi="Times New Roman"/>
      <w:lang w:val="en-IN"/>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3">
    <w:name w:val="No List3"/>
    <w:next w:val="NoList"/>
    <w:uiPriority w:val="99"/>
    <w:semiHidden/>
    <w:unhideWhenUsed/>
    <w:rsid w:val="00C9597C"/>
  </w:style>
  <w:style w:type="table" w:customStyle="1" w:styleId="MediumGrid1-Accent13">
    <w:name w:val="Medium Grid 1 - Accent 13"/>
    <w:basedOn w:val="TableNormal"/>
    <w:next w:val="MediumGrid1-Accent1"/>
    <w:uiPriority w:val="67"/>
    <w:rsid w:val="00C9597C"/>
    <w:pPr>
      <w:jc w:val="both"/>
    </w:pPr>
    <w:rPr>
      <w:rFonts w:ascii="Times New Roman" w:hAnsi="Times New Roman"/>
      <w:lang w:val="en-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Grid-Accent113">
    <w:name w:val="Light Grid - Accent 113"/>
    <w:basedOn w:val="TableNormal"/>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3">
    <w:name w:val="Light Grid - Accent 53"/>
    <w:basedOn w:val="TableNormal"/>
    <w:next w:val="LightGrid-Accent5"/>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23">
    <w:name w:val="Light Grid - Accent 123"/>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Accent53">
    <w:name w:val="Light List - Accent 53"/>
    <w:basedOn w:val="TableNormal"/>
    <w:next w:val="LightList-Accent5"/>
    <w:uiPriority w:val="61"/>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113">
    <w:name w:val="Light List - Accent 113"/>
    <w:basedOn w:val="TableNormal"/>
    <w:uiPriority w:val="61"/>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133">
    <w:name w:val="Light Grid - Accent 133"/>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Grid1-Accent33">
    <w:name w:val="Medium Grid 1 - Accent 33"/>
    <w:basedOn w:val="TableNormal"/>
    <w:next w:val="MediumGrid1-Accent3"/>
    <w:uiPriority w:val="67"/>
    <w:rsid w:val="00C9597C"/>
    <w:pPr>
      <w:jc w:val="both"/>
    </w:pPr>
    <w:rPr>
      <w:rFonts w:ascii="Times New Roman" w:hAnsi="Times New Roman"/>
      <w:lang w:val="en-IN"/>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GridTable4Accent32">
    <w:name w:val="Grid Table 4 Accent 32"/>
    <w:basedOn w:val="TableNormal"/>
    <w:uiPriority w:val="49"/>
    <w:rsid w:val="00C9597C"/>
    <w:pPr>
      <w:jc w:val="both"/>
    </w:pPr>
    <w:rPr>
      <w:rFonts w:ascii="Times New Roman" w:hAnsi="Times New Roman"/>
      <w:lang w:val="en-IN"/>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Preformatted">
    <w:name w:val="HTML Preformatted"/>
    <w:basedOn w:val="Normal"/>
    <w:link w:val="HTMLPreformattedChar"/>
    <w:uiPriority w:val="99"/>
    <w:unhideWhenUsed/>
    <w:rsid w:val="00C95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9597C"/>
    <w:rPr>
      <w:rFonts w:ascii="Courier New" w:eastAsia="Times New Roman" w:hAnsi="Courier New" w:cs="Courier New"/>
      <w:sz w:val="20"/>
      <w:szCs w:val="20"/>
      <w:lang w:val="en-US"/>
    </w:rPr>
  </w:style>
  <w:style w:type="character" w:customStyle="1" w:styleId="unicode">
    <w:name w:val="unicode"/>
    <w:basedOn w:val="DefaultParagraphFont"/>
    <w:rsid w:val="00C9597C"/>
  </w:style>
  <w:style w:type="character" w:customStyle="1" w:styleId="fn">
    <w:name w:val="fn"/>
    <w:basedOn w:val="DefaultParagraphFont"/>
    <w:rsid w:val="00C9597C"/>
  </w:style>
  <w:style w:type="table" w:customStyle="1" w:styleId="TableGrid1">
    <w:name w:val="Table Grid1"/>
    <w:basedOn w:val="TableNormal"/>
    <w:next w:val="TableGrid"/>
    <w:uiPriority w:val="39"/>
    <w:rsid w:val="00C9597C"/>
    <w:rPr>
      <w:rFonts w:ascii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basedOn w:val="DefaultParagraphFont"/>
    <w:rsid w:val="00C9597C"/>
  </w:style>
  <w:style w:type="character" w:customStyle="1" w:styleId="aqj">
    <w:name w:val="aqj"/>
    <w:basedOn w:val="DefaultParagraphFont"/>
    <w:rsid w:val="00C9597C"/>
  </w:style>
  <w:style w:type="character" w:customStyle="1" w:styleId="slc367992977963056178">
    <w:name w:val="sl_c_36799297_79_63056178"/>
    <w:basedOn w:val="DefaultParagraphFont"/>
    <w:rsid w:val="00C9597C"/>
  </w:style>
  <w:style w:type="character" w:customStyle="1" w:styleId="slc3679929710863056178">
    <w:name w:val="sl_c_36799297_108_63056178"/>
    <w:basedOn w:val="DefaultParagraphFont"/>
    <w:rsid w:val="00C9597C"/>
  </w:style>
  <w:style w:type="paragraph" w:styleId="Subtitle">
    <w:name w:val="Subtitle"/>
    <w:basedOn w:val="Normal"/>
    <w:next w:val="Normal"/>
    <w:link w:val="SubtitleChar"/>
    <w:rsid w:val="00C9597C"/>
    <w:pPr>
      <w:keepNext/>
      <w:keepLines/>
      <w:spacing w:before="360" w:after="80"/>
      <w:contextualSpacing/>
      <w:jc w:val="both"/>
    </w:pPr>
    <w:rPr>
      <w:rFonts w:ascii="Georgia" w:eastAsia="Georgia" w:hAnsi="Georgia" w:cs="Georgia"/>
      <w:i/>
      <w:color w:val="666666"/>
      <w:sz w:val="48"/>
      <w:szCs w:val="48"/>
      <w:lang w:val="en-IN" w:eastAsia="en-IN"/>
    </w:rPr>
  </w:style>
  <w:style w:type="character" w:customStyle="1" w:styleId="SubtitleChar">
    <w:name w:val="Subtitle Char"/>
    <w:basedOn w:val="DefaultParagraphFont"/>
    <w:link w:val="Subtitle"/>
    <w:rsid w:val="00C9597C"/>
    <w:rPr>
      <w:rFonts w:ascii="Georgia" w:eastAsia="Georgia" w:hAnsi="Georgia" w:cs="Georgia"/>
      <w:i/>
      <w:color w:val="666666"/>
      <w:sz w:val="48"/>
      <w:szCs w:val="48"/>
      <w:lang w:val="en-IN" w:eastAsia="en-IN"/>
    </w:rPr>
  </w:style>
  <w:style w:type="character" w:customStyle="1" w:styleId="lede-headlinehighlighted">
    <w:name w:val="lede-headline__highlighted"/>
    <w:basedOn w:val="DefaultParagraphFont"/>
    <w:rsid w:val="00C9597C"/>
  </w:style>
  <w:style w:type="character" w:customStyle="1" w:styleId="mfirst-letter">
    <w:name w:val="m_first-letter"/>
    <w:basedOn w:val="DefaultParagraphFont"/>
    <w:rsid w:val="00C9597C"/>
  </w:style>
  <w:style w:type="character" w:customStyle="1" w:styleId="dictionary">
    <w:name w:val="dictionary"/>
    <w:basedOn w:val="DefaultParagraphFont"/>
    <w:rsid w:val="00C9597C"/>
  </w:style>
  <w:style w:type="table" w:customStyle="1" w:styleId="TableGrid2">
    <w:name w:val="Table Grid2"/>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9597C"/>
  </w:style>
  <w:style w:type="table" w:customStyle="1" w:styleId="MediumGrid1-Accent14">
    <w:name w:val="Medium Grid 1 - Accent 14"/>
    <w:basedOn w:val="TableNormal"/>
    <w:next w:val="MediumGrid1-Accent1"/>
    <w:uiPriority w:val="67"/>
    <w:rsid w:val="00C9597C"/>
    <w:pPr>
      <w:jc w:val="both"/>
    </w:pPr>
    <w:rPr>
      <w:rFonts w:ascii="Times New Roman" w:hAnsi="Times New Roman"/>
      <w:lang w:val="en-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Grid-Accent114">
    <w:name w:val="Light Grid - Accent 114"/>
    <w:basedOn w:val="TableNormal"/>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4">
    <w:name w:val="Light Grid - Accent 54"/>
    <w:basedOn w:val="TableNormal"/>
    <w:next w:val="LightGrid-Accent5"/>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24">
    <w:name w:val="Light Grid - Accent 124"/>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Accent54">
    <w:name w:val="Light List - Accent 54"/>
    <w:basedOn w:val="TableNormal"/>
    <w:next w:val="LightList-Accent5"/>
    <w:uiPriority w:val="61"/>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114">
    <w:name w:val="Light List - Accent 114"/>
    <w:basedOn w:val="TableNormal"/>
    <w:uiPriority w:val="61"/>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134">
    <w:name w:val="Light Grid - Accent 134"/>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Grid1-Accent34">
    <w:name w:val="Medium Grid 1 - Accent 34"/>
    <w:basedOn w:val="TableNormal"/>
    <w:next w:val="MediumGrid1-Accent3"/>
    <w:uiPriority w:val="67"/>
    <w:rsid w:val="00C9597C"/>
    <w:pPr>
      <w:jc w:val="both"/>
    </w:pPr>
    <w:rPr>
      <w:rFonts w:ascii="Times New Roman" w:hAnsi="Times New Roman"/>
      <w:lang w:val="en-IN"/>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eGrid3">
    <w:name w:val="Table Grid3"/>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
    <w:name w:val="Medium Grid 3 - Accent 1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
    <w:name w:val="No List11"/>
    <w:next w:val="NoList"/>
    <w:uiPriority w:val="99"/>
    <w:semiHidden/>
    <w:unhideWhenUsed/>
    <w:rsid w:val="00C9597C"/>
  </w:style>
  <w:style w:type="table" w:customStyle="1" w:styleId="MediumGrid1-Accent111">
    <w:name w:val="Medium Grid 1 - Accent 1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
    <w:name w:val="Light Grid - Accent 1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
    <w:name w:val="Light Grid - Accent 51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
    <w:name w:val="Light Grid - Accent 12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
    <w:name w:val="Light List - Accent 51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
    <w:name w:val="Light List - Accent 11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
    <w:name w:val="Light Grid - Accent 13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
    <w:name w:val="Medium Grid 1 - Accent 3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
    <w:name w:val="Grid Table 4 - Accent 31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
    <w:name w:val="No List21"/>
    <w:next w:val="NoList"/>
    <w:uiPriority w:val="99"/>
    <w:semiHidden/>
    <w:unhideWhenUsed/>
    <w:rsid w:val="00C9597C"/>
  </w:style>
  <w:style w:type="table" w:customStyle="1" w:styleId="MediumGrid1-Accent121">
    <w:name w:val="Medium Grid 1 - Accent 121"/>
    <w:basedOn w:val="TableNormal"/>
    <w:next w:val="MediumGrid1-Accent1"/>
    <w:uiPriority w:val="67"/>
    <w:rsid w:val="00C9597C"/>
    <w:pPr>
      <w:jc w:val="both"/>
    </w:pPr>
    <w:rPr>
      <w:rFonts w:ascii="Times New Roman" w:hAnsi="Times New Roman"/>
      <w:lang w:val="en-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Grid-Accent1121">
    <w:name w:val="Light Grid - Accent 1121"/>
    <w:basedOn w:val="TableNormal"/>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21">
    <w:name w:val="Light Grid - Accent 521"/>
    <w:basedOn w:val="TableNormal"/>
    <w:next w:val="LightGrid-Accent5"/>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221">
    <w:name w:val="Light Grid - Accent 1221"/>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Accent521">
    <w:name w:val="Light List - Accent 521"/>
    <w:basedOn w:val="TableNormal"/>
    <w:next w:val="LightList-Accent5"/>
    <w:uiPriority w:val="61"/>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1121">
    <w:name w:val="Light List - Accent 1121"/>
    <w:basedOn w:val="TableNormal"/>
    <w:uiPriority w:val="61"/>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1321">
    <w:name w:val="Light Grid - Accent 1321"/>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Grid1-Accent321">
    <w:name w:val="Medium Grid 1 - Accent 321"/>
    <w:basedOn w:val="TableNormal"/>
    <w:next w:val="MediumGrid1-Accent3"/>
    <w:uiPriority w:val="67"/>
    <w:rsid w:val="00C9597C"/>
    <w:pPr>
      <w:jc w:val="both"/>
    </w:pPr>
    <w:rPr>
      <w:rFonts w:ascii="Times New Roman" w:hAnsi="Times New Roman"/>
      <w:lang w:val="en-IN"/>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GridTable4Accent311">
    <w:name w:val="Grid Table 4 Accent 311"/>
    <w:basedOn w:val="TableNormal"/>
    <w:uiPriority w:val="49"/>
    <w:rsid w:val="00C9597C"/>
    <w:pPr>
      <w:jc w:val="both"/>
    </w:pPr>
    <w:rPr>
      <w:rFonts w:ascii="Times New Roman" w:hAnsi="Times New Roman"/>
      <w:lang w:val="en-IN"/>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31">
    <w:name w:val="No List31"/>
    <w:next w:val="NoList"/>
    <w:uiPriority w:val="99"/>
    <w:semiHidden/>
    <w:unhideWhenUsed/>
    <w:rsid w:val="00C9597C"/>
  </w:style>
  <w:style w:type="table" w:customStyle="1" w:styleId="MediumGrid1-Accent131">
    <w:name w:val="Medium Grid 1 - Accent 131"/>
    <w:basedOn w:val="TableNormal"/>
    <w:next w:val="MediumGrid1-Accent1"/>
    <w:uiPriority w:val="67"/>
    <w:rsid w:val="00C9597C"/>
    <w:pPr>
      <w:jc w:val="both"/>
    </w:pPr>
    <w:rPr>
      <w:rFonts w:ascii="Times New Roman" w:hAnsi="Times New Roman"/>
      <w:lang w:val="en-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Grid-Accent1131">
    <w:name w:val="Light Grid - Accent 1131"/>
    <w:basedOn w:val="TableNormal"/>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31">
    <w:name w:val="Light Grid - Accent 531"/>
    <w:basedOn w:val="TableNormal"/>
    <w:next w:val="LightGrid-Accent5"/>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231">
    <w:name w:val="Light Grid - Accent 1231"/>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Accent531">
    <w:name w:val="Light List - Accent 531"/>
    <w:basedOn w:val="TableNormal"/>
    <w:next w:val="LightList-Accent5"/>
    <w:uiPriority w:val="61"/>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1131">
    <w:name w:val="Light List - Accent 1131"/>
    <w:basedOn w:val="TableNormal"/>
    <w:uiPriority w:val="61"/>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1331">
    <w:name w:val="Light Grid - Accent 1331"/>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Grid1-Accent331">
    <w:name w:val="Medium Grid 1 - Accent 331"/>
    <w:basedOn w:val="TableNormal"/>
    <w:next w:val="MediumGrid1-Accent3"/>
    <w:uiPriority w:val="67"/>
    <w:rsid w:val="00C9597C"/>
    <w:pPr>
      <w:jc w:val="both"/>
    </w:pPr>
    <w:rPr>
      <w:rFonts w:ascii="Times New Roman" w:hAnsi="Times New Roman"/>
      <w:lang w:val="en-IN"/>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GridTable4Accent321">
    <w:name w:val="Grid Table 4 Accent 321"/>
    <w:basedOn w:val="TableNormal"/>
    <w:uiPriority w:val="49"/>
    <w:rsid w:val="00C9597C"/>
    <w:pPr>
      <w:jc w:val="both"/>
    </w:pPr>
    <w:rPr>
      <w:rFonts w:ascii="Times New Roman" w:hAnsi="Times New Roman"/>
      <w:lang w:val="en-IN"/>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1">
    <w:name w:val="Table Grid11"/>
    <w:basedOn w:val="TableNormal"/>
    <w:next w:val="TableGrid"/>
    <w:uiPriority w:val="39"/>
    <w:rsid w:val="00C9597C"/>
    <w:rPr>
      <w:rFonts w:ascii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9597C"/>
  </w:style>
  <w:style w:type="table" w:customStyle="1" w:styleId="TableGrid4">
    <w:name w:val="Table Grid4"/>
    <w:basedOn w:val="TableNormal"/>
    <w:next w:val="TableGrid"/>
    <w:uiPriority w:val="5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2">
    <w:name w:val="Medium Grid 3 - Accent 12"/>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5">
    <w:name w:val="Medium Grid 1 - Accent 15"/>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5">
    <w:name w:val="Light Grid - Accent 115"/>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5">
    <w:name w:val="Light Grid - Accent 55"/>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5">
    <w:name w:val="Light Grid - Accent 125"/>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5">
    <w:name w:val="Light List - Accent 55"/>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5">
    <w:name w:val="Light List - Accent 115"/>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5">
    <w:name w:val="Light Grid - Accent 13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5">
    <w:name w:val="Medium Grid 1 - Accent 3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2">
    <w:name w:val="No List12"/>
    <w:next w:val="NoList"/>
    <w:uiPriority w:val="99"/>
    <w:semiHidden/>
    <w:unhideWhenUsed/>
    <w:rsid w:val="00C9597C"/>
  </w:style>
  <w:style w:type="table" w:customStyle="1" w:styleId="MediumGrid1-Accent112">
    <w:name w:val="Medium Grid 1 - Accent 112"/>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2">
    <w:name w:val="Light Grid - Accent 11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2">
    <w:name w:val="Light Grid - Accent 512"/>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2">
    <w:name w:val="Light Grid - Accent 12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2">
    <w:name w:val="Light List - Accent 512"/>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2">
    <w:name w:val="Light List - Accent 1112"/>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2">
    <w:name w:val="Light Grid - Accent 13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2">
    <w:name w:val="Medium Grid 1 - Accent 312"/>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2">
    <w:name w:val="Grid Table 4 - Accent 312"/>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2">
    <w:name w:val="No List22"/>
    <w:next w:val="NoList"/>
    <w:uiPriority w:val="99"/>
    <w:semiHidden/>
    <w:unhideWhenUsed/>
    <w:rsid w:val="00C9597C"/>
  </w:style>
  <w:style w:type="table" w:customStyle="1" w:styleId="MediumGrid1-Accent122">
    <w:name w:val="Medium Grid 1 - Accent 122"/>
    <w:basedOn w:val="TableNormal"/>
    <w:next w:val="MediumGrid1-Accent1"/>
    <w:uiPriority w:val="67"/>
    <w:rsid w:val="00C9597C"/>
    <w:pPr>
      <w:jc w:val="both"/>
    </w:pPr>
    <w:rPr>
      <w:rFonts w:ascii="Times New Roman" w:hAnsi="Times New Roman"/>
      <w:lang w:val="en-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Grid-Accent1122">
    <w:name w:val="Light Grid - Accent 1122"/>
    <w:basedOn w:val="TableNormal"/>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22">
    <w:name w:val="Light Grid - Accent 522"/>
    <w:basedOn w:val="TableNormal"/>
    <w:next w:val="LightGrid-Accent5"/>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222">
    <w:name w:val="Light Grid - Accent 1222"/>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Accent522">
    <w:name w:val="Light List - Accent 522"/>
    <w:basedOn w:val="TableNormal"/>
    <w:next w:val="LightList-Accent5"/>
    <w:uiPriority w:val="61"/>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1122">
    <w:name w:val="Light List - Accent 1122"/>
    <w:basedOn w:val="TableNormal"/>
    <w:uiPriority w:val="61"/>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1322">
    <w:name w:val="Light Grid - Accent 1322"/>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Grid1-Accent322">
    <w:name w:val="Medium Grid 1 - Accent 322"/>
    <w:basedOn w:val="TableNormal"/>
    <w:next w:val="MediumGrid1-Accent3"/>
    <w:uiPriority w:val="67"/>
    <w:rsid w:val="00C9597C"/>
    <w:pPr>
      <w:jc w:val="both"/>
    </w:pPr>
    <w:rPr>
      <w:rFonts w:ascii="Times New Roman" w:hAnsi="Times New Roman"/>
      <w:lang w:val="en-IN"/>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GridTable4Accent312">
    <w:name w:val="Grid Table 4 Accent 312"/>
    <w:basedOn w:val="TableNormal"/>
    <w:uiPriority w:val="49"/>
    <w:rsid w:val="00C9597C"/>
    <w:pPr>
      <w:jc w:val="both"/>
    </w:pPr>
    <w:rPr>
      <w:rFonts w:ascii="Times New Roman" w:hAnsi="Times New Roman"/>
      <w:lang w:val="en-IN"/>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32">
    <w:name w:val="No List32"/>
    <w:next w:val="NoList"/>
    <w:uiPriority w:val="99"/>
    <w:semiHidden/>
    <w:unhideWhenUsed/>
    <w:rsid w:val="00C9597C"/>
  </w:style>
  <w:style w:type="table" w:customStyle="1" w:styleId="MediumGrid1-Accent132">
    <w:name w:val="Medium Grid 1 - Accent 132"/>
    <w:basedOn w:val="TableNormal"/>
    <w:next w:val="MediumGrid1-Accent1"/>
    <w:uiPriority w:val="67"/>
    <w:rsid w:val="00C9597C"/>
    <w:pPr>
      <w:jc w:val="both"/>
    </w:pPr>
    <w:rPr>
      <w:rFonts w:ascii="Times New Roman" w:hAnsi="Times New Roman"/>
      <w:lang w:val="en-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Grid-Accent1132">
    <w:name w:val="Light Grid - Accent 1132"/>
    <w:basedOn w:val="TableNormal"/>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32">
    <w:name w:val="Light Grid - Accent 532"/>
    <w:basedOn w:val="TableNormal"/>
    <w:next w:val="LightGrid-Accent5"/>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232">
    <w:name w:val="Light Grid - Accent 1232"/>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Accent532">
    <w:name w:val="Light List - Accent 532"/>
    <w:basedOn w:val="TableNormal"/>
    <w:next w:val="LightList-Accent5"/>
    <w:uiPriority w:val="61"/>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1132">
    <w:name w:val="Light List - Accent 1132"/>
    <w:basedOn w:val="TableNormal"/>
    <w:uiPriority w:val="61"/>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1332">
    <w:name w:val="Light Grid - Accent 1332"/>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Grid1-Accent332">
    <w:name w:val="Medium Grid 1 - Accent 332"/>
    <w:basedOn w:val="TableNormal"/>
    <w:next w:val="MediumGrid1-Accent3"/>
    <w:uiPriority w:val="67"/>
    <w:rsid w:val="00C9597C"/>
    <w:pPr>
      <w:jc w:val="both"/>
    </w:pPr>
    <w:rPr>
      <w:rFonts w:ascii="Times New Roman" w:hAnsi="Times New Roman"/>
      <w:lang w:val="en-IN"/>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GridTable4Accent322">
    <w:name w:val="Grid Table 4 Accent 322"/>
    <w:basedOn w:val="TableNormal"/>
    <w:uiPriority w:val="49"/>
    <w:rsid w:val="00C9597C"/>
    <w:pPr>
      <w:jc w:val="both"/>
    </w:pPr>
    <w:rPr>
      <w:rFonts w:ascii="Times New Roman" w:hAnsi="Times New Roman"/>
      <w:lang w:val="en-IN"/>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2">
    <w:name w:val="Table Grid12"/>
    <w:basedOn w:val="TableNormal"/>
    <w:next w:val="TableGrid"/>
    <w:uiPriority w:val="39"/>
    <w:rsid w:val="00C9597C"/>
    <w:rPr>
      <w:rFonts w:ascii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9597C"/>
  </w:style>
  <w:style w:type="table" w:customStyle="1" w:styleId="MediumGrid1-Accent16">
    <w:name w:val="Medium Grid 1 - Accent 16"/>
    <w:basedOn w:val="TableNormal"/>
    <w:next w:val="MediumGrid1-Accent1"/>
    <w:uiPriority w:val="67"/>
    <w:rsid w:val="00C9597C"/>
    <w:pPr>
      <w:jc w:val="both"/>
    </w:pPr>
    <w:rPr>
      <w:rFonts w:ascii="Times New Roman" w:hAnsi="Times New Roman"/>
      <w:lang w:val="en-IN"/>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LightGrid-Accent116">
    <w:name w:val="Light Grid - Accent 116"/>
    <w:basedOn w:val="TableNormal"/>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Accent56">
    <w:name w:val="Light Grid - Accent 56"/>
    <w:basedOn w:val="TableNormal"/>
    <w:next w:val="LightGrid-Accent5"/>
    <w:uiPriority w:val="62"/>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26">
    <w:name w:val="Light Grid - Accent 126"/>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List-Accent56">
    <w:name w:val="Light List - Accent 56"/>
    <w:basedOn w:val="TableNormal"/>
    <w:next w:val="LightList-Accent5"/>
    <w:uiPriority w:val="61"/>
    <w:rsid w:val="00C9597C"/>
    <w:pPr>
      <w:jc w:val="both"/>
    </w:pPr>
    <w:rPr>
      <w:rFonts w:asciiTheme="minorHAnsi" w:hAnsiTheme="minorHAnsi" w:cstheme="minorBidi"/>
      <w:sz w:val="22"/>
      <w:szCs w:val="22"/>
      <w:lang w:val="en-US"/>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LightList-Accent116">
    <w:name w:val="Light List - Accent 116"/>
    <w:basedOn w:val="TableNormal"/>
    <w:uiPriority w:val="61"/>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ghtGrid-Accent136">
    <w:name w:val="Light Grid - Accent 136"/>
    <w:basedOn w:val="TableNormal"/>
    <w:uiPriority w:val="62"/>
    <w:rsid w:val="00C9597C"/>
    <w:pPr>
      <w:jc w:val="both"/>
    </w:pPr>
    <w:rPr>
      <w:rFonts w:ascii="Times New Roman" w:hAnsi="Times New Roman"/>
      <w:lang w:val="en-IN"/>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MediumGrid1-Accent36">
    <w:name w:val="Medium Grid 1 - Accent 36"/>
    <w:basedOn w:val="TableNormal"/>
    <w:next w:val="MediumGrid1-Accent3"/>
    <w:uiPriority w:val="67"/>
    <w:rsid w:val="00C9597C"/>
    <w:pPr>
      <w:jc w:val="both"/>
    </w:pPr>
    <w:rPr>
      <w:rFonts w:ascii="Times New Roman" w:hAnsi="Times New Roman"/>
      <w:lang w:val="en-IN"/>
    </w:r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numbering" w:customStyle="1" w:styleId="NoList13">
    <w:name w:val="No List13"/>
    <w:next w:val="NoList"/>
    <w:uiPriority w:val="99"/>
    <w:semiHidden/>
    <w:unhideWhenUsed/>
    <w:rsid w:val="00C9597C"/>
  </w:style>
  <w:style w:type="numbering" w:customStyle="1" w:styleId="NoList23">
    <w:name w:val="No List23"/>
    <w:next w:val="NoList"/>
    <w:uiPriority w:val="99"/>
    <w:semiHidden/>
    <w:unhideWhenUsed/>
    <w:rsid w:val="00C9597C"/>
  </w:style>
  <w:style w:type="numbering" w:customStyle="1" w:styleId="NoList33">
    <w:name w:val="No List33"/>
    <w:next w:val="NoList"/>
    <w:uiPriority w:val="99"/>
    <w:semiHidden/>
    <w:unhideWhenUsed/>
    <w:rsid w:val="00C9597C"/>
  </w:style>
  <w:style w:type="numbering" w:customStyle="1" w:styleId="NoList7">
    <w:name w:val="No List7"/>
    <w:next w:val="NoList"/>
    <w:uiPriority w:val="99"/>
    <w:semiHidden/>
    <w:unhideWhenUsed/>
    <w:rsid w:val="00C9597C"/>
  </w:style>
  <w:style w:type="table" w:customStyle="1" w:styleId="TableGrid5">
    <w:name w:val="Table Grid5"/>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3">
    <w:name w:val="Medium Grid 3 - Accent 13"/>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7">
    <w:name w:val="Medium Grid 1 - Accent 17"/>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7">
    <w:name w:val="Light Grid - Accent 117"/>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7">
    <w:name w:val="Light Grid - Accent 57"/>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7">
    <w:name w:val="Light Grid - Accent 127"/>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7">
    <w:name w:val="Light List - Accent 57"/>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7">
    <w:name w:val="Light List - Accent 117"/>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7">
    <w:name w:val="Light Grid - Accent 137"/>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7">
    <w:name w:val="Medium Grid 1 - Accent 37"/>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4">
    <w:name w:val="No List14"/>
    <w:next w:val="NoList"/>
    <w:uiPriority w:val="99"/>
    <w:semiHidden/>
    <w:unhideWhenUsed/>
    <w:rsid w:val="00C9597C"/>
  </w:style>
  <w:style w:type="table" w:customStyle="1" w:styleId="MediumGrid1-Accent113">
    <w:name w:val="Medium Grid 1 - Accent 113"/>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3">
    <w:name w:val="Light Grid - Accent 11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3">
    <w:name w:val="Light Grid - Accent 513"/>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3">
    <w:name w:val="Light Grid - Accent 12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3">
    <w:name w:val="Light List - Accent 513"/>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3">
    <w:name w:val="Light List - Accent 1113"/>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3">
    <w:name w:val="Light Grid - Accent 13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3">
    <w:name w:val="Medium Grid 1 - Accent 313"/>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3">
    <w:name w:val="Grid Table 4 - Accent 313"/>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4">
    <w:name w:val="No List24"/>
    <w:next w:val="NoList"/>
    <w:uiPriority w:val="99"/>
    <w:semiHidden/>
    <w:unhideWhenUsed/>
    <w:rsid w:val="00C9597C"/>
  </w:style>
  <w:style w:type="table" w:customStyle="1" w:styleId="MediumGrid1-Accent123">
    <w:name w:val="Medium Grid 1 - Accent 123"/>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3">
    <w:name w:val="Light Grid - Accent 1123"/>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3">
    <w:name w:val="Light Grid - Accent 523"/>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3">
    <w:name w:val="Light Grid - Accent 122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3">
    <w:name w:val="Light List - Accent 523"/>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3">
    <w:name w:val="Light List - Accent 1123"/>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3">
    <w:name w:val="Light Grid - Accent 132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3">
    <w:name w:val="Medium Grid 1 - Accent 323"/>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3">
    <w:name w:val="Grid Table 4 Accent 313"/>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4">
    <w:name w:val="No List34"/>
    <w:next w:val="NoList"/>
    <w:uiPriority w:val="99"/>
    <w:semiHidden/>
    <w:unhideWhenUsed/>
    <w:rsid w:val="00C9597C"/>
  </w:style>
  <w:style w:type="table" w:customStyle="1" w:styleId="MediumGrid1-Accent133">
    <w:name w:val="Medium Grid 1 - Accent 133"/>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3">
    <w:name w:val="Light Grid - Accent 1133"/>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3">
    <w:name w:val="Light Grid - Accent 533"/>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3">
    <w:name w:val="Light Grid - Accent 123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3">
    <w:name w:val="Light List - Accent 533"/>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3">
    <w:name w:val="Light List - Accent 1133"/>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3">
    <w:name w:val="Light Grid - Accent 133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3">
    <w:name w:val="Medium Grid 1 - Accent 333"/>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3">
    <w:name w:val="Grid Table 4 Accent 323"/>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3">
    <w:name w:val="Table Grid13"/>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C9597C"/>
  </w:style>
  <w:style w:type="table" w:customStyle="1" w:styleId="MediumGrid1-Accent141">
    <w:name w:val="Medium Grid 1 - Accent 1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1">
    <w:name w:val="Light Grid - Accent 114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1">
    <w:name w:val="Light Grid - Accent 54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1">
    <w:name w:val="Light Grid - Accent 12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1">
    <w:name w:val="Light List - Accent 54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1">
    <w:name w:val="Light List - Accent 11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1">
    <w:name w:val="Light Grid - Accent 13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1">
    <w:name w:val="Medium Grid 1 - Accent 3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1">
    <w:name w:val="Table Grid21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
    <w:name w:val="Medium Grid 3 - Accent 11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1">
    <w:name w:val="No List111"/>
    <w:next w:val="NoList"/>
    <w:uiPriority w:val="99"/>
    <w:semiHidden/>
    <w:unhideWhenUsed/>
    <w:rsid w:val="00C9597C"/>
  </w:style>
  <w:style w:type="table" w:customStyle="1" w:styleId="MediumGrid1-Accent1111">
    <w:name w:val="Medium Grid 1 - Accent 11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1">
    <w:name w:val="Light Grid - Accent 11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1">
    <w:name w:val="Light Grid - Accent 511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1">
    <w:name w:val="Light Grid - Accent 12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1">
    <w:name w:val="Light List - Accent 511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1">
    <w:name w:val="Light List - Accent 111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1">
    <w:name w:val="Light Grid - Accent 13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1">
    <w:name w:val="Medium Grid 1 - Accent 31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1">
    <w:name w:val="Grid Table 4 - Accent 311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1">
    <w:name w:val="No List211"/>
    <w:next w:val="NoList"/>
    <w:uiPriority w:val="99"/>
    <w:semiHidden/>
    <w:unhideWhenUsed/>
    <w:rsid w:val="00C9597C"/>
  </w:style>
  <w:style w:type="table" w:customStyle="1" w:styleId="MediumGrid1-Accent1211">
    <w:name w:val="Medium Grid 1 - Accent 12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1">
    <w:name w:val="Light Grid - Accent 1121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1">
    <w:name w:val="Light Grid - Accent 521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1">
    <w:name w:val="Light Grid - Accent 122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1">
    <w:name w:val="Light List - Accent 521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1">
    <w:name w:val="Light List - Accent 112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1">
    <w:name w:val="Light Grid - Accent 132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1">
    <w:name w:val="Medium Grid 1 - Accent 32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1">
    <w:name w:val="Grid Table 4 Accent 311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1">
    <w:name w:val="No List311"/>
    <w:next w:val="NoList"/>
    <w:uiPriority w:val="99"/>
    <w:semiHidden/>
    <w:unhideWhenUsed/>
    <w:rsid w:val="00C9597C"/>
  </w:style>
  <w:style w:type="table" w:customStyle="1" w:styleId="MediumGrid1-Accent1311">
    <w:name w:val="Medium Grid 1 - Accent 13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1">
    <w:name w:val="Light Grid - Accent 1131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1">
    <w:name w:val="Light Grid - Accent 531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1">
    <w:name w:val="Light Grid - Accent 123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1">
    <w:name w:val="Light List - Accent 531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1">
    <w:name w:val="Light List - Accent 113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1">
    <w:name w:val="Light Grid - Accent 133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1">
    <w:name w:val="Medium Grid 1 - Accent 33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1">
    <w:name w:val="Grid Table 4 Accent 321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1">
    <w:name w:val="Table Grid11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C9597C"/>
  </w:style>
  <w:style w:type="table" w:customStyle="1" w:styleId="MediumGrid1-Accent151">
    <w:name w:val="Medium Grid 1 - Accent 1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1">
    <w:name w:val="Light Grid - Accent 115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1">
    <w:name w:val="Light Grid - Accent 55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1">
    <w:name w:val="Light Grid - Accent 12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1">
    <w:name w:val="Light List - Accent 55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1">
    <w:name w:val="Light List - Accent 11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1">
    <w:name w:val="Light Grid - Accent 13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1">
    <w:name w:val="Medium Grid 1 - Accent 3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1">
    <w:name w:val="No List121"/>
    <w:next w:val="NoList"/>
    <w:uiPriority w:val="99"/>
    <w:semiHidden/>
    <w:unhideWhenUsed/>
    <w:rsid w:val="00C9597C"/>
  </w:style>
  <w:style w:type="numbering" w:customStyle="1" w:styleId="NoList221">
    <w:name w:val="No List221"/>
    <w:next w:val="NoList"/>
    <w:uiPriority w:val="99"/>
    <w:semiHidden/>
    <w:unhideWhenUsed/>
    <w:rsid w:val="00C9597C"/>
  </w:style>
  <w:style w:type="numbering" w:customStyle="1" w:styleId="NoList321">
    <w:name w:val="No List321"/>
    <w:next w:val="NoList"/>
    <w:uiPriority w:val="99"/>
    <w:semiHidden/>
    <w:unhideWhenUsed/>
    <w:rsid w:val="00C9597C"/>
  </w:style>
  <w:style w:type="numbering" w:customStyle="1" w:styleId="NoList61">
    <w:name w:val="No List61"/>
    <w:next w:val="NoList"/>
    <w:uiPriority w:val="99"/>
    <w:semiHidden/>
    <w:unhideWhenUsed/>
    <w:rsid w:val="00C9597C"/>
  </w:style>
  <w:style w:type="table" w:customStyle="1" w:styleId="MediumGrid1-Accent161">
    <w:name w:val="Medium Grid 1 - Accent 16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1">
    <w:name w:val="Light Grid - Accent 116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1">
    <w:name w:val="Light Grid - Accent 56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1">
    <w:name w:val="Light Grid - Accent 126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1">
    <w:name w:val="Light List - Accent 56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1">
    <w:name w:val="Light List - Accent 116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1">
    <w:name w:val="Light Grid - Accent 136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1">
    <w:name w:val="Medium Grid 1 - Accent 36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1">
    <w:name w:val="No List131"/>
    <w:next w:val="NoList"/>
    <w:uiPriority w:val="99"/>
    <w:semiHidden/>
    <w:unhideWhenUsed/>
    <w:rsid w:val="00C9597C"/>
  </w:style>
  <w:style w:type="numbering" w:customStyle="1" w:styleId="NoList231">
    <w:name w:val="No List231"/>
    <w:next w:val="NoList"/>
    <w:uiPriority w:val="99"/>
    <w:semiHidden/>
    <w:unhideWhenUsed/>
    <w:rsid w:val="00C9597C"/>
  </w:style>
  <w:style w:type="numbering" w:customStyle="1" w:styleId="NoList331">
    <w:name w:val="No List331"/>
    <w:next w:val="NoList"/>
    <w:uiPriority w:val="99"/>
    <w:semiHidden/>
    <w:unhideWhenUsed/>
    <w:rsid w:val="00C9597C"/>
  </w:style>
  <w:style w:type="numbering" w:customStyle="1" w:styleId="NoList8">
    <w:name w:val="No List8"/>
    <w:next w:val="NoList"/>
    <w:uiPriority w:val="99"/>
    <w:semiHidden/>
    <w:unhideWhenUsed/>
    <w:rsid w:val="00C9597C"/>
  </w:style>
  <w:style w:type="table" w:customStyle="1" w:styleId="TableGrid6">
    <w:name w:val="Table Grid6"/>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4">
    <w:name w:val="Medium Grid 3 - Accent 14"/>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8">
    <w:name w:val="Medium Grid 1 - Accent 18"/>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8">
    <w:name w:val="Light Grid - Accent 118"/>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8">
    <w:name w:val="Light Grid - Accent 58"/>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8">
    <w:name w:val="Light Grid - Accent 128"/>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8">
    <w:name w:val="Light List - Accent 58"/>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8">
    <w:name w:val="Light List - Accent 118"/>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8">
    <w:name w:val="Light Grid - Accent 138"/>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8">
    <w:name w:val="Medium Grid 1 - Accent 38"/>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5">
    <w:name w:val="No List15"/>
    <w:next w:val="NoList"/>
    <w:uiPriority w:val="99"/>
    <w:semiHidden/>
    <w:unhideWhenUsed/>
    <w:rsid w:val="00C9597C"/>
  </w:style>
  <w:style w:type="table" w:customStyle="1" w:styleId="MediumGrid1-Accent114">
    <w:name w:val="Medium Grid 1 - Accent 114"/>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4">
    <w:name w:val="Light Grid - Accent 11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4">
    <w:name w:val="Light Grid - Accent 514"/>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4">
    <w:name w:val="Light Grid - Accent 12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4">
    <w:name w:val="Light List - Accent 514"/>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4">
    <w:name w:val="Light List - Accent 1114"/>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4">
    <w:name w:val="Light Grid - Accent 13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4">
    <w:name w:val="Medium Grid 1 - Accent 314"/>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4">
    <w:name w:val="Grid Table 4 - Accent 314"/>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5">
    <w:name w:val="No List25"/>
    <w:next w:val="NoList"/>
    <w:uiPriority w:val="99"/>
    <w:semiHidden/>
    <w:unhideWhenUsed/>
    <w:rsid w:val="00C9597C"/>
  </w:style>
  <w:style w:type="table" w:customStyle="1" w:styleId="MediumGrid1-Accent124">
    <w:name w:val="Medium Grid 1 - Accent 124"/>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4">
    <w:name w:val="Light Grid - Accent 1124"/>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4">
    <w:name w:val="Light Grid - Accent 524"/>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4">
    <w:name w:val="Light Grid - Accent 122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4">
    <w:name w:val="Light List - Accent 524"/>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4">
    <w:name w:val="Light List - Accent 1124"/>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4">
    <w:name w:val="Light Grid - Accent 132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4">
    <w:name w:val="Medium Grid 1 - Accent 324"/>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4">
    <w:name w:val="Grid Table 4 Accent 314"/>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5">
    <w:name w:val="No List35"/>
    <w:next w:val="NoList"/>
    <w:uiPriority w:val="99"/>
    <w:semiHidden/>
    <w:unhideWhenUsed/>
    <w:rsid w:val="00C9597C"/>
  </w:style>
  <w:style w:type="table" w:customStyle="1" w:styleId="MediumGrid1-Accent134">
    <w:name w:val="Medium Grid 1 - Accent 134"/>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4">
    <w:name w:val="Light Grid - Accent 1134"/>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4">
    <w:name w:val="Light Grid - Accent 534"/>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4">
    <w:name w:val="Light Grid - Accent 123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4">
    <w:name w:val="Light List - Accent 534"/>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4">
    <w:name w:val="Light List - Accent 1134"/>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4">
    <w:name w:val="Light Grid - Accent 133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4">
    <w:name w:val="Medium Grid 1 - Accent 334"/>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4">
    <w:name w:val="Grid Table 4 Accent 324"/>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
    <w:name w:val="Table Grid14"/>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C9597C"/>
  </w:style>
  <w:style w:type="table" w:customStyle="1" w:styleId="MediumGrid1-Accent142">
    <w:name w:val="Medium Grid 1 - Accent 142"/>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2">
    <w:name w:val="Light Grid - Accent 1142"/>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2">
    <w:name w:val="Light Grid - Accent 542"/>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2">
    <w:name w:val="Light Grid - Accent 124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2">
    <w:name w:val="Light List - Accent 542"/>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2">
    <w:name w:val="Light List - Accent 1142"/>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2">
    <w:name w:val="Light Grid - Accent 134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2">
    <w:name w:val="Medium Grid 1 - Accent 342"/>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2">
    <w:name w:val="Table Grid212"/>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
    <w:name w:val="Medium Grid 3 - Accent 112"/>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2">
    <w:name w:val="No List112"/>
    <w:next w:val="NoList"/>
    <w:uiPriority w:val="99"/>
    <w:semiHidden/>
    <w:unhideWhenUsed/>
    <w:rsid w:val="00C9597C"/>
  </w:style>
  <w:style w:type="table" w:customStyle="1" w:styleId="MediumGrid1-Accent1112">
    <w:name w:val="Medium Grid 1 - Accent 1112"/>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2">
    <w:name w:val="Light Grid - Accent 111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2">
    <w:name w:val="Light Grid - Accent 5112"/>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2">
    <w:name w:val="Light Grid - Accent 121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2">
    <w:name w:val="Light List - Accent 5112"/>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2">
    <w:name w:val="Light List - Accent 11112"/>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2">
    <w:name w:val="Light Grid - Accent 131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2">
    <w:name w:val="Medium Grid 1 - Accent 3112"/>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2">
    <w:name w:val="Grid Table 4 - Accent 3112"/>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2">
    <w:name w:val="No List212"/>
    <w:next w:val="NoList"/>
    <w:uiPriority w:val="99"/>
    <w:semiHidden/>
    <w:unhideWhenUsed/>
    <w:rsid w:val="00C9597C"/>
  </w:style>
  <w:style w:type="table" w:customStyle="1" w:styleId="MediumGrid1-Accent1212">
    <w:name w:val="Medium Grid 1 - Accent 1212"/>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2">
    <w:name w:val="Light Grid - Accent 11212"/>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2">
    <w:name w:val="Light Grid - Accent 5212"/>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2">
    <w:name w:val="Light Grid - Accent 122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2">
    <w:name w:val="Light List - Accent 5212"/>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2">
    <w:name w:val="Light List - Accent 11212"/>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2">
    <w:name w:val="Light Grid - Accent 132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2">
    <w:name w:val="Medium Grid 1 - Accent 3212"/>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2">
    <w:name w:val="Grid Table 4 Accent 3112"/>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2">
    <w:name w:val="No List312"/>
    <w:next w:val="NoList"/>
    <w:uiPriority w:val="99"/>
    <w:semiHidden/>
    <w:unhideWhenUsed/>
    <w:rsid w:val="00C9597C"/>
  </w:style>
  <w:style w:type="table" w:customStyle="1" w:styleId="MediumGrid1-Accent1312">
    <w:name w:val="Medium Grid 1 - Accent 1312"/>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2">
    <w:name w:val="Light Grid - Accent 11312"/>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2">
    <w:name w:val="Light Grid - Accent 5312"/>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2">
    <w:name w:val="Light Grid - Accent 123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2">
    <w:name w:val="Light List - Accent 5312"/>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2">
    <w:name w:val="Light List - Accent 11312"/>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2">
    <w:name w:val="Light Grid - Accent 1331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2">
    <w:name w:val="Medium Grid 1 - Accent 3312"/>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2">
    <w:name w:val="Grid Table 4 Accent 3212"/>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2">
    <w:name w:val="Table Grid112"/>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C9597C"/>
  </w:style>
  <w:style w:type="table" w:customStyle="1" w:styleId="MediumGrid1-Accent152">
    <w:name w:val="Medium Grid 1 - Accent 152"/>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2">
    <w:name w:val="Light Grid - Accent 1152"/>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2">
    <w:name w:val="Light Grid - Accent 552"/>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2">
    <w:name w:val="Light Grid - Accent 125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2">
    <w:name w:val="Light List - Accent 552"/>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2">
    <w:name w:val="Light List - Accent 1152"/>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2">
    <w:name w:val="Light Grid - Accent 135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2">
    <w:name w:val="Medium Grid 1 - Accent 352"/>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2">
    <w:name w:val="No List122"/>
    <w:next w:val="NoList"/>
    <w:uiPriority w:val="99"/>
    <w:semiHidden/>
    <w:unhideWhenUsed/>
    <w:rsid w:val="00C9597C"/>
  </w:style>
  <w:style w:type="numbering" w:customStyle="1" w:styleId="NoList222">
    <w:name w:val="No List222"/>
    <w:next w:val="NoList"/>
    <w:uiPriority w:val="99"/>
    <w:semiHidden/>
    <w:unhideWhenUsed/>
    <w:rsid w:val="00C9597C"/>
  </w:style>
  <w:style w:type="numbering" w:customStyle="1" w:styleId="NoList322">
    <w:name w:val="No List322"/>
    <w:next w:val="NoList"/>
    <w:uiPriority w:val="99"/>
    <w:semiHidden/>
    <w:unhideWhenUsed/>
    <w:rsid w:val="00C9597C"/>
  </w:style>
  <w:style w:type="numbering" w:customStyle="1" w:styleId="NoList62">
    <w:name w:val="No List62"/>
    <w:next w:val="NoList"/>
    <w:uiPriority w:val="99"/>
    <w:semiHidden/>
    <w:unhideWhenUsed/>
    <w:rsid w:val="00C9597C"/>
  </w:style>
  <w:style w:type="table" w:customStyle="1" w:styleId="MediumGrid1-Accent162">
    <w:name w:val="Medium Grid 1 - Accent 162"/>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2">
    <w:name w:val="Light Grid - Accent 1162"/>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2">
    <w:name w:val="Light Grid - Accent 562"/>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2">
    <w:name w:val="Light Grid - Accent 126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2">
    <w:name w:val="Light List - Accent 562"/>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2">
    <w:name w:val="Light List - Accent 1162"/>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2">
    <w:name w:val="Light Grid - Accent 1362"/>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2">
    <w:name w:val="Medium Grid 1 - Accent 362"/>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2">
    <w:name w:val="No List132"/>
    <w:next w:val="NoList"/>
    <w:uiPriority w:val="99"/>
    <w:semiHidden/>
    <w:unhideWhenUsed/>
    <w:rsid w:val="00C9597C"/>
  </w:style>
  <w:style w:type="numbering" w:customStyle="1" w:styleId="NoList232">
    <w:name w:val="No List232"/>
    <w:next w:val="NoList"/>
    <w:uiPriority w:val="99"/>
    <w:semiHidden/>
    <w:unhideWhenUsed/>
    <w:rsid w:val="00C9597C"/>
  </w:style>
  <w:style w:type="numbering" w:customStyle="1" w:styleId="NoList332">
    <w:name w:val="No List332"/>
    <w:next w:val="NoList"/>
    <w:uiPriority w:val="99"/>
    <w:semiHidden/>
    <w:unhideWhenUsed/>
    <w:rsid w:val="00C9597C"/>
  </w:style>
  <w:style w:type="numbering" w:customStyle="1" w:styleId="NoList9">
    <w:name w:val="No List9"/>
    <w:next w:val="NoList"/>
    <w:uiPriority w:val="99"/>
    <w:semiHidden/>
    <w:unhideWhenUsed/>
    <w:rsid w:val="00C9597C"/>
  </w:style>
  <w:style w:type="table" w:customStyle="1" w:styleId="TableGrid7">
    <w:name w:val="Table Grid7"/>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5">
    <w:name w:val="Medium Grid 3 - Accent 15"/>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9">
    <w:name w:val="Medium Grid 1 - Accent 19"/>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9">
    <w:name w:val="Light Grid - Accent 119"/>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9">
    <w:name w:val="Light Grid - Accent 59"/>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9">
    <w:name w:val="Light Grid - Accent 129"/>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9">
    <w:name w:val="Light List - Accent 59"/>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9">
    <w:name w:val="Light List - Accent 119"/>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9">
    <w:name w:val="Light Grid - Accent 139"/>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9">
    <w:name w:val="Medium Grid 1 - Accent 39"/>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6">
    <w:name w:val="No List16"/>
    <w:next w:val="NoList"/>
    <w:uiPriority w:val="99"/>
    <w:semiHidden/>
    <w:unhideWhenUsed/>
    <w:rsid w:val="00C9597C"/>
  </w:style>
  <w:style w:type="table" w:customStyle="1" w:styleId="MediumGrid1-Accent115">
    <w:name w:val="Medium Grid 1 - Accent 115"/>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5">
    <w:name w:val="Light Grid - Accent 11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5">
    <w:name w:val="Light Grid - Accent 515"/>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5">
    <w:name w:val="Light Grid - Accent 12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5">
    <w:name w:val="Light List - Accent 515"/>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5">
    <w:name w:val="Light List - Accent 1115"/>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5">
    <w:name w:val="Light Grid - Accent 13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5">
    <w:name w:val="Medium Grid 1 - Accent 31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5">
    <w:name w:val="Grid Table 4 - Accent 315"/>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6">
    <w:name w:val="No List26"/>
    <w:next w:val="NoList"/>
    <w:uiPriority w:val="99"/>
    <w:semiHidden/>
    <w:unhideWhenUsed/>
    <w:rsid w:val="00C9597C"/>
  </w:style>
  <w:style w:type="table" w:customStyle="1" w:styleId="MediumGrid1-Accent125">
    <w:name w:val="Medium Grid 1 - Accent 125"/>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5">
    <w:name w:val="Light Grid - Accent 1125"/>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5">
    <w:name w:val="Light Grid - Accent 525"/>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5">
    <w:name w:val="Light Grid - Accent 122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5">
    <w:name w:val="Light List - Accent 525"/>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5">
    <w:name w:val="Light List - Accent 1125"/>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5">
    <w:name w:val="Light Grid - Accent 132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5">
    <w:name w:val="Medium Grid 1 - Accent 32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5">
    <w:name w:val="Grid Table 4 Accent 315"/>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6">
    <w:name w:val="No List36"/>
    <w:next w:val="NoList"/>
    <w:uiPriority w:val="99"/>
    <w:semiHidden/>
    <w:unhideWhenUsed/>
    <w:rsid w:val="00C9597C"/>
  </w:style>
  <w:style w:type="table" w:customStyle="1" w:styleId="MediumGrid1-Accent135">
    <w:name w:val="Medium Grid 1 - Accent 135"/>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5">
    <w:name w:val="Light Grid - Accent 1135"/>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5">
    <w:name w:val="Light Grid - Accent 535"/>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5">
    <w:name w:val="Light Grid - Accent 123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5">
    <w:name w:val="Light List - Accent 535"/>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5">
    <w:name w:val="Light List - Accent 1135"/>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5">
    <w:name w:val="Light Grid - Accent 133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5">
    <w:name w:val="Medium Grid 1 - Accent 33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5">
    <w:name w:val="Grid Table 4 Accent 325"/>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5">
    <w:name w:val="Table Grid15"/>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C9597C"/>
  </w:style>
  <w:style w:type="table" w:customStyle="1" w:styleId="MediumGrid1-Accent143">
    <w:name w:val="Medium Grid 1 - Accent 143"/>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3">
    <w:name w:val="Light Grid - Accent 1143"/>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3">
    <w:name w:val="Light Grid - Accent 543"/>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3">
    <w:name w:val="Light Grid - Accent 124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3">
    <w:name w:val="Light List - Accent 543"/>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3">
    <w:name w:val="Light List - Accent 1143"/>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3">
    <w:name w:val="Light Grid - Accent 134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3">
    <w:name w:val="Medium Grid 1 - Accent 343"/>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3">
    <w:name w:val="Table Grid213"/>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3">
    <w:name w:val="Medium Grid 3 - Accent 113"/>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3">
    <w:name w:val="No List113"/>
    <w:next w:val="NoList"/>
    <w:uiPriority w:val="99"/>
    <w:semiHidden/>
    <w:unhideWhenUsed/>
    <w:rsid w:val="00C9597C"/>
  </w:style>
  <w:style w:type="table" w:customStyle="1" w:styleId="MediumGrid1-Accent1113">
    <w:name w:val="Medium Grid 1 - Accent 1113"/>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3">
    <w:name w:val="Light Grid - Accent 111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3">
    <w:name w:val="Light Grid - Accent 5113"/>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3">
    <w:name w:val="Light Grid - Accent 121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3">
    <w:name w:val="Light List - Accent 5113"/>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3">
    <w:name w:val="Light List - Accent 11113"/>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3">
    <w:name w:val="Light Grid - Accent 131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3">
    <w:name w:val="Medium Grid 1 - Accent 3113"/>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3">
    <w:name w:val="Grid Table 4 - Accent 3113"/>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3">
    <w:name w:val="No List213"/>
    <w:next w:val="NoList"/>
    <w:uiPriority w:val="99"/>
    <w:semiHidden/>
    <w:unhideWhenUsed/>
    <w:rsid w:val="00C9597C"/>
  </w:style>
  <w:style w:type="table" w:customStyle="1" w:styleId="MediumGrid1-Accent1213">
    <w:name w:val="Medium Grid 1 - Accent 1213"/>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3">
    <w:name w:val="Light Grid - Accent 11213"/>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3">
    <w:name w:val="Light Grid - Accent 5213"/>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3">
    <w:name w:val="Light Grid - Accent 122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3">
    <w:name w:val="Light List - Accent 5213"/>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3">
    <w:name w:val="Light List - Accent 11213"/>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3">
    <w:name w:val="Light Grid - Accent 132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3">
    <w:name w:val="Medium Grid 1 - Accent 3213"/>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3">
    <w:name w:val="Grid Table 4 Accent 3113"/>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3">
    <w:name w:val="No List313"/>
    <w:next w:val="NoList"/>
    <w:uiPriority w:val="99"/>
    <w:semiHidden/>
    <w:unhideWhenUsed/>
    <w:rsid w:val="00C9597C"/>
  </w:style>
  <w:style w:type="table" w:customStyle="1" w:styleId="MediumGrid1-Accent1313">
    <w:name w:val="Medium Grid 1 - Accent 1313"/>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3">
    <w:name w:val="Light Grid - Accent 11313"/>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3">
    <w:name w:val="Light Grid - Accent 5313"/>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3">
    <w:name w:val="Light Grid - Accent 123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3">
    <w:name w:val="Light List - Accent 5313"/>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3">
    <w:name w:val="Light List - Accent 11313"/>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3">
    <w:name w:val="Light Grid - Accent 1331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3">
    <w:name w:val="Medium Grid 1 - Accent 3313"/>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3">
    <w:name w:val="Grid Table 4 Accent 3213"/>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3">
    <w:name w:val="Table Grid113"/>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C9597C"/>
  </w:style>
  <w:style w:type="table" w:customStyle="1" w:styleId="MediumGrid1-Accent153">
    <w:name w:val="Medium Grid 1 - Accent 153"/>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3">
    <w:name w:val="Light Grid - Accent 1153"/>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3">
    <w:name w:val="Light Grid - Accent 553"/>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3">
    <w:name w:val="Light Grid - Accent 125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3">
    <w:name w:val="Light List - Accent 553"/>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3">
    <w:name w:val="Light List - Accent 1153"/>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3">
    <w:name w:val="Light Grid - Accent 135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3">
    <w:name w:val="Medium Grid 1 - Accent 353"/>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3">
    <w:name w:val="No List123"/>
    <w:next w:val="NoList"/>
    <w:uiPriority w:val="99"/>
    <w:semiHidden/>
    <w:unhideWhenUsed/>
    <w:rsid w:val="00C9597C"/>
  </w:style>
  <w:style w:type="numbering" w:customStyle="1" w:styleId="NoList223">
    <w:name w:val="No List223"/>
    <w:next w:val="NoList"/>
    <w:uiPriority w:val="99"/>
    <w:semiHidden/>
    <w:unhideWhenUsed/>
    <w:rsid w:val="00C9597C"/>
  </w:style>
  <w:style w:type="numbering" w:customStyle="1" w:styleId="NoList323">
    <w:name w:val="No List323"/>
    <w:next w:val="NoList"/>
    <w:uiPriority w:val="99"/>
    <w:semiHidden/>
    <w:unhideWhenUsed/>
    <w:rsid w:val="00C9597C"/>
  </w:style>
  <w:style w:type="numbering" w:customStyle="1" w:styleId="NoList63">
    <w:name w:val="No List63"/>
    <w:next w:val="NoList"/>
    <w:uiPriority w:val="99"/>
    <w:semiHidden/>
    <w:unhideWhenUsed/>
    <w:rsid w:val="00C9597C"/>
  </w:style>
  <w:style w:type="table" w:customStyle="1" w:styleId="MediumGrid1-Accent163">
    <w:name w:val="Medium Grid 1 - Accent 163"/>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3">
    <w:name w:val="Light Grid - Accent 1163"/>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3">
    <w:name w:val="Light Grid - Accent 563"/>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3">
    <w:name w:val="Light Grid - Accent 126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3">
    <w:name w:val="Light List - Accent 563"/>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3">
    <w:name w:val="Light List - Accent 1163"/>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3">
    <w:name w:val="Light Grid - Accent 1363"/>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3">
    <w:name w:val="Medium Grid 1 - Accent 363"/>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3">
    <w:name w:val="No List133"/>
    <w:next w:val="NoList"/>
    <w:uiPriority w:val="99"/>
    <w:semiHidden/>
    <w:unhideWhenUsed/>
    <w:rsid w:val="00C9597C"/>
  </w:style>
  <w:style w:type="numbering" w:customStyle="1" w:styleId="NoList233">
    <w:name w:val="No List233"/>
    <w:next w:val="NoList"/>
    <w:uiPriority w:val="99"/>
    <w:semiHidden/>
    <w:unhideWhenUsed/>
    <w:rsid w:val="00C9597C"/>
  </w:style>
  <w:style w:type="numbering" w:customStyle="1" w:styleId="NoList333">
    <w:name w:val="No List333"/>
    <w:next w:val="NoList"/>
    <w:uiPriority w:val="99"/>
    <w:semiHidden/>
    <w:unhideWhenUsed/>
    <w:rsid w:val="00C9597C"/>
  </w:style>
  <w:style w:type="numbering" w:customStyle="1" w:styleId="NoList10">
    <w:name w:val="No List10"/>
    <w:next w:val="NoList"/>
    <w:uiPriority w:val="99"/>
    <w:semiHidden/>
    <w:unhideWhenUsed/>
    <w:rsid w:val="00C9597C"/>
  </w:style>
  <w:style w:type="table" w:customStyle="1" w:styleId="TableGrid8">
    <w:name w:val="Table Grid8"/>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6">
    <w:name w:val="Medium Grid 3 - Accent 16"/>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0">
    <w:name w:val="Medium Grid 1 - Accent 110"/>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0">
    <w:name w:val="Light Grid - Accent 1110"/>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0">
    <w:name w:val="Light Grid - Accent 510"/>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0">
    <w:name w:val="Light Grid - Accent 1210"/>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0">
    <w:name w:val="Light List - Accent 510"/>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0">
    <w:name w:val="Light List - Accent 1110"/>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0">
    <w:name w:val="Light Grid - Accent 1310"/>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0">
    <w:name w:val="Medium Grid 1 - Accent 310"/>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7">
    <w:name w:val="No List17"/>
    <w:next w:val="NoList"/>
    <w:uiPriority w:val="99"/>
    <w:semiHidden/>
    <w:unhideWhenUsed/>
    <w:rsid w:val="00C9597C"/>
  </w:style>
  <w:style w:type="table" w:customStyle="1" w:styleId="MediumGrid1-Accent116">
    <w:name w:val="Medium Grid 1 - Accent 116"/>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6">
    <w:name w:val="Light Grid - Accent 11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6">
    <w:name w:val="Light Grid - Accent 516"/>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6">
    <w:name w:val="Light Grid - Accent 12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6">
    <w:name w:val="Light List - Accent 516"/>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6">
    <w:name w:val="Light List - Accent 1116"/>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6">
    <w:name w:val="Light Grid - Accent 13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6">
    <w:name w:val="Medium Grid 1 - Accent 316"/>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6">
    <w:name w:val="Grid Table 4 - Accent 316"/>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7">
    <w:name w:val="No List27"/>
    <w:next w:val="NoList"/>
    <w:uiPriority w:val="99"/>
    <w:semiHidden/>
    <w:unhideWhenUsed/>
    <w:rsid w:val="00C9597C"/>
  </w:style>
  <w:style w:type="table" w:customStyle="1" w:styleId="MediumGrid1-Accent126">
    <w:name w:val="Medium Grid 1 - Accent 126"/>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6">
    <w:name w:val="Light Grid - Accent 1126"/>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6">
    <w:name w:val="Light Grid - Accent 526"/>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6">
    <w:name w:val="Light Grid - Accent 122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6">
    <w:name w:val="Light List - Accent 526"/>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6">
    <w:name w:val="Light List - Accent 1126"/>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6">
    <w:name w:val="Light Grid - Accent 132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6">
    <w:name w:val="Medium Grid 1 - Accent 326"/>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6">
    <w:name w:val="Grid Table 4 Accent 316"/>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7">
    <w:name w:val="No List37"/>
    <w:next w:val="NoList"/>
    <w:uiPriority w:val="99"/>
    <w:semiHidden/>
    <w:unhideWhenUsed/>
    <w:rsid w:val="00C9597C"/>
  </w:style>
  <w:style w:type="table" w:customStyle="1" w:styleId="MediumGrid1-Accent136">
    <w:name w:val="Medium Grid 1 - Accent 136"/>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6">
    <w:name w:val="Light Grid - Accent 1136"/>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6">
    <w:name w:val="Light Grid - Accent 536"/>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6">
    <w:name w:val="Light Grid - Accent 123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6">
    <w:name w:val="Light List - Accent 536"/>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6">
    <w:name w:val="Light List - Accent 1136"/>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6">
    <w:name w:val="Light Grid - Accent 133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6">
    <w:name w:val="Medium Grid 1 - Accent 336"/>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6">
    <w:name w:val="Grid Table 4 Accent 326"/>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6">
    <w:name w:val="Table Grid16"/>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C9597C"/>
  </w:style>
  <w:style w:type="table" w:customStyle="1" w:styleId="MediumGrid1-Accent144">
    <w:name w:val="Medium Grid 1 - Accent 144"/>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4">
    <w:name w:val="Light Grid - Accent 1144"/>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4">
    <w:name w:val="Light Grid - Accent 544"/>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4">
    <w:name w:val="Light Grid - Accent 124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4">
    <w:name w:val="Light List - Accent 544"/>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4">
    <w:name w:val="Light List - Accent 1144"/>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4">
    <w:name w:val="Light Grid - Accent 134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4">
    <w:name w:val="Medium Grid 1 - Accent 344"/>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4">
    <w:name w:val="Table Grid214"/>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4">
    <w:name w:val="Medium Grid 3 - Accent 114"/>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4">
    <w:name w:val="No List114"/>
    <w:next w:val="NoList"/>
    <w:uiPriority w:val="99"/>
    <w:semiHidden/>
    <w:unhideWhenUsed/>
    <w:rsid w:val="00C9597C"/>
  </w:style>
  <w:style w:type="table" w:customStyle="1" w:styleId="MediumGrid1-Accent1114">
    <w:name w:val="Medium Grid 1 - Accent 1114"/>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4">
    <w:name w:val="Light Grid - Accent 111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4">
    <w:name w:val="Light Grid - Accent 5114"/>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4">
    <w:name w:val="Light Grid - Accent 121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4">
    <w:name w:val="Light List - Accent 5114"/>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4">
    <w:name w:val="Light List - Accent 11114"/>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4">
    <w:name w:val="Light Grid - Accent 131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4">
    <w:name w:val="Medium Grid 1 - Accent 3114"/>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4">
    <w:name w:val="Grid Table 4 - Accent 3114"/>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4">
    <w:name w:val="No List214"/>
    <w:next w:val="NoList"/>
    <w:uiPriority w:val="99"/>
    <w:semiHidden/>
    <w:unhideWhenUsed/>
    <w:rsid w:val="00C9597C"/>
  </w:style>
  <w:style w:type="table" w:customStyle="1" w:styleId="MediumGrid1-Accent1214">
    <w:name w:val="Medium Grid 1 - Accent 1214"/>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4">
    <w:name w:val="Light Grid - Accent 11214"/>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4">
    <w:name w:val="Light Grid - Accent 5214"/>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4">
    <w:name w:val="Light Grid - Accent 122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4">
    <w:name w:val="Light List - Accent 5214"/>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4">
    <w:name w:val="Light List - Accent 11214"/>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4">
    <w:name w:val="Light Grid - Accent 132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4">
    <w:name w:val="Medium Grid 1 - Accent 3214"/>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4">
    <w:name w:val="Grid Table 4 Accent 3114"/>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4">
    <w:name w:val="No List314"/>
    <w:next w:val="NoList"/>
    <w:uiPriority w:val="99"/>
    <w:semiHidden/>
    <w:unhideWhenUsed/>
    <w:rsid w:val="00C9597C"/>
  </w:style>
  <w:style w:type="table" w:customStyle="1" w:styleId="MediumGrid1-Accent1314">
    <w:name w:val="Medium Grid 1 - Accent 1314"/>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4">
    <w:name w:val="Light Grid - Accent 11314"/>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4">
    <w:name w:val="Light Grid - Accent 5314"/>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4">
    <w:name w:val="Light Grid - Accent 123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4">
    <w:name w:val="Light List - Accent 5314"/>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4">
    <w:name w:val="Light List - Accent 11314"/>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4">
    <w:name w:val="Light Grid - Accent 1331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4">
    <w:name w:val="Medium Grid 1 - Accent 3314"/>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4">
    <w:name w:val="Grid Table 4 Accent 3214"/>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4">
    <w:name w:val="Table Grid114"/>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C9597C"/>
  </w:style>
  <w:style w:type="table" w:customStyle="1" w:styleId="MediumGrid1-Accent154">
    <w:name w:val="Medium Grid 1 - Accent 154"/>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4">
    <w:name w:val="Light Grid - Accent 1154"/>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4">
    <w:name w:val="Light Grid - Accent 554"/>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4">
    <w:name w:val="Light Grid - Accent 125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4">
    <w:name w:val="Light List - Accent 554"/>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4">
    <w:name w:val="Light List - Accent 1154"/>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4">
    <w:name w:val="Light Grid - Accent 135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4">
    <w:name w:val="Medium Grid 1 - Accent 354"/>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4">
    <w:name w:val="No List124"/>
    <w:next w:val="NoList"/>
    <w:uiPriority w:val="99"/>
    <w:semiHidden/>
    <w:unhideWhenUsed/>
    <w:rsid w:val="00C9597C"/>
  </w:style>
  <w:style w:type="numbering" w:customStyle="1" w:styleId="NoList224">
    <w:name w:val="No List224"/>
    <w:next w:val="NoList"/>
    <w:uiPriority w:val="99"/>
    <w:semiHidden/>
    <w:unhideWhenUsed/>
    <w:rsid w:val="00C9597C"/>
  </w:style>
  <w:style w:type="numbering" w:customStyle="1" w:styleId="NoList324">
    <w:name w:val="No List324"/>
    <w:next w:val="NoList"/>
    <w:uiPriority w:val="99"/>
    <w:semiHidden/>
    <w:unhideWhenUsed/>
    <w:rsid w:val="00C9597C"/>
  </w:style>
  <w:style w:type="numbering" w:customStyle="1" w:styleId="NoList64">
    <w:name w:val="No List64"/>
    <w:next w:val="NoList"/>
    <w:uiPriority w:val="99"/>
    <w:semiHidden/>
    <w:unhideWhenUsed/>
    <w:rsid w:val="00C9597C"/>
  </w:style>
  <w:style w:type="table" w:customStyle="1" w:styleId="MediumGrid1-Accent164">
    <w:name w:val="Medium Grid 1 - Accent 164"/>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4">
    <w:name w:val="Light Grid - Accent 1164"/>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4">
    <w:name w:val="Light Grid - Accent 564"/>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4">
    <w:name w:val="Light Grid - Accent 126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4">
    <w:name w:val="Light List - Accent 564"/>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4">
    <w:name w:val="Light List - Accent 1164"/>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4">
    <w:name w:val="Light Grid - Accent 1364"/>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4">
    <w:name w:val="Medium Grid 1 - Accent 364"/>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4">
    <w:name w:val="No List134"/>
    <w:next w:val="NoList"/>
    <w:uiPriority w:val="99"/>
    <w:semiHidden/>
    <w:unhideWhenUsed/>
    <w:rsid w:val="00C9597C"/>
  </w:style>
  <w:style w:type="numbering" w:customStyle="1" w:styleId="NoList234">
    <w:name w:val="No List234"/>
    <w:next w:val="NoList"/>
    <w:uiPriority w:val="99"/>
    <w:semiHidden/>
    <w:unhideWhenUsed/>
    <w:rsid w:val="00C9597C"/>
  </w:style>
  <w:style w:type="numbering" w:customStyle="1" w:styleId="NoList334">
    <w:name w:val="No List334"/>
    <w:next w:val="NoList"/>
    <w:uiPriority w:val="99"/>
    <w:semiHidden/>
    <w:unhideWhenUsed/>
    <w:rsid w:val="00C9597C"/>
  </w:style>
  <w:style w:type="numbering" w:customStyle="1" w:styleId="NoList18">
    <w:name w:val="No List18"/>
    <w:next w:val="NoList"/>
    <w:uiPriority w:val="99"/>
    <w:semiHidden/>
    <w:unhideWhenUsed/>
    <w:rsid w:val="00C9597C"/>
  </w:style>
  <w:style w:type="table" w:customStyle="1" w:styleId="TableGrid9">
    <w:name w:val="Table Grid9"/>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7">
    <w:name w:val="Medium Grid 3 - Accent 17"/>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7">
    <w:name w:val="Medium Grid 1 - Accent 117"/>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7">
    <w:name w:val="Light Grid - Accent 1117"/>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7">
    <w:name w:val="Light Grid - Accent 517"/>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7">
    <w:name w:val="Light Grid - Accent 1217"/>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7">
    <w:name w:val="Light List - Accent 517"/>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7">
    <w:name w:val="Light List - Accent 1117"/>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7">
    <w:name w:val="Light Grid - Accent 1317"/>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7">
    <w:name w:val="Medium Grid 1 - Accent 317"/>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9">
    <w:name w:val="No List19"/>
    <w:next w:val="NoList"/>
    <w:uiPriority w:val="99"/>
    <w:semiHidden/>
    <w:unhideWhenUsed/>
    <w:rsid w:val="00C9597C"/>
  </w:style>
  <w:style w:type="table" w:customStyle="1" w:styleId="MediumGrid1-Accent118">
    <w:name w:val="Medium Grid 1 - Accent 118"/>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8">
    <w:name w:val="Light Grid - Accent 1118"/>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8">
    <w:name w:val="Light Grid - Accent 518"/>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8">
    <w:name w:val="Light Grid - Accent 1218"/>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8">
    <w:name w:val="Light List - Accent 518"/>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8">
    <w:name w:val="Light List - Accent 1118"/>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8">
    <w:name w:val="Light Grid - Accent 1318"/>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8">
    <w:name w:val="Medium Grid 1 - Accent 318"/>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7">
    <w:name w:val="Grid Table 4 - Accent 317"/>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8">
    <w:name w:val="No List28"/>
    <w:next w:val="NoList"/>
    <w:uiPriority w:val="99"/>
    <w:semiHidden/>
    <w:unhideWhenUsed/>
    <w:rsid w:val="00C9597C"/>
  </w:style>
  <w:style w:type="table" w:customStyle="1" w:styleId="MediumGrid1-Accent127">
    <w:name w:val="Medium Grid 1 - Accent 127"/>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7">
    <w:name w:val="Light Grid - Accent 1127"/>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7">
    <w:name w:val="Light Grid - Accent 527"/>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7">
    <w:name w:val="Light Grid - Accent 1227"/>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7">
    <w:name w:val="Light List - Accent 527"/>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7">
    <w:name w:val="Light List - Accent 1127"/>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7">
    <w:name w:val="Light Grid - Accent 1327"/>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7">
    <w:name w:val="Medium Grid 1 - Accent 327"/>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7">
    <w:name w:val="Grid Table 4 Accent 317"/>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8">
    <w:name w:val="No List38"/>
    <w:next w:val="NoList"/>
    <w:uiPriority w:val="99"/>
    <w:semiHidden/>
    <w:unhideWhenUsed/>
    <w:rsid w:val="00C9597C"/>
  </w:style>
  <w:style w:type="table" w:customStyle="1" w:styleId="MediumGrid1-Accent137">
    <w:name w:val="Medium Grid 1 - Accent 137"/>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7">
    <w:name w:val="Light Grid - Accent 1137"/>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7">
    <w:name w:val="Light Grid - Accent 537"/>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7">
    <w:name w:val="Light Grid - Accent 1237"/>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7">
    <w:name w:val="Light List - Accent 537"/>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7">
    <w:name w:val="Light List - Accent 1137"/>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7">
    <w:name w:val="Light Grid - Accent 1337"/>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7">
    <w:name w:val="Medium Grid 1 - Accent 337"/>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7">
    <w:name w:val="Grid Table 4 Accent 327"/>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7">
    <w:name w:val="Table Grid17"/>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C9597C"/>
  </w:style>
  <w:style w:type="table" w:customStyle="1" w:styleId="MediumGrid1-Accent145">
    <w:name w:val="Medium Grid 1 - Accent 145"/>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5">
    <w:name w:val="Light Grid - Accent 1145"/>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5">
    <w:name w:val="Light Grid - Accent 545"/>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5">
    <w:name w:val="Light Grid - Accent 124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5">
    <w:name w:val="Light List - Accent 545"/>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5">
    <w:name w:val="Light List - Accent 1145"/>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5">
    <w:name w:val="Light Grid - Accent 134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5">
    <w:name w:val="Medium Grid 1 - Accent 34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5">
    <w:name w:val="Table Grid215"/>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5">
    <w:name w:val="Medium Grid 3 - Accent 115"/>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5">
    <w:name w:val="No List115"/>
    <w:next w:val="NoList"/>
    <w:uiPriority w:val="99"/>
    <w:semiHidden/>
    <w:unhideWhenUsed/>
    <w:rsid w:val="00C9597C"/>
  </w:style>
  <w:style w:type="table" w:customStyle="1" w:styleId="MediumGrid1-Accent1115">
    <w:name w:val="Medium Grid 1 - Accent 1115"/>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5">
    <w:name w:val="Light Grid - Accent 111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5">
    <w:name w:val="Light Grid - Accent 5115"/>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5">
    <w:name w:val="Light Grid - Accent 121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5">
    <w:name w:val="Light List - Accent 5115"/>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5">
    <w:name w:val="Light List - Accent 11115"/>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5">
    <w:name w:val="Light Grid - Accent 131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5">
    <w:name w:val="Medium Grid 1 - Accent 311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5">
    <w:name w:val="Grid Table 4 - Accent 3115"/>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5">
    <w:name w:val="No List215"/>
    <w:next w:val="NoList"/>
    <w:uiPriority w:val="99"/>
    <w:semiHidden/>
    <w:unhideWhenUsed/>
    <w:rsid w:val="00C9597C"/>
  </w:style>
  <w:style w:type="table" w:customStyle="1" w:styleId="MediumGrid1-Accent1215">
    <w:name w:val="Medium Grid 1 - Accent 1215"/>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5">
    <w:name w:val="Light Grid - Accent 11215"/>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5">
    <w:name w:val="Light Grid - Accent 5215"/>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5">
    <w:name w:val="Light Grid - Accent 122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5">
    <w:name w:val="Light List - Accent 5215"/>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5">
    <w:name w:val="Light List - Accent 11215"/>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5">
    <w:name w:val="Light Grid - Accent 132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5">
    <w:name w:val="Medium Grid 1 - Accent 321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5">
    <w:name w:val="Grid Table 4 Accent 3115"/>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5">
    <w:name w:val="No List315"/>
    <w:next w:val="NoList"/>
    <w:uiPriority w:val="99"/>
    <w:semiHidden/>
    <w:unhideWhenUsed/>
    <w:rsid w:val="00C9597C"/>
  </w:style>
  <w:style w:type="table" w:customStyle="1" w:styleId="MediumGrid1-Accent1315">
    <w:name w:val="Medium Grid 1 - Accent 1315"/>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5">
    <w:name w:val="Light Grid - Accent 11315"/>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5">
    <w:name w:val="Light Grid - Accent 5315"/>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5">
    <w:name w:val="Light Grid - Accent 123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5">
    <w:name w:val="Light List - Accent 5315"/>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5">
    <w:name w:val="Light List - Accent 11315"/>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5">
    <w:name w:val="Light Grid - Accent 1331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5">
    <w:name w:val="Medium Grid 1 - Accent 331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5">
    <w:name w:val="Grid Table 4 Accent 3215"/>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5">
    <w:name w:val="Table Grid115"/>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C9597C"/>
  </w:style>
  <w:style w:type="table" w:customStyle="1" w:styleId="MediumGrid1-Accent155">
    <w:name w:val="Medium Grid 1 - Accent 155"/>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5">
    <w:name w:val="Light Grid - Accent 1155"/>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5">
    <w:name w:val="Light Grid - Accent 555"/>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5">
    <w:name w:val="Light Grid - Accent 125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5">
    <w:name w:val="Light List - Accent 555"/>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5">
    <w:name w:val="Light List - Accent 1155"/>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5">
    <w:name w:val="Light Grid - Accent 135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5">
    <w:name w:val="Medium Grid 1 - Accent 35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5">
    <w:name w:val="No List125"/>
    <w:next w:val="NoList"/>
    <w:uiPriority w:val="99"/>
    <w:semiHidden/>
    <w:unhideWhenUsed/>
    <w:rsid w:val="00C9597C"/>
  </w:style>
  <w:style w:type="numbering" w:customStyle="1" w:styleId="NoList225">
    <w:name w:val="No List225"/>
    <w:next w:val="NoList"/>
    <w:uiPriority w:val="99"/>
    <w:semiHidden/>
    <w:unhideWhenUsed/>
    <w:rsid w:val="00C9597C"/>
  </w:style>
  <w:style w:type="numbering" w:customStyle="1" w:styleId="NoList325">
    <w:name w:val="No List325"/>
    <w:next w:val="NoList"/>
    <w:uiPriority w:val="99"/>
    <w:semiHidden/>
    <w:unhideWhenUsed/>
    <w:rsid w:val="00C9597C"/>
  </w:style>
  <w:style w:type="numbering" w:customStyle="1" w:styleId="NoList65">
    <w:name w:val="No List65"/>
    <w:next w:val="NoList"/>
    <w:uiPriority w:val="99"/>
    <w:semiHidden/>
    <w:unhideWhenUsed/>
    <w:rsid w:val="00C9597C"/>
  </w:style>
  <w:style w:type="table" w:customStyle="1" w:styleId="MediumGrid1-Accent165">
    <w:name w:val="Medium Grid 1 - Accent 165"/>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5">
    <w:name w:val="Light Grid - Accent 1165"/>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5">
    <w:name w:val="Light Grid - Accent 565"/>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5">
    <w:name w:val="Light Grid - Accent 126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5">
    <w:name w:val="Light List - Accent 565"/>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5">
    <w:name w:val="Light List - Accent 1165"/>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5">
    <w:name w:val="Light Grid - Accent 1365"/>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5">
    <w:name w:val="Medium Grid 1 - Accent 365"/>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5">
    <w:name w:val="No List135"/>
    <w:next w:val="NoList"/>
    <w:uiPriority w:val="99"/>
    <w:semiHidden/>
    <w:unhideWhenUsed/>
    <w:rsid w:val="00C9597C"/>
  </w:style>
  <w:style w:type="numbering" w:customStyle="1" w:styleId="NoList235">
    <w:name w:val="No List235"/>
    <w:next w:val="NoList"/>
    <w:uiPriority w:val="99"/>
    <w:semiHidden/>
    <w:unhideWhenUsed/>
    <w:rsid w:val="00C9597C"/>
  </w:style>
  <w:style w:type="numbering" w:customStyle="1" w:styleId="NoList335">
    <w:name w:val="No List335"/>
    <w:next w:val="NoList"/>
    <w:uiPriority w:val="99"/>
    <w:semiHidden/>
    <w:unhideWhenUsed/>
    <w:rsid w:val="00C9597C"/>
  </w:style>
  <w:style w:type="numbering" w:customStyle="1" w:styleId="NoList20">
    <w:name w:val="No List20"/>
    <w:next w:val="NoList"/>
    <w:uiPriority w:val="99"/>
    <w:semiHidden/>
    <w:unhideWhenUsed/>
    <w:rsid w:val="00C9597C"/>
  </w:style>
  <w:style w:type="table" w:customStyle="1" w:styleId="TableGrid10">
    <w:name w:val="Table Grid10"/>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8">
    <w:name w:val="Medium Grid 3 - Accent 18"/>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9">
    <w:name w:val="Medium Grid 1 - Accent 119"/>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9">
    <w:name w:val="Light Grid - Accent 1119"/>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9">
    <w:name w:val="Light Grid - Accent 519"/>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9">
    <w:name w:val="Light Grid - Accent 1219"/>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9">
    <w:name w:val="Light List - Accent 519"/>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9">
    <w:name w:val="Light List - Accent 1119"/>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9">
    <w:name w:val="Light Grid - Accent 1319"/>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9">
    <w:name w:val="Medium Grid 1 - Accent 319"/>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0">
    <w:name w:val="No List110"/>
    <w:next w:val="NoList"/>
    <w:uiPriority w:val="99"/>
    <w:semiHidden/>
    <w:unhideWhenUsed/>
    <w:rsid w:val="00C9597C"/>
  </w:style>
  <w:style w:type="table" w:customStyle="1" w:styleId="MediumGrid1-Accent1110">
    <w:name w:val="Medium Grid 1 - Accent 1110"/>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0">
    <w:name w:val="Light Grid - Accent 11110"/>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0">
    <w:name w:val="Light Grid - Accent 5110"/>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0">
    <w:name w:val="Light Grid - Accent 12110"/>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0">
    <w:name w:val="Light List - Accent 5110"/>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0">
    <w:name w:val="Light List - Accent 11110"/>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0">
    <w:name w:val="Light Grid - Accent 13110"/>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0">
    <w:name w:val="Medium Grid 1 - Accent 3110"/>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8">
    <w:name w:val="Grid Table 4 - Accent 318"/>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9">
    <w:name w:val="No List29"/>
    <w:next w:val="NoList"/>
    <w:uiPriority w:val="99"/>
    <w:semiHidden/>
    <w:unhideWhenUsed/>
    <w:rsid w:val="00C9597C"/>
  </w:style>
  <w:style w:type="table" w:customStyle="1" w:styleId="MediumGrid1-Accent128">
    <w:name w:val="Medium Grid 1 - Accent 128"/>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8">
    <w:name w:val="Light Grid - Accent 1128"/>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8">
    <w:name w:val="Light Grid - Accent 528"/>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8">
    <w:name w:val="Light Grid - Accent 1228"/>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8">
    <w:name w:val="Light List - Accent 528"/>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8">
    <w:name w:val="Light List - Accent 1128"/>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8">
    <w:name w:val="Light Grid - Accent 1328"/>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8">
    <w:name w:val="Medium Grid 1 - Accent 328"/>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8">
    <w:name w:val="Grid Table 4 Accent 318"/>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9">
    <w:name w:val="No List39"/>
    <w:next w:val="NoList"/>
    <w:uiPriority w:val="99"/>
    <w:semiHidden/>
    <w:unhideWhenUsed/>
    <w:rsid w:val="00C9597C"/>
  </w:style>
  <w:style w:type="table" w:customStyle="1" w:styleId="MediumGrid1-Accent138">
    <w:name w:val="Medium Grid 1 - Accent 138"/>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8">
    <w:name w:val="Light Grid - Accent 1138"/>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8">
    <w:name w:val="Light Grid - Accent 538"/>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8">
    <w:name w:val="Light Grid - Accent 1238"/>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8">
    <w:name w:val="Light List - Accent 538"/>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8">
    <w:name w:val="Light List - Accent 1138"/>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8">
    <w:name w:val="Light Grid - Accent 1338"/>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8">
    <w:name w:val="Medium Grid 1 - Accent 338"/>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8">
    <w:name w:val="Grid Table 4 Accent 328"/>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8">
    <w:name w:val="Table Grid18"/>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C9597C"/>
  </w:style>
  <w:style w:type="table" w:customStyle="1" w:styleId="MediumGrid1-Accent146">
    <w:name w:val="Medium Grid 1 - Accent 146"/>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6">
    <w:name w:val="Light Grid - Accent 1146"/>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6">
    <w:name w:val="Light Grid - Accent 546"/>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6">
    <w:name w:val="Light Grid - Accent 124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6">
    <w:name w:val="Light List - Accent 546"/>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6">
    <w:name w:val="Light List - Accent 1146"/>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6">
    <w:name w:val="Light Grid - Accent 134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6">
    <w:name w:val="Medium Grid 1 - Accent 346"/>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31">
    <w:name w:val="Table Grid3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6">
    <w:name w:val="Medium Grid 3 - Accent 116"/>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6">
    <w:name w:val="No List116"/>
    <w:next w:val="NoList"/>
    <w:uiPriority w:val="99"/>
    <w:semiHidden/>
    <w:unhideWhenUsed/>
    <w:rsid w:val="00C9597C"/>
  </w:style>
  <w:style w:type="table" w:customStyle="1" w:styleId="MediumGrid1-Accent1116">
    <w:name w:val="Medium Grid 1 - Accent 1116"/>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6">
    <w:name w:val="Light Grid - Accent 111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6">
    <w:name w:val="Light Grid - Accent 5116"/>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6">
    <w:name w:val="Light Grid - Accent 121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6">
    <w:name w:val="Light List - Accent 5116"/>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6">
    <w:name w:val="Light List - Accent 11116"/>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6">
    <w:name w:val="Light Grid - Accent 131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6">
    <w:name w:val="Medium Grid 1 - Accent 3116"/>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6">
    <w:name w:val="Grid Table 4 - Accent 3116"/>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6">
    <w:name w:val="No List216"/>
    <w:next w:val="NoList"/>
    <w:uiPriority w:val="99"/>
    <w:semiHidden/>
    <w:unhideWhenUsed/>
    <w:rsid w:val="00C9597C"/>
  </w:style>
  <w:style w:type="table" w:customStyle="1" w:styleId="MediumGrid1-Accent1216">
    <w:name w:val="Medium Grid 1 - Accent 1216"/>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6">
    <w:name w:val="Light Grid - Accent 11216"/>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6">
    <w:name w:val="Light Grid - Accent 5216"/>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6">
    <w:name w:val="Light Grid - Accent 122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6">
    <w:name w:val="Light List - Accent 5216"/>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6">
    <w:name w:val="Light List - Accent 11216"/>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6">
    <w:name w:val="Light Grid - Accent 132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6">
    <w:name w:val="Medium Grid 1 - Accent 3216"/>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6">
    <w:name w:val="Grid Table 4 Accent 3116"/>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6">
    <w:name w:val="No List316"/>
    <w:next w:val="NoList"/>
    <w:uiPriority w:val="99"/>
    <w:semiHidden/>
    <w:unhideWhenUsed/>
    <w:rsid w:val="00C9597C"/>
  </w:style>
  <w:style w:type="table" w:customStyle="1" w:styleId="MediumGrid1-Accent1316">
    <w:name w:val="Medium Grid 1 - Accent 1316"/>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6">
    <w:name w:val="Light Grid - Accent 11316"/>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6">
    <w:name w:val="Light Grid - Accent 5316"/>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6">
    <w:name w:val="Light Grid - Accent 123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6">
    <w:name w:val="Light List - Accent 5316"/>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6">
    <w:name w:val="Light List - Accent 11316"/>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6">
    <w:name w:val="Light Grid - Accent 1331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6">
    <w:name w:val="Medium Grid 1 - Accent 3316"/>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6">
    <w:name w:val="Grid Table 4 Accent 3216"/>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6">
    <w:name w:val="Table Grid116"/>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
    <w:name w:val="No List56"/>
    <w:next w:val="NoList"/>
    <w:uiPriority w:val="99"/>
    <w:semiHidden/>
    <w:unhideWhenUsed/>
    <w:rsid w:val="00C9597C"/>
  </w:style>
  <w:style w:type="table" w:customStyle="1" w:styleId="TableGrid41">
    <w:name w:val="Table Grid41"/>
    <w:basedOn w:val="TableNormal"/>
    <w:next w:val="TableGrid"/>
    <w:uiPriority w:val="5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21">
    <w:name w:val="Medium Grid 3 - Accent 12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56">
    <w:name w:val="Medium Grid 1 - Accent 156"/>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56">
    <w:name w:val="Light Grid - Accent 1156"/>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56">
    <w:name w:val="Light Grid - Accent 556"/>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56">
    <w:name w:val="Light Grid - Accent 1256"/>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56">
    <w:name w:val="Light List - Accent 556"/>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56">
    <w:name w:val="Light List - Accent 1156"/>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56">
    <w:name w:val="Light Grid - Accent 135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56">
    <w:name w:val="Medium Grid 1 - Accent 356"/>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26">
    <w:name w:val="No List126"/>
    <w:next w:val="NoList"/>
    <w:uiPriority w:val="99"/>
    <w:semiHidden/>
    <w:unhideWhenUsed/>
    <w:rsid w:val="00C9597C"/>
  </w:style>
  <w:style w:type="table" w:customStyle="1" w:styleId="MediumGrid1-Accent1121">
    <w:name w:val="Medium Grid 1 - Accent 112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21">
    <w:name w:val="Light Grid - Accent 11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21">
    <w:name w:val="Light Grid - Accent 512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21">
    <w:name w:val="Light Grid - Accent 12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21">
    <w:name w:val="Light List - Accent 512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21">
    <w:name w:val="Light List - Accent 1112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21">
    <w:name w:val="Light Grid - Accent 13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21">
    <w:name w:val="Medium Grid 1 - Accent 312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21">
    <w:name w:val="Grid Table 4 - Accent 312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26">
    <w:name w:val="No List226"/>
    <w:next w:val="NoList"/>
    <w:uiPriority w:val="99"/>
    <w:semiHidden/>
    <w:unhideWhenUsed/>
    <w:rsid w:val="00C9597C"/>
  </w:style>
  <w:style w:type="table" w:customStyle="1" w:styleId="MediumGrid1-Accent1221">
    <w:name w:val="Medium Grid 1 - Accent 122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21">
    <w:name w:val="Light Grid - Accent 1122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21">
    <w:name w:val="Light Grid - Accent 522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21">
    <w:name w:val="Light Grid - Accent 122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21">
    <w:name w:val="Light List - Accent 522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21">
    <w:name w:val="Light List - Accent 1122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21">
    <w:name w:val="Light Grid - Accent 132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21">
    <w:name w:val="Medium Grid 1 - Accent 322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21">
    <w:name w:val="Grid Table 4 Accent 312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26">
    <w:name w:val="No List326"/>
    <w:next w:val="NoList"/>
    <w:uiPriority w:val="99"/>
    <w:semiHidden/>
    <w:unhideWhenUsed/>
    <w:rsid w:val="00C9597C"/>
  </w:style>
  <w:style w:type="table" w:customStyle="1" w:styleId="MediumGrid1-Accent1321">
    <w:name w:val="Medium Grid 1 - Accent 132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21">
    <w:name w:val="Light Grid - Accent 1132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21">
    <w:name w:val="Light Grid - Accent 532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21">
    <w:name w:val="Light Grid - Accent 123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21">
    <w:name w:val="Light List - Accent 532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21">
    <w:name w:val="Light List - Accent 1132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21">
    <w:name w:val="Light Grid - Accent 133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21">
    <w:name w:val="Medium Grid 1 - Accent 332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21">
    <w:name w:val="Grid Table 4 Accent 322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21">
    <w:name w:val="Table Grid12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TableNormal"/>
    <w:next w:val="TableGrid"/>
    <w:uiPriority w:val="3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C9597C"/>
  </w:style>
  <w:style w:type="table" w:customStyle="1" w:styleId="MediumGrid1-Accent166">
    <w:name w:val="Medium Grid 1 - Accent 166"/>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6">
    <w:name w:val="Light Grid - Accent 1166"/>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6">
    <w:name w:val="Light Grid - Accent 566"/>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6">
    <w:name w:val="Light Grid - Accent 126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6">
    <w:name w:val="Light List - Accent 566"/>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6">
    <w:name w:val="Light List - Accent 1166"/>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6">
    <w:name w:val="Light Grid - Accent 1366"/>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6">
    <w:name w:val="Medium Grid 1 - Accent 366"/>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6">
    <w:name w:val="No List136"/>
    <w:next w:val="NoList"/>
    <w:uiPriority w:val="99"/>
    <w:semiHidden/>
    <w:unhideWhenUsed/>
    <w:rsid w:val="00C9597C"/>
  </w:style>
  <w:style w:type="numbering" w:customStyle="1" w:styleId="NoList236">
    <w:name w:val="No List236"/>
    <w:next w:val="NoList"/>
    <w:uiPriority w:val="99"/>
    <w:semiHidden/>
    <w:unhideWhenUsed/>
    <w:rsid w:val="00C9597C"/>
  </w:style>
  <w:style w:type="numbering" w:customStyle="1" w:styleId="NoList336">
    <w:name w:val="No List336"/>
    <w:next w:val="NoList"/>
    <w:uiPriority w:val="99"/>
    <w:semiHidden/>
    <w:unhideWhenUsed/>
    <w:rsid w:val="00C9597C"/>
  </w:style>
  <w:style w:type="numbering" w:customStyle="1" w:styleId="NoList71">
    <w:name w:val="No List71"/>
    <w:next w:val="NoList"/>
    <w:uiPriority w:val="99"/>
    <w:semiHidden/>
    <w:unhideWhenUsed/>
    <w:rsid w:val="00C9597C"/>
  </w:style>
  <w:style w:type="table" w:customStyle="1" w:styleId="TableGrid51">
    <w:name w:val="Table Grid5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31">
    <w:name w:val="Medium Grid 3 - Accent 13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71">
    <w:name w:val="Medium Grid 1 - Accent 171"/>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71">
    <w:name w:val="Light Grid - Accent 1171"/>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71">
    <w:name w:val="Light Grid - Accent 571"/>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71">
    <w:name w:val="Light Grid - Accent 1271"/>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71">
    <w:name w:val="Light List - Accent 571"/>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71">
    <w:name w:val="Light List - Accent 1171"/>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71">
    <w:name w:val="Light Grid - Accent 137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71">
    <w:name w:val="Medium Grid 1 - Accent 37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41">
    <w:name w:val="No List141"/>
    <w:next w:val="NoList"/>
    <w:uiPriority w:val="99"/>
    <w:semiHidden/>
    <w:unhideWhenUsed/>
    <w:rsid w:val="00C9597C"/>
  </w:style>
  <w:style w:type="table" w:customStyle="1" w:styleId="MediumGrid1-Accent1131">
    <w:name w:val="Medium Grid 1 - Accent 113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31">
    <w:name w:val="Light Grid - Accent 11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31">
    <w:name w:val="Light Grid - Accent 513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31">
    <w:name w:val="Light Grid - Accent 12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31">
    <w:name w:val="Light List - Accent 513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31">
    <w:name w:val="Light List - Accent 1113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31">
    <w:name w:val="Light Grid - Accent 13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31">
    <w:name w:val="Medium Grid 1 - Accent 31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31">
    <w:name w:val="Grid Table 4 - Accent 313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41">
    <w:name w:val="No List241"/>
    <w:next w:val="NoList"/>
    <w:uiPriority w:val="99"/>
    <w:semiHidden/>
    <w:unhideWhenUsed/>
    <w:rsid w:val="00C9597C"/>
  </w:style>
  <w:style w:type="table" w:customStyle="1" w:styleId="MediumGrid1-Accent1231">
    <w:name w:val="Medium Grid 1 - Accent 123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31">
    <w:name w:val="Light Grid - Accent 1123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31">
    <w:name w:val="Light Grid - Accent 523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31">
    <w:name w:val="Light Grid - Accent 122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31">
    <w:name w:val="Light List - Accent 523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31">
    <w:name w:val="Light List - Accent 1123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31">
    <w:name w:val="Light Grid - Accent 132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31">
    <w:name w:val="Medium Grid 1 - Accent 32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31">
    <w:name w:val="Grid Table 4 Accent 313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41">
    <w:name w:val="No List341"/>
    <w:next w:val="NoList"/>
    <w:uiPriority w:val="99"/>
    <w:semiHidden/>
    <w:unhideWhenUsed/>
    <w:rsid w:val="00C9597C"/>
  </w:style>
  <w:style w:type="table" w:customStyle="1" w:styleId="MediumGrid1-Accent1331">
    <w:name w:val="Medium Grid 1 - Accent 133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31">
    <w:name w:val="Light Grid - Accent 1133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31">
    <w:name w:val="Light Grid - Accent 533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31">
    <w:name w:val="Light Grid - Accent 123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31">
    <w:name w:val="Light List - Accent 533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31">
    <w:name w:val="Light List - Accent 1133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31">
    <w:name w:val="Light Grid - Accent 133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31">
    <w:name w:val="Medium Grid 1 - Accent 33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31">
    <w:name w:val="Grid Table 4 Accent 323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31">
    <w:name w:val="Table Grid13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C9597C"/>
  </w:style>
  <w:style w:type="table" w:customStyle="1" w:styleId="MediumGrid1-Accent1411">
    <w:name w:val="Medium Grid 1 - Accent 14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11">
    <w:name w:val="Light Grid - Accent 1141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11">
    <w:name w:val="Light Grid - Accent 541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11">
    <w:name w:val="Light Grid - Accent 124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11">
    <w:name w:val="Light List - Accent 541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11">
    <w:name w:val="Light List - Accent 114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11">
    <w:name w:val="Light Grid - Accent 134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11">
    <w:name w:val="Medium Grid 1 - Accent 34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11">
    <w:name w:val="Table Grid211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1">
    <w:name w:val="Medium Grid 3 - Accent 111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11">
    <w:name w:val="No List1111"/>
    <w:next w:val="NoList"/>
    <w:uiPriority w:val="99"/>
    <w:semiHidden/>
    <w:unhideWhenUsed/>
    <w:rsid w:val="00C9597C"/>
  </w:style>
  <w:style w:type="table" w:customStyle="1" w:styleId="MediumGrid1-Accent11111">
    <w:name w:val="Medium Grid 1 - Accent 111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11">
    <w:name w:val="Light Grid - Accent 111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11">
    <w:name w:val="Light Grid - Accent 5111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11">
    <w:name w:val="Light Grid - Accent 121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11">
    <w:name w:val="Light List - Accent 5111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11">
    <w:name w:val="Light List - Accent 1111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11">
    <w:name w:val="Light Grid - Accent 131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11">
    <w:name w:val="Medium Grid 1 - Accent 311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11">
    <w:name w:val="Grid Table 4 - Accent 3111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11">
    <w:name w:val="No List2111"/>
    <w:next w:val="NoList"/>
    <w:uiPriority w:val="99"/>
    <w:semiHidden/>
    <w:unhideWhenUsed/>
    <w:rsid w:val="00C9597C"/>
  </w:style>
  <w:style w:type="table" w:customStyle="1" w:styleId="MediumGrid1-Accent12111">
    <w:name w:val="Medium Grid 1 - Accent 121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11">
    <w:name w:val="Light Grid - Accent 11211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11">
    <w:name w:val="Light Grid - Accent 5211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11">
    <w:name w:val="Light Grid - Accent 122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11">
    <w:name w:val="Light List - Accent 5211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11">
    <w:name w:val="Light List - Accent 1121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11">
    <w:name w:val="Light Grid - Accent 132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11">
    <w:name w:val="Medium Grid 1 - Accent 321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11">
    <w:name w:val="Grid Table 4 Accent 3111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11">
    <w:name w:val="No List3111"/>
    <w:next w:val="NoList"/>
    <w:uiPriority w:val="99"/>
    <w:semiHidden/>
    <w:unhideWhenUsed/>
    <w:rsid w:val="00C9597C"/>
  </w:style>
  <w:style w:type="table" w:customStyle="1" w:styleId="MediumGrid1-Accent13111">
    <w:name w:val="Medium Grid 1 - Accent 131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11">
    <w:name w:val="Light Grid - Accent 11311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11">
    <w:name w:val="Light Grid - Accent 5311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11">
    <w:name w:val="Light Grid - Accent 123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11">
    <w:name w:val="Light List - Accent 5311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11">
    <w:name w:val="Light List - Accent 1131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11">
    <w:name w:val="Light Grid - Accent 1331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11">
    <w:name w:val="Medium Grid 1 - Accent 331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11">
    <w:name w:val="Grid Table 4 Accent 3211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11">
    <w:name w:val="Table Grid111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C9597C"/>
  </w:style>
  <w:style w:type="table" w:customStyle="1" w:styleId="MediumGrid1-Accent1511">
    <w:name w:val="Medium Grid 1 - Accent 15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11">
    <w:name w:val="Light Grid - Accent 1151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11">
    <w:name w:val="Light Grid - Accent 551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11">
    <w:name w:val="Light Grid - Accent 125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11">
    <w:name w:val="Light List - Accent 551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11">
    <w:name w:val="Light List - Accent 115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11">
    <w:name w:val="Light Grid - Accent 135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11">
    <w:name w:val="Medium Grid 1 - Accent 35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11">
    <w:name w:val="No List1211"/>
    <w:next w:val="NoList"/>
    <w:uiPriority w:val="99"/>
    <w:semiHidden/>
    <w:unhideWhenUsed/>
    <w:rsid w:val="00C9597C"/>
  </w:style>
  <w:style w:type="numbering" w:customStyle="1" w:styleId="NoList2211">
    <w:name w:val="No List2211"/>
    <w:next w:val="NoList"/>
    <w:uiPriority w:val="99"/>
    <w:semiHidden/>
    <w:unhideWhenUsed/>
    <w:rsid w:val="00C9597C"/>
  </w:style>
  <w:style w:type="numbering" w:customStyle="1" w:styleId="NoList3211">
    <w:name w:val="No List3211"/>
    <w:next w:val="NoList"/>
    <w:uiPriority w:val="99"/>
    <w:semiHidden/>
    <w:unhideWhenUsed/>
    <w:rsid w:val="00C9597C"/>
  </w:style>
  <w:style w:type="numbering" w:customStyle="1" w:styleId="NoList611">
    <w:name w:val="No List611"/>
    <w:next w:val="NoList"/>
    <w:uiPriority w:val="99"/>
    <w:semiHidden/>
    <w:unhideWhenUsed/>
    <w:rsid w:val="00C9597C"/>
  </w:style>
  <w:style w:type="table" w:customStyle="1" w:styleId="MediumGrid1-Accent1611">
    <w:name w:val="Medium Grid 1 - Accent 161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11">
    <w:name w:val="Light Grid - Accent 1161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11">
    <w:name w:val="Light Grid - Accent 561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11">
    <w:name w:val="Light Grid - Accent 126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11">
    <w:name w:val="Light List - Accent 561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11">
    <w:name w:val="Light List - Accent 1161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11">
    <w:name w:val="Light Grid - Accent 1361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11">
    <w:name w:val="Medium Grid 1 - Accent 361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11">
    <w:name w:val="No List1311"/>
    <w:next w:val="NoList"/>
    <w:uiPriority w:val="99"/>
    <w:semiHidden/>
    <w:unhideWhenUsed/>
    <w:rsid w:val="00C9597C"/>
  </w:style>
  <w:style w:type="numbering" w:customStyle="1" w:styleId="NoList2311">
    <w:name w:val="No List2311"/>
    <w:next w:val="NoList"/>
    <w:uiPriority w:val="99"/>
    <w:semiHidden/>
    <w:unhideWhenUsed/>
    <w:rsid w:val="00C9597C"/>
  </w:style>
  <w:style w:type="numbering" w:customStyle="1" w:styleId="NoList3311">
    <w:name w:val="No List3311"/>
    <w:next w:val="NoList"/>
    <w:uiPriority w:val="99"/>
    <w:semiHidden/>
    <w:unhideWhenUsed/>
    <w:rsid w:val="00C9597C"/>
  </w:style>
  <w:style w:type="numbering" w:customStyle="1" w:styleId="NoList81">
    <w:name w:val="No List81"/>
    <w:next w:val="NoList"/>
    <w:uiPriority w:val="99"/>
    <w:semiHidden/>
    <w:unhideWhenUsed/>
    <w:rsid w:val="00C9597C"/>
  </w:style>
  <w:style w:type="table" w:customStyle="1" w:styleId="TableGrid61">
    <w:name w:val="Table Grid6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41">
    <w:name w:val="Medium Grid 3 - Accent 14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81">
    <w:name w:val="Medium Grid 1 - Accent 181"/>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81">
    <w:name w:val="Light Grid - Accent 1181"/>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81">
    <w:name w:val="Light Grid - Accent 581"/>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81">
    <w:name w:val="Light Grid - Accent 1281"/>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81">
    <w:name w:val="Light List - Accent 581"/>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81">
    <w:name w:val="Light List - Accent 1181"/>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81">
    <w:name w:val="Light Grid - Accent 138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81">
    <w:name w:val="Medium Grid 1 - Accent 38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51">
    <w:name w:val="No List151"/>
    <w:next w:val="NoList"/>
    <w:uiPriority w:val="99"/>
    <w:semiHidden/>
    <w:unhideWhenUsed/>
    <w:rsid w:val="00C9597C"/>
  </w:style>
  <w:style w:type="table" w:customStyle="1" w:styleId="MediumGrid1-Accent1141">
    <w:name w:val="Medium Grid 1 - Accent 11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41">
    <w:name w:val="Light Grid - Accent 11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41">
    <w:name w:val="Light Grid - Accent 514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41">
    <w:name w:val="Light Grid - Accent 12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41">
    <w:name w:val="Light List - Accent 514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41">
    <w:name w:val="Light List - Accent 111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41">
    <w:name w:val="Light Grid - Accent 13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41">
    <w:name w:val="Medium Grid 1 - Accent 31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41">
    <w:name w:val="Grid Table 4 - Accent 314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51">
    <w:name w:val="No List251"/>
    <w:next w:val="NoList"/>
    <w:uiPriority w:val="99"/>
    <w:semiHidden/>
    <w:unhideWhenUsed/>
    <w:rsid w:val="00C9597C"/>
  </w:style>
  <w:style w:type="table" w:customStyle="1" w:styleId="MediumGrid1-Accent1241">
    <w:name w:val="Medium Grid 1 - Accent 12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41">
    <w:name w:val="Light Grid - Accent 1124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41">
    <w:name w:val="Light Grid - Accent 524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41">
    <w:name w:val="Light Grid - Accent 122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41">
    <w:name w:val="Light List - Accent 524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41">
    <w:name w:val="Light List - Accent 112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41">
    <w:name w:val="Light Grid - Accent 132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41">
    <w:name w:val="Medium Grid 1 - Accent 32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41">
    <w:name w:val="Grid Table 4 Accent 314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51">
    <w:name w:val="No List351"/>
    <w:next w:val="NoList"/>
    <w:uiPriority w:val="99"/>
    <w:semiHidden/>
    <w:unhideWhenUsed/>
    <w:rsid w:val="00C9597C"/>
  </w:style>
  <w:style w:type="table" w:customStyle="1" w:styleId="MediumGrid1-Accent1341">
    <w:name w:val="Medium Grid 1 - Accent 13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41">
    <w:name w:val="Light Grid - Accent 1134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41">
    <w:name w:val="Light Grid - Accent 534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41">
    <w:name w:val="Light Grid - Accent 123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41">
    <w:name w:val="Light List - Accent 534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41">
    <w:name w:val="Light List - Accent 113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41">
    <w:name w:val="Light Grid - Accent 133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41">
    <w:name w:val="Medium Grid 1 - Accent 33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41">
    <w:name w:val="Grid Table 4 Accent 324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
    <w:name w:val="Table Grid14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C9597C"/>
  </w:style>
  <w:style w:type="table" w:customStyle="1" w:styleId="MediumGrid1-Accent1421">
    <w:name w:val="Medium Grid 1 - Accent 142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21">
    <w:name w:val="Light Grid - Accent 1142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21">
    <w:name w:val="Light Grid - Accent 542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21">
    <w:name w:val="Light Grid - Accent 124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21">
    <w:name w:val="Light List - Accent 542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21">
    <w:name w:val="Light List - Accent 1142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21">
    <w:name w:val="Light Grid - Accent 134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21">
    <w:name w:val="Medium Grid 1 - Accent 342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21">
    <w:name w:val="Table Grid212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1">
    <w:name w:val="Medium Grid 3 - Accent 112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21">
    <w:name w:val="No List1121"/>
    <w:next w:val="NoList"/>
    <w:uiPriority w:val="99"/>
    <w:semiHidden/>
    <w:unhideWhenUsed/>
    <w:rsid w:val="00C9597C"/>
  </w:style>
  <w:style w:type="table" w:customStyle="1" w:styleId="MediumGrid1-Accent11121">
    <w:name w:val="Medium Grid 1 - Accent 1112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21">
    <w:name w:val="Light Grid - Accent 111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21">
    <w:name w:val="Light Grid - Accent 5112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21">
    <w:name w:val="Light Grid - Accent 121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21">
    <w:name w:val="Light List - Accent 5112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21">
    <w:name w:val="Light List - Accent 11112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21">
    <w:name w:val="Light Grid - Accent 131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21">
    <w:name w:val="Medium Grid 1 - Accent 3112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21">
    <w:name w:val="Grid Table 4 - Accent 3112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21">
    <w:name w:val="No List2121"/>
    <w:next w:val="NoList"/>
    <w:uiPriority w:val="99"/>
    <w:semiHidden/>
    <w:unhideWhenUsed/>
    <w:rsid w:val="00C9597C"/>
  </w:style>
  <w:style w:type="table" w:customStyle="1" w:styleId="MediumGrid1-Accent12121">
    <w:name w:val="Medium Grid 1 - Accent 1212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21">
    <w:name w:val="Light Grid - Accent 11212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21">
    <w:name w:val="Light Grid - Accent 5212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21">
    <w:name w:val="Light Grid - Accent 122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21">
    <w:name w:val="Light List - Accent 5212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21">
    <w:name w:val="Light List - Accent 11212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21">
    <w:name w:val="Light Grid - Accent 132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21">
    <w:name w:val="Medium Grid 1 - Accent 3212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21">
    <w:name w:val="Grid Table 4 Accent 3112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21">
    <w:name w:val="No List3121"/>
    <w:next w:val="NoList"/>
    <w:uiPriority w:val="99"/>
    <w:semiHidden/>
    <w:unhideWhenUsed/>
    <w:rsid w:val="00C9597C"/>
  </w:style>
  <w:style w:type="table" w:customStyle="1" w:styleId="MediumGrid1-Accent13121">
    <w:name w:val="Medium Grid 1 - Accent 1312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21">
    <w:name w:val="Light Grid - Accent 11312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21">
    <w:name w:val="Light Grid - Accent 5312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21">
    <w:name w:val="Light Grid - Accent 123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21">
    <w:name w:val="Light List - Accent 5312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21">
    <w:name w:val="Light List - Accent 11312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21">
    <w:name w:val="Light Grid - Accent 1331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21">
    <w:name w:val="Medium Grid 1 - Accent 3312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21">
    <w:name w:val="Grid Table 4 Accent 3212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21">
    <w:name w:val="Table Grid112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C9597C"/>
  </w:style>
  <w:style w:type="table" w:customStyle="1" w:styleId="MediumGrid1-Accent1521">
    <w:name w:val="Medium Grid 1 - Accent 152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21">
    <w:name w:val="Light Grid - Accent 1152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21">
    <w:name w:val="Light Grid - Accent 552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21">
    <w:name w:val="Light Grid - Accent 125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21">
    <w:name w:val="Light List - Accent 552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21">
    <w:name w:val="Light List - Accent 1152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21">
    <w:name w:val="Light Grid - Accent 135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21">
    <w:name w:val="Medium Grid 1 - Accent 352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21">
    <w:name w:val="No List1221"/>
    <w:next w:val="NoList"/>
    <w:uiPriority w:val="99"/>
    <w:semiHidden/>
    <w:unhideWhenUsed/>
    <w:rsid w:val="00C9597C"/>
  </w:style>
  <w:style w:type="numbering" w:customStyle="1" w:styleId="NoList2221">
    <w:name w:val="No List2221"/>
    <w:next w:val="NoList"/>
    <w:uiPriority w:val="99"/>
    <w:semiHidden/>
    <w:unhideWhenUsed/>
    <w:rsid w:val="00C9597C"/>
  </w:style>
  <w:style w:type="numbering" w:customStyle="1" w:styleId="NoList3221">
    <w:name w:val="No List3221"/>
    <w:next w:val="NoList"/>
    <w:uiPriority w:val="99"/>
    <w:semiHidden/>
    <w:unhideWhenUsed/>
    <w:rsid w:val="00C9597C"/>
  </w:style>
  <w:style w:type="numbering" w:customStyle="1" w:styleId="NoList621">
    <w:name w:val="No List621"/>
    <w:next w:val="NoList"/>
    <w:uiPriority w:val="99"/>
    <w:semiHidden/>
    <w:unhideWhenUsed/>
    <w:rsid w:val="00C9597C"/>
  </w:style>
  <w:style w:type="table" w:customStyle="1" w:styleId="MediumGrid1-Accent1621">
    <w:name w:val="Medium Grid 1 - Accent 162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21">
    <w:name w:val="Light Grid - Accent 1162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21">
    <w:name w:val="Light Grid - Accent 562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21">
    <w:name w:val="Light Grid - Accent 126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21">
    <w:name w:val="Light List - Accent 562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21">
    <w:name w:val="Light List - Accent 1162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21">
    <w:name w:val="Light Grid - Accent 1362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21">
    <w:name w:val="Medium Grid 1 - Accent 362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21">
    <w:name w:val="No List1321"/>
    <w:next w:val="NoList"/>
    <w:uiPriority w:val="99"/>
    <w:semiHidden/>
    <w:unhideWhenUsed/>
    <w:rsid w:val="00C9597C"/>
  </w:style>
  <w:style w:type="numbering" w:customStyle="1" w:styleId="NoList2321">
    <w:name w:val="No List2321"/>
    <w:next w:val="NoList"/>
    <w:uiPriority w:val="99"/>
    <w:semiHidden/>
    <w:unhideWhenUsed/>
    <w:rsid w:val="00C9597C"/>
  </w:style>
  <w:style w:type="numbering" w:customStyle="1" w:styleId="NoList3321">
    <w:name w:val="No List3321"/>
    <w:next w:val="NoList"/>
    <w:uiPriority w:val="99"/>
    <w:semiHidden/>
    <w:unhideWhenUsed/>
    <w:rsid w:val="00C9597C"/>
  </w:style>
  <w:style w:type="numbering" w:customStyle="1" w:styleId="NoList91">
    <w:name w:val="No List91"/>
    <w:next w:val="NoList"/>
    <w:uiPriority w:val="99"/>
    <w:semiHidden/>
    <w:unhideWhenUsed/>
    <w:rsid w:val="00C9597C"/>
  </w:style>
  <w:style w:type="table" w:customStyle="1" w:styleId="TableGrid71">
    <w:name w:val="Table Grid7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51">
    <w:name w:val="Medium Grid 3 - Accent 151"/>
    <w:basedOn w:val="TableNormal"/>
    <w:next w:val="MediumGrid3-Accent1"/>
    <w:uiPriority w:val="69"/>
    <w:locked/>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91">
    <w:name w:val="Medium Grid 1 - Accent 191"/>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91">
    <w:name w:val="Light Grid - Accent 1191"/>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91">
    <w:name w:val="Light Grid - Accent 591"/>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91">
    <w:name w:val="Light Grid - Accent 1291"/>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91">
    <w:name w:val="Light List - Accent 591"/>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91">
    <w:name w:val="Light List - Accent 1191"/>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91">
    <w:name w:val="Light Grid - Accent 139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91">
    <w:name w:val="Medium Grid 1 - Accent 39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61">
    <w:name w:val="No List161"/>
    <w:next w:val="NoList"/>
    <w:uiPriority w:val="99"/>
    <w:semiHidden/>
    <w:unhideWhenUsed/>
    <w:rsid w:val="00C9597C"/>
  </w:style>
  <w:style w:type="table" w:customStyle="1" w:styleId="MediumGrid1-Accent1151">
    <w:name w:val="Medium Grid 1 - Accent 11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51">
    <w:name w:val="Light Grid - Accent 11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51">
    <w:name w:val="Light Grid - Accent 515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51">
    <w:name w:val="Light Grid - Accent 12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51">
    <w:name w:val="Light List - Accent 515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51">
    <w:name w:val="Light List - Accent 111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51">
    <w:name w:val="Light Grid - Accent 13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51">
    <w:name w:val="Medium Grid 1 - Accent 31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51">
    <w:name w:val="Grid Table 4 - Accent 315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61">
    <w:name w:val="No List261"/>
    <w:next w:val="NoList"/>
    <w:uiPriority w:val="99"/>
    <w:semiHidden/>
    <w:unhideWhenUsed/>
    <w:rsid w:val="00C9597C"/>
  </w:style>
  <w:style w:type="table" w:customStyle="1" w:styleId="MediumGrid1-Accent1251">
    <w:name w:val="Medium Grid 1 - Accent 12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51">
    <w:name w:val="Light Grid - Accent 1125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51">
    <w:name w:val="Light Grid - Accent 525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51">
    <w:name w:val="Light Grid - Accent 122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51">
    <w:name w:val="Light List - Accent 525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51">
    <w:name w:val="Light List - Accent 112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51">
    <w:name w:val="Light Grid - Accent 132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51">
    <w:name w:val="Medium Grid 1 - Accent 32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51">
    <w:name w:val="Grid Table 4 Accent 315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61">
    <w:name w:val="No List361"/>
    <w:next w:val="NoList"/>
    <w:uiPriority w:val="99"/>
    <w:semiHidden/>
    <w:unhideWhenUsed/>
    <w:rsid w:val="00C9597C"/>
  </w:style>
  <w:style w:type="table" w:customStyle="1" w:styleId="MediumGrid1-Accent1351">
    <w:name w:val="Medium Grid 1 - Accent 13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51">
    <w:name w:val="Light Grid - Accent 1135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51">
    <w:name w:val="Light Grid - Accent 535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51">
    <w:name w:val="Light Grid - Accent 123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51">
    <w:name w:val="Light List - Accent 535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51">
    <w:name w:val="Light List - Accent 113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51">
    <w:name w:val="Light Grid - Accent 133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51">
    <w:name w:val="Medium Grid 1 - Accent 33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51">
    <w:name w:val="Grid Table 4 Accent 325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51">
    <w:name w:val="Table Grid15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C9597C"/>
  </w:style>
  <w:style w:type="table" w:customStyle="1" w:styleId="MediumGrid1-Accent1431">
    <w:name w:val="Medium Grid 1 - Accent 143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31">
    <w:name w:val="Light Grid - Accent 1143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31">
    <w:name w:val="Light Grid - Accent 543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31">
    <w:name w:val="Light Grid - Accent 124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31">
    <w:name w:val="Light List - Accent 543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31">
    <w:name w:val="Light List - Accent 1143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31">
    <w:name w:val="Light Grid - Accent 134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31">
    <w:name w:val="Medium Grid 1 - Accent 34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31">
    <w:name w:val="Table Grid213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31">
    <w:name w:val="Medium Grid 3 - Accent 113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31">
    <w:name w:val="No List1131"/>
    <w:next w:val="NoList"/>
    <w:uiPriority w:val="99"/>
    <w:semiHidden/>
    <w:unhideWhenUsed/>
    <w:rsid w:val="00C9597C"/>
  </w:style>
  <w:style w:type="table" w:customStyle="1" w:styleId="MediumGrid1-Accent11131">
    <w:name w:val="Medium Grid 1 - Accent 1113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31">
    <w:name w:val="Light Grid - Accent 111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31">
    <w:name w:val="Light Grid - Accent 5113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31">
    <w:name w:val="Light Grid - Accent 121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31">
    <w:name w:val="Light List - Accent 5113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31">
    <w:name w:val="Light List - Accent 11113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31">
    <w:name w:val="Light Grid - Accent 131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31">
    <w:name w:val="Medium Grid 1 - Accent 311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31">
    <w:name w:val="Grid Table 4 - Accent 3113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31">
    <w:name w:val="No List2131"/>
    <w:next w:val="NoList"/>
    <w:uiPriority w:val="99"/>
    <w:semiHidden/>
    <w:unhideWhenUsed/>
    <w:rsid w:val="00C9597C"/>
  </w:style>
  <w:style w:type="table" w:customStyle="1" w:styleId="MediumGrid1-Accent12131">
    <w:name w:val="Medium Grid 1 - Accent 1213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31">
    <w:name w:val="Light Grid - Accent 11213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31">
    <w:name w:val="Light Grid - Accent 5213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31">
    <w:name w:val="Light Grid - Accent 122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31">
    <w:name w:val="Light List - Accent 5213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31">
    <w:name w:val="Light List - Accent 11213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31">
    <w:name w:val="Light Grid - Accent 132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31">
    <w:name w:val="Medium Grid 1 - Accent 321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31">
    <w:name w:val="Grid Table 4 Accent 3113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31">
    <w:name w:val="No List3131"/>
    <w:next w:val="NoList"/>
    <w:uiPriority w:val="99"/>
    <w:semiHidden/>
    <w:unhideWhenUsed/>
    <w:rsid w:val="00C9597C"/>
  </w:style>
  <w:style w:type="table" w:customStyle="1" w:styleId="MediumGrid1-Accent13131">
    <w:name w:val="Medium Grid 1 - Accent 1313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31">
    <w:name w:val="Light Grid - Accent 11313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31">
    <w:name w:val="Light Grid - Accent 5313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31">
    <w:name w:val="Light Grid - Accent 123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31">
    <w:name w:val="Light List - Accent 5313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31">
    <w:name w:val="Light List - Accent 11313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31">
    <w:name w:val="Light Grid - Accent 1331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31">
    <w:name w:val="Medium Grid 1 - Accent 331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31">
    <w:name w:val="Grid Table 4 Accent 3213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31">
    <w:name w:val="Table Grid113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C9597C"/>
  </w:style>
  <w:style w:type="table" w:customStyle="1" w:styleId="MediumGrid1-Accent1531">
    <w:name w:val="Medium Grid 1 - Accent 153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31">
    <w:name w:val="Light Grid - Accent 1153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31">
    <w:name w:val="Light Grid - Accent 553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31">
    <w:name w:val="Light Grid - Accent 125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31">
    <w:name w:val="Light List - Accent 553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31">
    <w:name w:val="Light List - Accent 1153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31">
    <w:name w:val="Light Grid - Accent 135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31">
    <w:name w:val="Medium Grid 1 - Accent 35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31">
    <w:name w:val="No List1231"/>
    <w:next w:val="NoList"/>
    <w:uiPriority w:val="99"/>
    <w:semiHidden/>
    <w:unhideWhenUsed/>
    <w:rsid w:val="00C9597C"/>
  </w:style>
  <w:style w:type="numbering" w:customStyle="1" w:styleId="NoList2231">
    <w:name w:val="No List2231"/>
    <w:next w:val="NoList"/>
    <w:uiPriority w:val="99"/>
    <w:semiHidden/>
    <w:unhideWhenUsed/>
    <w:rsid w:val="00C9597C"/>
  </w:style>
  <w:style w:type="numbering" w:customStyle="1" w:styleId="NoList3231">
    <w:name w:val="No List3231"/>
    <w:next w:val="NoList"/>
    <w:uiPriority w:val="99"/>
    <w:semiHidden/>
    <w:unhideWhenUsed/>
    <w:rsid w:val="00C9597C"/>
  </w:style>
  <w:style w:type="numbering" w:customStyle="1" w:styleId="NoList631">
    <w:name w:val="No List631"/>
    <w:next w:val="NoList"/>
    <w:uiPriority w:val="99"/>
    <w:semiHidden/>
    <w:unhideWhenUsed/>
    <w:rsid w:val="00C9597C"/>
  </w:style>
  <w:style w:type="table" w:customStyle="1" w:styleId="MediumGrid1-Accent1631">
    <w:name w:val="Medium Grid 1 - Accent 163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31">
    <w:name w:val="Light Grid - Accent 1163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31">
    <w:name w:val="Light Grid - Accent 563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31">
    <w:name w:val="Light Grid - Accent 126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31">
    <w:name w:val="Light List - Accent 563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31">
    <w:name w:val="Light List - Accent 1163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31">
    <w:name w:val="Light Grid - Accent 1363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31">
    <w:name w:val="Medium Grid 1 - Accent 363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31">
    <w:name w:val="No List1331"/>
    <w:next w:val="NoList"/>
    <w:uiPriority w:val="99"/>
    <w:semiHidden/>
    <w:unhideWhenUsed/>
    <w:rsid w:val="00C9597C"/>
  </w:style>
  <w:style w:type="numbering" w:customStyle="1" w:styleId="NoList2331">
    <w:name w:val="No List2331"/>
    <w:next w:val="NoList"/>
    <w:uiPriority w:val="99"/>
    <w:semiHidden/>
    <w:unhideWhenUsed/>
    <w:rsid w:val="00C9597C"/>
  </w:style>
  <w:style w:type="numbering" w:customStyle="1" w:styleId="NoList3331">
    <w:name w:val="No List3331"/>
    <w:next w:val="NoList"/>
    <w:uiPriority w:val="99"/>
    <w:semiHidden/>
    <w:unhideWhenUsed/>
    <w:rsid w:val="00C9597C"/>
  </w:style>
  <w:style w:type="numbering" w:customStyle="1" w:styleId="NoList101">
    <w:name w:val="No List101"/>
    <w:next w:val="NoList"/>
    <w:uiPriority w:val="99"/>
    <w:semiHidden/>
    <w:unhideWhenUsed/>
    <w:rsid w:val="00C9597C"/>
  </w:style>
  <w:style w:type="table" w:customStyle="1" w:styleId="TableGrid81">
    <w:name w:val="Table Grid8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61">
    <w:name w:val="Medium Grid 3 - Accent 16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01">
    <w:name w:val="Medium Grid 1 - Accent 1101"/>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01">
    <w:name w:val="Light Grid - Accent 11101"/>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01">
    <w:name w:val="Light Grid - Accent 5101"/>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01">
    <w:name w:val="Light Grid - Accent 12101"/>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01">
    <w:name w:val="Light List - Accent 5101"/>
    <w:basedOn w:val="TableNormal"/>
    <w:next w:val="LightList-Accent5"/>
    <w:uiPriority w:val="61"/>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01">
    <w:name w:val="Light List - Accent 11101"/>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01">
    <w:name w:val="Light Grid - Accent 1310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01">
    <w:name w:val="Medium Grid 1 - Accent 310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71">
    <w:name w:val="No List171"/>
    <w:next w:val="NoList"/>
    <w:uiPriority w:val="99"/>
    <w:semiHidden/>
    <w:unhideWhenUsed/>
    <w:rsid w:val="00C9597C"/>
  </w:style>
  <w:style w:type="table" w:customStyle="1" w:styleId="MediumGrid1-Accent1161">
    <w:name w:val="Medium Grid 1 - Accent 116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61">
    <w:name w:val="Light Grid - Accent 1116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61">
    <w:name w:val="Light Grid - Accent 516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61">
    <w:name w:val="Light Grid - Accent 1216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61">
    <w:name w:val="Light List - Accent 516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61">
    <w:name w:val="Light List - Accent 1116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61">
    <w:name w:val="Light Grid - Accent 1316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61">
    <w:name w:val="Medium Grid 1 - Accent 316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61">
    <w:name w:val="Grid Table 4 - Accent 316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71">
    <w:name w:val="No List271"/>
    <w:next w:val="NoList"/>
    <w:uiPriority w:val="99"/>
    <w:semiHidden/>
    <w:unhideWhenUsed/>
    <w:rsid w:val="00C9597C"/>
  </w:style>
  <w:style w:type="table" w:customStyle="1" w:styleId="MediumGrid1-Accent1261">
    <w:name w:val="Medium Grid 1 - Accent 126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61">
    <w:name w:val="Light Grid - Accent 1126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61">
    <w:name w:val="Light Grid - Accent 526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61">
    <w:name w:val="Light Grid - Accent 1226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61">
    <w:name w:val="Light List - Accent 526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61">
    <w:name w:val="Light List - Accent 1126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61">
    <w:name w:val="Light Grid - Accent 1326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61">
    <w:name w:val="Medium Grid 1 - Accent 326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61">
    <w:name w:val="Grid Table 4 Accent 316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71">
    <w:name w:val="No List371"/>
    <w:next w:val="NoList"/>
    <w:uiPriority w:val="99"/>
    <w:semiHidden/>
    <w:unhideWhenUsed/>
    <w:rsid w:val="00C9597C"/>
  </w:style>
  <w:style w:type="table" w:customStyle="1" w:styleId="MediumGrid1-Accent1361">
    <w:name w:val="Medium Grid 1 - Accent 136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61">
    <w:name w:val="Light Grid - Accent 1136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61">
    <w:name w:val="Light Grid - Accent 536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61">
    <w:name w:val="Light Grid - Accent 1236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61">
    <w:name w:val="Light List - Accent 536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61">
    <w:name w:val="Light List - Accent 1136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61">
    <w:name w:val="Light Grid - Accent 1336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61">
    <w:name w:val="Medium Grid 1 - Accent 336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61">
    <w:name w:val="Grid Table 4 Accent 326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61">
    <w:name w:val="Table Grid16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C9597C"/>
  </w:style>
  <w:style w:type="table" w:customStyle="1" w:styleId="MediumGrid1-Accent1441">
    <w:name w:val="Medium Grid 1 - Accent 14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41">
    <w:name w:val="Light Grid - Accent 1144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41">
    <w:name w:val="Light Grid - Accent 544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41">
    <w:name w:val="Light Grid - Accent 124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41">
    <w:name w:val="Light List - Accent 544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41">
    <w:name w:val="Light List - Accent 114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41">
    <w:name w:val="Light Grid - Accent 134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41">
    <w:name w:val="Medium Grid 1 - Accent 34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41">
    <w:name w:val="Table Grid214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41">
    <w:name w:val="Medium Grid 3 - Accent 114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41">
    <w:name w:val="No List1141"/>
    <w:next w:val="NoList"/>
    <w:uiPriority w:val="99"/>
    <w:semiHidden/>
    <w:unhideWhenUsed/>
    <w:rsid w:val="00C9597C"/>
  </w:style>
  <w:style w:type="table" w:customStyle="1" w:styleId="MediumGrid1-Accent11141">
    <w:name w:val="Medium Grid 1 - Accent 111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41">
    <w:name w:val="Light Grid - Accent 111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41">
    <w:name w:val="Light Grid - Accent 5114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41">
    <w:name w:val="Light Grid - Accent 121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41">
    <w:name w:val="Light List - Accent 5114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41">
    <w:name w:val="Light List - Accent 1111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41">
    <w:name w:val="Light Grid - Accent 131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41">
    <w:name w:val="Medium Grid 1 - Accent 311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41">
    <w:name w:val="Grid Table 4 - Accent 3114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41">
    <w:name w:val="No List2141"/>
    <w:next w:val="NoList"/>
    <w:uiPriority w:val="99"/>
    <w:semiHidden/>
    <w:unhideWhenUsed/>
    <w:rsid w:val="00C9597C"/>
  </w:style>
  <w:style w:type="table" w:customStyle="1" w:styleId="MediumGrid1-Accent12141">
    <w:name w:val="Medium Grid 1 - Accent 121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41">
    <w:name w:val="Light Grid - Accent 11214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41">
    <w:name w:val="Light Grid - Accent 5214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41">
    <w:name w:val="Light Grid - Accent 122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41">
    <w:name w:val="Light List - Accent 5214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41">
    <w:name w:val="Light List - Accent 1121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41">
    <w:name w:val="Light Grid - Accent 132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41">
    <w:name w:val="Medium Grid 1 - Accent 321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41">
    <w:name w:val="Grid Table 4 Accent 3114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41">
    <w:name w:val="No List3141"/>
    <w:next w:val="NoList"/>
    <w:uiPriority w:val="99"/>
    <w:semiHidden/>
    <w:unhideWhenUsed/>
    <w:rsid w:val="00C9597C"/>
  </w:style>
  <w:style w:type="table" w:customStyle="1" w:styleId="MediumGrid1-Accent13141">
    <w:name w:val="Medium Grid 1 - Accent 131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41">
    <w:name w:val="Light Grid - Accent 11314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41">
    <w:name w:val="Light Grid - Accent 5314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41">
    <w:name w:val="Light Grid - Accent 123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41">
    <w:name w:val="Light List - Accent 5314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41">
    <w:name w:val="Light List - Accent 1131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41">
    <w:name w:val="Light Grid - Accent 1331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41">
    <w:name w:val="Medium Grid 1 - Accent 331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41">
    <w:name w:val="Grid Table 4 Accent 3214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41">
    <w:name w:val="Table Grid114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C9597C"/>
  </w:style>
  <w:style w:type="table" w:customStyle="1" w:styleId="MediumGrid1-Accent1541">
    <w:name w:val="Medium Grid 1 - Accent 15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41">
    <w:name w:val="Light Grid - Accent 1154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41">
    <w:name w:val="Light Grid - Accent 554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41">
    <w:name w:val="Light Grid - Accent 125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41">
    <w:name w:val="Light List - Accent 554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41">
    <w:name w:val="Light List - Accent 115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41">
    <w:name w:val="Light Grid - Accent 135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41">
    <w:name w:val="Medium Grid 1 - Accent 35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41">
    <w:name w:val="No List1241"/>
    <w:next w:val="NoList"/>
    <w:uiPriority w:val="99"/>
    <w:semiHidden/>
    <w:unhideWhenUsed/>
    <w:rsid w:val="00C9597C"/>
  </w:style>
  <w:style w:type="numbering" w:customStyle="1" w:styleId="NoList2241">
    <w:name w:val="No List2241"/>
    <w:next w:val="NoList"/>
    <w:uiPriority w:val="99"/>
    <w:semiHidden/>
    <w:unhideWhenUsed/>
    <w:rsid w:val="00C9597C"/>
  </w:style>
  <w:style w:type="numbering" w:customStyle="1" w:styleId="NoList3241">
    <w:name w:val="No List3241"/>
    <w:next w:val="NoList"/>
    <w:uiPriority w:val="99"/>
    <w:semiHidden/>
    <w:unhideWhenUsed/>
    <w:rsid w:val="00C9597C"/>
  </w:style>
  <w:style w:type="numbering" w:customStyle="1" w:styleId="NoList641">
    <w:name w:val="No List641"/>
    <w:next w:val="NoList"/>
    <w:uiPriority w:val="99"/>
    <w:semiHidden/>
    <w:unhideWhenUsed/>
    <w:rsid w:val="00C9597C"/>
  </w:style>
  <w:style w:type="table" w:customStyle="1" w:styleId="MediumGrid1-Accent1641">
    <w:name w:val="Medium Grid 1 - Accent 164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41">
    <w:name w:val="Light Grid - Accent 1164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41">
    <w:name w:val="Light Grid - Accent 564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41">
    <w:name w:val="Light Grid - Accent 126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41">
    <w:name w:val="Light List - Accent 564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41">
    <w:name w:val="Light List - Accent 1164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41">
    <w:name w:val="Light Grid - Accent 1364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41">
    <w:name w:val="Medium Grid 1 - Accent 364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41">
    <w:name w:val="No List1341"/>
    <w:next w:val="NoList"/>
    <w:uiPriority w:val="99"/>
    <w:semiHidden/>
    <w:unhideWhenUsed/>
    <w:rsid w:val="00C9597C"/>
  </w:style>
  <w:style w:type="numbering" w:customStyle="1" w:styleId="NoList2341">
    <w:name w:val="No List2341"/>
    <w:next w:val="NoList"/>
    <w:uiPriority w:val="99"/>
    <w:semiHidden/>
    <w:unhideWhenUsed/>
    <w:rsid w:val="00C9597C"/>
  </w:style>
  <w:style w:type="numbering" w:customStyle="1" w:styleId="NoList3341">
    <w:name w:val="No List3341"/>
    <w:next w:val="NoList"/>
    <w:uiPriority w:val="99"/>
    <w:semiHidden/>
    <w:unhideWhenUsed/>
    <w:rsid w:val="00C9597C"/>
  </w:style>
  <w:style w:type="numbering" w:customStyle="1" w:styleId="NoList181">
    <w:name w:val="No List181"/>
    <w:next w:val="NoList"/>
    <w:uiPriority w:val="99"/>
    <w:semiHidden/>
    <w:unhideWhenUsed/>
    <w:rsid w:val="00C9597C"/>
  </w:style>
  <w:style w:type="table" w:customStyle="1" w:styleId="TableGrid91">
    <w:name w:val="Table Grid9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71">
    <w:name w:val="Medium Grid 3 - Accent 17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71">
    <w:name w:val="Medium Grid 1 - Accent 1171"/>
    <w:basedOn w:val="TableNormal"/>
    <w:next w:val="MediumGrid1-Accent1"/>
    <w:uiPriority w:val="67"/>
    <w:rsid w:val="00C9597C"/>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71">
    <w:name w:val="Light Grid - Accent 11171"/>
    <w:basedOn w:val="TableNormal"/>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71">
    <w:name w:val="Light Grid - Accent 5171"/>
    <w:basedOn w:val="TableNormal"/>
    <w:next w:val="LightGrid-Accent5"/>
    <w:uiPriority w:val="62"/>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71">
    <w:name w:val="Light Grid - Accent 12171"/>
    <w:basedOn w:val="TableNormal"/>
    <w:uiPriority w:val="62"/>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71">
    <w:name w:val="Light List - Accent 5171"/>
    <w:basedOn w:val="TableNormal"/>
    <w:next w:val="LightList-Accent5"/>
    <w:uiPriority w:val="61"/>
    <w:locked/>
    <w:rsid w:val="00C9597C"/>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71">
    <w:name w:val="Light List - Accent 11171"/>
    <w:basedOn w:val="TableNormal"/>
    <w:uiPriority w:val="61"/>
    <w:rsid w:val="00C9597C"/>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71">
    <w:name w:val="Light Grid - Accent 1317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71">
    <w:name w:val="Medium Grid 1 - Accent 317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91">
    <w:name w:val="No List191"/>
    <w:next w:val="NoList"/>
    <w:uiPriority w:val="99"/>
    <w:semiHidden/>
    <w:unhideWhenUsed/>
    <w:rsid w:val="00C9597C"/>
  </w:style>
  <w:style w:type="table" w:customStyle="1" w:styleId="MediumGrid1-Accent1181">
    <w:name w:val="Medium Grid 1 - Accent 118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81">
    <w:name w:val="Light Grid - Accent 1118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81">
    <w:name w:val="Light Grid - Accent 518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81">
    <w:name w:val="Light Grid - Accent 1218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81">
    <w:name w:val="Light List - Accent 518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81">
    <w:name w:val="Light List - Accent 1118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81">
    <w:name w:val="Light Grid - Accent 1318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81">
    <w:name w:val="Medium Grid 1 - Accent 318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71">
    <w:name w:val="Grid Table 4 - Accent 317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81">
    <w:name w:val="No List281"/>
    <w:next w:val="NoList"/>
    <w:uiPriority w:val="99"/>
    <w:semiHidden/>
    <w:unhideWhenUsed/>
    <w:rsid w:val="00C9597C"/>
  </w:style>
  <w:style w:type="table" w:customStyle="1" w:styleId="MediumGrid1-Accent1271">
    <w:name w:val="Medium Grid 1 - Accent 127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71">
    <w:name w:val="Light Grid - Accent 1127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71">
    <w:name w:val="Light Grid - Accent 527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71">
    <w:name w:val="Light Grid - Accent 1227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71">
    <w:name w:val="Light List - Accent 527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71">
    <w:name w:val="Light List - Accent 1127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71">
    <w:name w:val="Light Grid - Accent 1327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71">
    <w:name w:val="Medium Grid 1 - Accent 327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71">
    <w:name w:val="Grid Table 4 Accent 317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81">
    <w:name w:val="No List381"/>
    <w:next w:val="NoList"/>
    <w:uiPriority w:val="99"/>
    <w:semiHidden/>
    <w:unhideWhenUsed/>
    <w:rsid w:val="00C9597C"/>
  </w:style>
  <w:style w:type="table" w:customStyle="1" w:styleId="MediumGrid1-Accent1371">
    <w:name w:val="Medium Grid 1 - Accent 137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71">
    <w:name w:val="Light Grid - Accent 1137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71">
    <w:name w:val="Light Grid - Accent 537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71">
    <w:name w:val="Light Grid - Accent 1237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71">
    <w:name w:val="Light List - Accent 537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71">
    <w:name w:val="Light List - Accent 1137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71">
    <w:name w:val="Light Grid - Accent 1337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71">
    <w:name w:val="Medium Grid 1 - Accent 337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71">
    <w:name w:val="Grid Table 4 Accent 327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71">
    <w:name w:val="Table Grid17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C9597C"/>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C9597C"/>
  </w:style>
  <w:style w:type="table" w:customStyle="1" w:styleId="MediumGrid1-Accent1451">
    <w:name w:val="Medium Grid 1 - Accent 14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51">
    <w:name w:val="Light Grid - Accent 1145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51">
    <w:name w:val="Light Grid - Accent 545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51">
    <w:name w:val="Light Grid - Accent 124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51">
    <w:name w:val="Light List - Accent 545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51">
    <w:name w:val="Light List - Accent 114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51">
    <w:name w:val="Light Grid - Accent 134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51">
    <w:name w:val="Medium Grid 1 - Accent 34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51">
    <w:name w:val="Table Grid2151"/>
    <w:basedOn w:val="TableNormal"/>
    <w:next w:val="TableGrid"/>
    <w:uiPriority w:val="39"/>
    <w:rsid w:val="00C9597C"/>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51">
    <w:name w:val="Medium Grid 3 - Accent 1151"/>
    <w:basedOn w:val="TableNormal"/>
    <w:next w:val="MediumGrid3-Accent1"/>
    <w:uiPriority w:val="69"/>
    <w:rsid w:val="00C9597C"/>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51">
    <w:name w:val="No List1151"/>
    <w:next w:val="NoList"/>
    <w:uiPriority w:val="99"/>
    <w:semiHidden/>
    <w:unhideWhenUsed/>
    <w:rsid w:val="00C9597C"/>
  </w:style>
  <w:style w:type="table" w:customStyle="1" w:styleId="MediumGrid1-Accent11151">
    <w:name w:val="Medium Grid 1 - Accent 111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51">
    <w:name w:val="Light Grid - Accent 111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51">
    <w:name w:val="Light Grid - Accent 51151"/>
    <w:basedOn w:val="TableNormal"/>
    <w:next w:val="LightGrid-Accent5"/>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51">
    <w:name w:val="Light Grid - Accent 121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51">
    <w:name w:val="Light List - Accent 51151"/>
    <w:basedOn w:val="TableNormal"/>
    <w:next w:val="LightList-Accent5"/>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51">
    <w:name w:val="Light List - Accent 1111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51">
    <w:name w:val="Light Grid - Accent 131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51">
    <w:name w:val="Medium Grid 1 - Accent 311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51">
    <w:name w:val="Grid Table 4 - Accent 3115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51">
    <w:name w:val="No List2151"/>
    <w:next w:val="NoList"/>
    <w:uiPriority w:val="99"/>
    <w:semiHidden/>
    <w:unhideWhenUsed/>
    <w:rsid w:val="00C9597C"/>
  </w:style>
  <w:style w:type="table" w:customStyle="1" w:styleId="MediumGrid1-Accent12151">
    <w:name w:val="Medium Grid 1 - Accent 121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51">
    <w:name w:val="Light Grid - Accent 11215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51">
    <w:name w:val="Light Grid - Accent 5215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51">
    <w:name w:val="Light Grid - Accent 122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51">
    <w:name w:val="Light List - Accent 5215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51">
    <w:name w:val="Light List - Accent 1121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51">
    <w:name w:val="Light Grid - Accent 132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51">
    <w:name w:val="Medium Grid 1 - Accent 321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51">
    <w:name w:val="Grid Table 4 Accent 3115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51">
    <w:name w:val="No List3151"/>
    <w:next w:val="NoList"/>
    <w:uiPriority w:val="99"/>
    <w:semiHidden/>
    <w:unhideWhenUsed/>
    <w:rsid w:val="00C9597C"/>
  </w:style>
  <w:style w:type="table" w:customStyle="1" w:styleId="MediumGrid1-Accent13151">
    <w:name w:val="Medium Grid 1 - Accent 131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51">
    <w:name w:val="Light Grid - Accent 11315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51">
    <w:name w:val="Light Grid - Accent 5315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51">
    <w:name w:val="Light Grid - Accent 123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51">
    <w:name w:val="Light List - Accent 5315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51">
    <w:name w:val="Light List - Accent 1131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51">
    <w:name w:val="Light Grid - Accent 1331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51">
    <w:name w:val="Medium Grid 1 - Accent 331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51">
    <w:name w:val="Grid Table 4 Accent 32151"/>
    <w:basedOn w:val="TableNormal"/>
    <w:uiPriority w:val="49"/>
    <w:rsid w:val="00C9597C"/>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51">
    <w:name w:val="Table Grid1151"/>
    <w:basedOn w:val="TableNormal"/>
    <w:next w:val="TableGrid"/>
    <w:uiPriority w:val="39"/>
    <w:rsid w:val="00C9597C"/>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C9597C"/>
  </w:style>
  <w:style w:type="table" w:customStyle="1" w:styleId="MediumGrid1-Accent1551">
    <w:name w:val="Medium Grid 1 - Accent 15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51">
    <w:name w:val="Light Grid - Accent 1155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51">
    <w:name w:val="Light Grid - Accent 555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51">
    <w:name w:val="Light Grid - Accent 125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51">
    <w:name w:val="Light List - Accent 555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51">
    <w:name w:val="Light List - Accent 115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51">
    <w:name w:val="Light Grid - Accent 135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51">
    <w:name w:val="Medium Grid 1 - Accent 35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51">
    <w:name w:val="No List1251"/>
    <w:next w:val="NoList"/>
    <w:uiPriority w:val="99"/>
    <w:semiHidden/>
    <w:unhideWhenUsed/>
    <w:rsid w:val="00C9597C"/>
  </w:style>
  <w:style w:type="numbering" w:customStyle="1" w:styleId="NoList2251">
    <w:name w:val="No List2251"/>
    <w:next w:val="NoList"/>
    <w:uiPriority w:val="99"/>
    <w:semiHidden/>
    <w:unhideWhenUsed/>
    <w:rsid w:val="00C9597C"/>
  </w:style>
  <w:style w:type="numbering" w:customStyle="1" w:styleId="NoList3251">
    <w:name w:val="No List3251"/>
    <w:next w:val="NoList"/>
    <w:uiPriority w:val="99"/>
    <w:semiHidden/>
    <w:unhideWhenUsed/>
    <w:rsid w:val="00C9597C"/>
  </w:style>
  <w:style w:type="numbering" w:customStyle="1" w:styleId="NoList651">
    <w:name w:val="No List651"/>
    <w:next w:val="NoList"/>
    <w:uiPriority w:val="99"/>
    <w:semiHidden/>
    <w:unhideWhenUsed/>
    <w:rsid w:val="00C9597C"/>
  </w:style>
  <w:style w:type="table" w:customStyle="1" w:styleId="MediumGrid1-Accent1651">
    <w:name w:val="Medium Grid 1 - Accent 1651"/>
    <w:basedOn w:val="TableNormal"/>
    <w:next w:val="MediumGrid1-Accent1"/>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51">
    <w:name w:val="Light Grid - Accent 11651"/>
    <w:basedOn w:val="TableNormal"/>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51">
    <w:name w:val="Light Grid - Accent 5651"/>
    <w:basedOn w:val="TableNormal"/>
    <w:next w:val="LightGrid-Accent5"/>
    <w:uiPriority w:val="62"/>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51">
    <w:name w:val="Light Grid - Accent 126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51">
    <w:name w:val="Light List - Accent 5651"/>
    <w:basedOn w:val="TableNormal"/>
    <w:next w:val="LightList-Accent5"/>
    <w:uiPriority w:val="61"/>
    <w:rsid w:val="00C9597C"/>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51">
    <w:name w:val="Light List - Accent 11651"/>
    <w:basedOn w:val="TableNormal"/>
    <w:uiPriority w:val="61"/>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51">
    <w:name w:val="Light Grid - Accent 13651"/>
    <w:basedOn w:val="TableNormal"/>
    <w:uiPriority w:val="62"/>
    <w:rsid w:val="00C9597C"/>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51">
    <w:name w:val="Medium Grid 1 - Accent 3651"/>
    <w:basedOn w:val="TableNormal"/>
    <w:next w:val="MediumGrid1-Accent3"/>
    <w:uiPriority w:val="67"/>
    <w:rsid w:val="00C9597C"/>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51">
    <w:name w:val="No List1351"/>
    <w:next w:val="NoList"/>
    <w:uiPriority w:val="99"/>
    <w:semiHidden/>
    <w:unhideWhenUsed/>
    <w:rsid w:val="00C9597C"/>
  </w:style>
  <w:style w:type="numbering" w:customStyle="1" w:styleId="NoList2351">
    <w:name w:val="No List2351"/>
    <w:next w:val="NoList"/>
    <w:uiPriority w:val="99"/>
    <w:semiHidden/>
    <w:unhideWhenUsed/>
    <w:rsid w:val="00C9597C"/>
  </w:style>
  <w:style w:type="numbering" w:customStyle="1" w:styleId="NoList3351">
    <w:name w:val="No List3351"/>
    <w:next w:val="NoList"/>
    <w:uiPriority w:val="99"/>
    <w:semiHidden/>
    <w:unhideWhenUsed/>
    <w:rsid w:val="00C9597C"/>
  </w:style>
  <w:style w:type="table" w:styleId="GridTable4-Accent5">
    <w:name w:val="Grid Table 4 Accent 5"/>
    <w:basedOn w:val="TableNormal"/>
    <w:uiPriority w:val="49"/>
    <w:rsid w:val="00B25DA6"/>
    <w:rPr>
      <w:rFonts w:asciiTheme="minorHAnsi" w:hAnsiTheme="minorHAnsi" w:cstheme="minorBidi"/>
      <w:sz w:val="22"/>
      <w:szCs w:val="22"/>
      <w:lang w:val="en-IN"/>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30">
    <w:name w:val="No List30"/>
    <w:next w:val="NoList"/>
    <w:uiPriority w:val="99"/>
    <w:semiHidden/>
    <w:unhideWhenUsed/>
    <w:rsid w:val="00C64FC7"/>
  </w:style>
  <w:style w:type="table" w:customStyle="1" w:styleId="TableGrid19">
    <w:name w:val="Table Grid19"/>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9">
    <w:name w:val="Medium Grid 3 - Accent 19"/>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20">
    <w:name w:val="Medium Grid 1 - Accent 120"/>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20">
    <w:name w:val="Light Grid - Accent 1120"/>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0">
    <w:name w:val="Light Grid - Accent 520"/>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20">
    <w:name w:val="Light Grid - Accent 1220"/>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20">
    <w:name w:val="Light List - Accent 520"/>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20">
    <w:name w:val="Light List - Accent 1120"/>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20">
    <w:name w:val="Light Grid - Accent 1320"/>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20">
    <w:name w:val="Medium Grid 1 - Accent 320"/>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7">
    <w:name w:val="No List117"/>
    <w:next w:val="NoList"/>
    <w:uiPriority w:val="99"/>
    <w:semiHidden/>
    <w:unhideWhenUsed/>
    <w:rsid w:val="00C64FC7"/>
  </w:style>
  <w:style w:type="table" w:customStyle="1" w:styleId="MediumGrid1-Accent1117">
    <w:name w:val="Medium Grid 1 - Accent 1117"/>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7">
    <w:name w:val="Light Grid - Accent 1111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7">
    <w:name w:val="Light Grid - Accent 5117"/>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7">
    <w:name w:val="Light Grid - Accent 1211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7">
    <w:name w:val="Light List - Accent 5117"/>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7">
    <w:name w:val="Light List - Accent 11117"/>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7">
    <w:name w:val="Light Grid - Accent 1311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7">
    <w:name w:val="Medium Grid 1 - Accent 3117"/>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9">
    <w:name w:val="Grid Table 4 - Accent 319"/>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0">
    <w:name w:val="No List210"/>
    <w:next w:val="NoList"/>
    <w:uiPriority w:val="99"/>
    <w:semiHidden/>
    <w:unhideWhenUsed/>
    <w:rsid w:val="00C64FC7"/>
  </w:style>
  <w:style w:type="table" w:customStyle="1" w:styleId="MediumGrid1-Accent129">
    <w:name w:val="Medium Grid 1 - Accent 129"/>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9">
    <w:name w:val="Light Grid - Accent 1129"/>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9">
    <w:name w:val="Light Grid - Accent 529"/>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9">
    <w:name w:val="Light Grid - Accent 1229"/>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9">
    <w:name w:val="Light List - Accent 529"/>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9">
    <w:name w:val="Light List - Accent 1129"/>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9">
    <w:name w:val="Light Grid - Accent 1329"/>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9">
    <w:name w:val="Medium Grid 1 - Accent 329"/>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9">
    <w:name w:val="Grid Table 4 Accent 319"/>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0">
    <w:name w:val="No List310"/>
    <w:next w:val="NoList"/>
    <w:uiPriority w:val="99"/>
    <w:semiHidden/>
    <w:unhideWhenUsed/>
    <w:rsid w:val="00C64FC7"/>
  </w:style>
  <w:style w:type="table" w:customStyle="1" w:styleId="MediumGrid1-Accent139">
    <w:name w:val="Medium Grid 1 - Accent 139"/>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9">
    <w:name w:val="Light Grid - Accent 1139"/>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9">
    <w:name w:val="Light Grid - Accent 539"/>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9">
    <w:name w:val="Light Grid - Accent 1239"/>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9">
    <w:name w:val="Light List - Accent 539"/>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9">
    <w:name w:val="Light List - Accent 1139"/>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9">
    <w:name w:val="Light Grid - Accent 1339"/>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9">
    <w:name w:val="Medium Grid 1 - Accent 339"/>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9">
    <w:name w:val="Grid Table 4 Accent 329"/>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0">
    <w:name w:val="Table Grid110"/>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C64FC7"/>
  </w:style>
  <w:style w:type="table" w:customStyle="1" w:styleId="MediumGrid1-Accent147">
    <w:name w:val="Medium Grid 1 - Accent 147"/>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7">
    <w:name w:val="Light Grid - Accent 1147"/>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7">
    <w:name w:val="Light Grid - Accent 547"/>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7">
    <w:name w:val="Light Grid - Accent 124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7">
    <w:name w:val="Light List - Accent 547"/>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7">
    <w:name w:val="Light List - Accent 1147"/>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7">
    <w:name w:val="Light Grid - Accent 134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7">
    <w:name w:val="Medium Grid 1 - Accent 347"/>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32">
    <w:name w:val="Table Grid3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7">
    <w:name w:val="Medium Grid 3 - Accent 117"/>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8">
    <w:name w:val="No List118"/>
    <w:next w:val="NoList"/>
    <w:uiPriority w:val="99"/>
    <w:semiHidden/>
    <w:unhideWhenUsed/>
    <w:rsid w:val="00C64FC7"/>
  </w:style>
  <w:style w:type="table" w:customStyle="1" w:styleId="MediumGrid1-Accent1118">
    <w:name w:val="Medium Grid 1 - Accent 1118"/>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8">
    <w:name w:val="Light Grid - Accent 1111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8">
    <w:name w:val="Light Grid - Accent 5118"/>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8">
    <w:name w:val="Light Grid - Accent 1211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8">
    <w:name w:val="Light List - Accent 5118"/>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8">
    <w:name w:val="Light List - Accent 11118"/>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8">
    <w:name w:val="Light Grid - Accent 1311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8">
    <w:name w:val="Medium Grid 1 - Accent 3118"/>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7">
    <w:name w:val="Grid Table 4 - Accent 3117"/>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7">
    <w:name w:val="No List217"/>
    <w:next w:val="NoList"/>
    <w:uiPriority w:val="99"/>
    <w:semiHidden/>
    <w:unhideWhenUsed/>
    <w:rsid w:val="00C64FC7"/>
  </w:style>
  <w:style w:type="table" w:customStyle="1" w:styleId="MediumGrid1-Accent1217">
    <w:name w:val="Medium Grid 1 - Accent 1217"/>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7">
    <w:name w:val="Light Grid - Accent 11217"/>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7">
    <w:name w:val="Light Grid - Accent 5217"/>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7">
    <w:name w:val="Light Grid - Accent 1221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7">
    <w:name w:val="Light List - Accent 5217"/>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7">
    <w:name w:val="Light List - Accent 11217"/>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7">
    <w:name w:val="Light Grid - Accent 1321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7">
    <w:name w:val="Medium Grid 1 - Accent 3217"/>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7">
    <w:name w:val="Grid Table 4 Accent 3117"/>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7">
    <w:name w:val="No List317"/>
    <w:next w:val="NoList"/>
    <w:uiPriority w:val="99"/>
    <w:semiHidden/>
    <w:unhideWhenUsed/>
    <w:rsid w:val="00C64FC7"/>
  </w:style>
  <w:style w:type="table" w:customStyle="1" w:styleId="MediumGrid1-Accent1317">
    <w:name w:val="Medium Grid 1 - Accent 1317"/>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7">
    <w:name w:val="Light Grid - Accent 11317"/>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7">
    <w:name w:val="Light Grid - Accent 5317"/>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7">
    <w:name w:val="Light Grid - Accent 1231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7">
    <w:name w:val="Light List - Accent 5317"/>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7">
    <w:name w:val="Light List - Accent 11317"/>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7">
    <w:name w:val="Light Grid - Accent 1331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7">
    <w:name w:val="Medium Grid 1 - Accent 3317"/>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7">
    <w:name w:val="Grid Table 4 Accent 3217"/>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7">
    <w:name w:val="Table Grid117"/>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C64FC7"/>
  </w:style>
  <w:style w:type="table" w:customStyle="1" w:styleId="TableGrid42">
    <w:name w:val="Table Grid42"/>
    <w:basedOn w:val="TableNormal"/>
    <w:next w:val="TableGrid"/>
    <w:uiPriority w:val="5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22">
    <w:name w:val="Medium Grid 3 - Accent 12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57">
    <w:name w:val="Medium Grid 1 - Accent 157"/>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57">
    <w:name w:val="Light Grid - Accent 1157"/>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57">
    <w:name w:val="Light Grid - Accent 557"/>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57">
    <w:name w:val="Light Grid - Accent 1257"/>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57">
    <w:name w:val="Light List - Accent 557"/>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57">
    <w:name w:val="Light List - Accent 1157"/>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57">
    <w:name w:val="Light Grid - Accent 135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57">
    <w:name w:val="Medium Grid 1 - Accent 357"/>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27">
    <w:name w:val="No List127"/>
    <w:next w:val="NoList"/>
    <w:uiPriority w:val="99"/>
    <w:semiHidden/>
    <w:unhideWhenUsed/>
    <w:rsid w:val="00C64FC7"/>
  </w:style>
  <w:style w:type="table" w:customStyle="1" w:styleId="MediumGrid1-Accent1122">
    <w:name w:val="Medium Grid 1 - Accent 112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22">
    <w:name w:val="Light Grid - Accent 11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22">
    <w:name w:val="Light Grid - Accent 512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22">
    <w:name w:val="Light Grid - Accent 12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22">
    <w:name w:val="Light List - Accent 512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22">
    <w:name w:val="Light List - Accent 1112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22">
    <w:name w:val="Light Grid - Accent 13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22">
    <w:name w:val="Medium Grid 1 - Accent 312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22">
    <w:name w:val="Grid Table 4 - Accent 312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27">
    <w:name w:val="No List227"/>
    <w:next w:val="NoList"/>
    <w:uiPriority w:val="99"/>
    <w:semiHidden/>
    <w:unhideWhenUsed/>
    <w:rsid w:val="00C64FC7"/>
  </w:style>
  <w:style w:type="table" w:customStyle="1" w:styleId="MediumGrid1-Accent1222">
    <w:name w:val="Medium Grid 1 - Accent 122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22">
    <w:name w:val="Light Grid - Accent 1122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22">
    <w:name w:val="Light Grid - Accent 522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22">
    <w:name w:val="Light Grid - Accent 122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22">
    <w:name w:val="Light List - Accent 522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22">
    <w:name w:val="Light List - Accent 1122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22">
    <w:name w:val="Light Grid - Accent 132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22">
    <w:name w:val="Medium Grid 1 - Accent 322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22">
    <w:name w:val="Grid Table 4 Accent 312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27">
    <w:name w:val="No List327"/>
    <w:next w:val="NoList"/>
    <w:uiPriority w:val="99"/>
    <w:semiHidden/>
    <w:unhideWhenUsed/>
    <w:rsid w:val="00C64FC7"/>
  </w:style>
  <w:style w:type="table" w:customStyle="1" w:styleId="MediumGrid1-Accent1322">
    <w:name w:val="Medium Grid 1 - Accent 132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22">
    <w:name w:val="Light Grid - Accent 1132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22">
    <w:name w:val="Light Grid - Accent 532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22">
    <w:name w:val="Light Grid - Accent 123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22">
    <w:name w:val="Light List - Accent 532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22">
    <w:name w:val="Light List - Accent 1132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22">
    <w:name w:val="Light Grid - Accent 133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22">
    <w:name w:val="Medium Grid 1 - Accent 332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22">
    <w:name w:val="Grid Table 4 Accent 322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22">
    <w:name w:val="Table Grid12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TableNormal"/>
    <w:next w:val="TableGrid"/>
    <w:uiPriority w:val="3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C64FC7"/>
  </w:style>
  <w:style w:type="table" w:customStyle="1" w:styleId="MediumGrid1-Accent167">
    <w:name w:val="Medium Grid 1 - Accent 167"/>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7">
    <w:name w:val="Light Grid - Accent 1167"/>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7">
    <w:name w:val="Light Grid - Accent 567"/>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7">
    <w:name w:val="Light Grid - Accent 126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7">
    <w:name w:val="Light List - Accent 567"/>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7">
    <w:name w:val="Light List - Accent 1167"/>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7">
    <w:name w:val="Light Grid - Accent 1367"/>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7">
    <w:name w:val="Medium Grid 1 - Accent 367"/>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7">
    <w:name w:val="No List137"/>
    <w:next w:val="NoList"/>
    <w:uiPriority w:val="99"/>
    <w:semiHidden/>
    <w:unhideWhenUsed/>
    <w:rsid w:val="00C64FC7"/>
  </w:style>
  <w:style w:type="numbering" w:customStyle="1" w:styleId="NoList237">
    <w:name w:val="No List237"/>
    <w:next w:val="NoList"/>
    <w:uiPriority w:val="99"/>
    <w:semiHidden/>
    <w:unhideWhenUsed/>
    <w:rsid w:val="00C64FC7"/>
  </w:style>
  <w:style w:type="numbering" w:customStyle="1" w:styleId="NoList337">
    <w:name w:val="No List337"/>
    <w:next w:val="NoList"/>
    <w:uiPriority w:val="99"/>
    <w:semiHidden/>
    <w:unhideWhenUsed/>
    <w:rsid w:val="00C64FC7"/>
  </w:style>
  <w:style w:type="numbering" w:customStyle="1" w:styleId="NoList72">
    <w:name w:val="No List72"/>
    <w:next w:val="NoList"/>
    <w:uiPriority w:val="99"/>
    <w:semiHidden/>
    <w:unhideWhenUsed/>
    <w:rsid w:val="00C64FC7"/>
  </w:style>
  <w:style w:type="table" w:customStyle="1" w:styleId="TableGrid52">
    <w:name w:val="Table Grid5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32">
    <w:name w:val="Medium Grid 3 - Accent 13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72">
    <w:name w:val="Medium Grid 1 - Accent 17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72">
    <w:name w:val="Light Grid - Accent 117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72">
    <w:name w:val="Light Grid - Accent 57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72">
    <w:name w:val="Light Grid - Accent 127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72">
    <w:name w:val="Light List - Accent 57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72">
    <w:name w:val="Light List - Accent 117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72">
    <w:name w:val="Light Grid - Accent 137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72">
    <w:name w:val="Medium Grid 1 - Accent 37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42">
    <w:name w:val="No List142"/>
    <w:next w:val="NoList"/>
    <w:uiPriority w:val="99"/>
    <w:semiHidden/>
    <w:unhideWhenUsed/>
    <w:rsid w:val="00C64FC7"/>
  </w:style>
  <w:style w:type="table" w:customStyle="1" w:styleId="MediumGrid1-Accent1132">
    <w:name w:val="Medium Grid 1 - Accent 113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32">
    <w:name w:val="Light Grid - Accent 11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32">
    <w:name w:val="Light Grid - Accent 513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32">
    <w:name w:val="Light Grid - Accent 12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32">
    <w:name w:val="Light List - Accent 513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32">
    <w:name w:val="Light List - Accent 1113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32">
    <w:name w:val="Light Grid - Accent 13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32">
    <w:name w:val="Medium Grid 1 - Accent 313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32">
    <w:name w:val="Grid Table 4 - Accent 313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42">
    <w:name w:val="No List242"/>
    <w:next w:val="NoList"/>
    <w:uiPriority w:val="99"/>
    <w:semiHidden/>
    <w:unhideWhenUsed/>
    <w:rsid w:val="00C64FC7"/>
  </w:style>
  <w:style w:type="table" w:customStyle="1" w:styleId="MediumGrid1-Accent1232">
    <w:name w:val="Medium Grid 1 - Accent 123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32">
    <w:name w:val="Light Grid - Accent 1123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32">
    <w:name w:val="Light Grid - Accent 523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32">
    <w:name w:val="Light Grid - Accent 122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32">
    <w:name w:val="Light List - Accent 523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32">
    <w:name w:val="Light List - Accent 1123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32">
    <w:name w:val="Light Grid - Accent 132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32">
    <w:name w:val="Medium Grid 1 - Accent 323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32">
    <w:name w:val="Grid Table 4 Accent 313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42">
    <w:name w:val="No List342"/>
    <w:next w:val="NoList"/>
    <w:uiPriority w:val="99"/>
    <w:semiHidden/>
    <w:unhideWhenUsed/>
    <w:rsid w:val="00C64FC7"/>
  </w:style>
  <w:style w:type="table" w:customStyle="1" w:styleId="MediumGrid1-Accent1332">
    <w:name w:val="Medium Grid 1 - Accent 133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32">
    <w:name w:val="Light Grid - Accent 1133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32">
    <w:name w:val="Light Grid - Accent 533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32">
    <w:name w:val="Light Grid - Accent 123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32">
    <w:name w:val="Light List - Accent 533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32">
    <w:name w:val="Light List - Accent 1133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32">
    <w:name w:val="Light Grid - Accent 133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32">
    <w:name w:val="Medium Grid 1 - Accent 333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32">
    <w:name w:val="Grid Table 4 Accent 323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32">
    <w:name w:val="Table Grid13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C64FC7"/>
  </w:style>
  <w:style w:type="table" w:customStyle="1" w:styleId="MediumGrid1-Accent1412">
    <w:name w:val="Medium Grid 1 - Accent 14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12">
    <w:name w:val="Light Grid - Accent 114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12">
    <w:name w:val="Light Grid - Accent 54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12">
    <w:name w:val="Light Grid - Accent 12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12">
    <w:name w:val="Light List - Accent 54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12">
    <w:name w:val="Light List - Accent 114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12">
    <w:name w:val="Light Grid - Accent 13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12">
    <w:name w:val="Medium Grid 1 - Accent 34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12">
    <w:name w:val="Table Grid21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2">
    <w:name w:val="Medium Grid 3 - Accent 111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12">
    <w:name w:val="No List1112"/>
    <w:next w:val="NoList"/>
    <w:uiPriority w:val="99"/>
    <w:semiHidden/>
    <w:unhideWhenUsed/>
    <w:rsid w:val="00C64FC7"/>
  </w:style>
  <w:style w:type="table" w:customStyle="1" w:styleId="MediumGrid1-Accent11112">
    <w:name w:val="Medium Grid 1 - Accent 111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12">
    <w:name w:val="Light Grid - Accent 11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12">
    <w:name w:val="Light Grid - Accent 511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12">
    <w:name w:val="Light Grid - Accent 12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12">
    <w:name w:val="Light List - Accent 511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12">
    <w:name w:val="Light List - Accent 1111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12">
    <w:name w:val="Light Grid - Accent 13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12">
    <w:name w:val="Medium Grid 1 - Accent 311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12">
    <w:name w:val="Grid Table 4 - Accent 311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12">
    <w:name w:val="No List2112"/>
    <w:next w:val="NoList"/>
    <w:uiPriority w:val="99"/>
    <w:semiHidden/>
    <w:unhideWhenUsed/>
    <w:rsid w:val="00C64FC7"/>
  </w:style>
  <w:style w:type="table" w:customStyle="1" w:styleId="MediumGrid1-Accent12112">
    <w:name w:val="Medium Grid 1 - Accent 121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12">
    <w:name w:val="Light Grid - Accent 1121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12">
    <w:name w:val="Light Grid - Accent 521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12">
    <w:name w:val="Light Grid - Accent 122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12">
    <w:name w:val="Light List - Accent 521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12">
    <w:name w:val="Light List - Accent 1121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12">
    <w:name w:val="Light Grid - Accent 132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12">
    <w:name w:val="Medium Grid 1 - Accent 321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12">
    <w:name w:val="Grid Table 4 Accent 311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12">
    <w:name w:val="No List3112"/>
    <w:next w:val="NoList"/>
    <w:uiPriority w:val="99"/>
    <w:semiHidden/>
    <w:unhideWhenUsed/>
    <w:rsid w:val="00C64FC7"/>
  </w:style>
  <w:style w:type="table" w:customStyle="1" w:styleId="MediumGrid1-Accent13112">
    <w:name w:val="Medium Grid 1 - Accent 131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12">
    <w:name w:val="Light Grid - Accent 1131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12">
    <w:name w:val="Light Grid - Accent 531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12">
    <w:name w:val="Light Grid - Accent 123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12">
    <w:name w:val="Light List - Accent 531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12">
    <w:name w:val="Light List - Accent 1131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12">
    <w:name w:val="Light Grid - Accent 133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12">
    <w:name w:val="Medium Grid 1 - Accent 331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12">
    <w:name w:val="Grid Table 4 Accent 321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12">
    <w:name w:val="Table Grid111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C64FC7"/>
  </w:style>
  <w:style w:type="table" w:customStyle="1" w:styleId="MediumGrid1-Accent1512">
    <w:name w:val="Medium Grid 1 - Accent 15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12">
    <w:name w:val="Light Grid - Accent 115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12">
    <w:name w:val="Light Grid - Accent 55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12">
    <w:name w:val="Light Grid - Accent 125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12">
    <w:name w:val="Light List - Accent 55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12">
    <w:name w:val="Light List - Accent 115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12">
    <w:name w:val="Light Grid - Accent 135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12">
    <w:name w:val="Medium Grid 1 - Accent 35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12">
    <w:name w:val="No List1212"/>
    <w:next w:val="NoList"/>
    <w:uiPriority w:val="99"/>
    <w:semiHidden/>
    <w:unhideWhenUsed/>
    <w:rsid w:val="00C64FC7"/>
  </w:style>
  <w:style w:type="numbering" w:customStyle="1" w:styleId="NoList2212">
    <w:name w:val="No List2212"/>
    <w:next w:val="NoList"/>
    <w:uiPriority w:val="99"/>
    <w:semiHidden/>
    <w:unhideWhenUsed/>
    <w:rsid w:val="00C64FC7"/>
  </w:style>
  <w:style w:type="numbering" w:customStyle="1" w:styleId="NoList3212">
    <w:name w:val="No List3212"/>
    <w:next w:val="NoList"/>
    <w:uiPriority w:val="99"/>
    <w:semiHidden/>
    <w:unhideWhenUsed/>
    <w:rsid w:val="00C64FC7"/>
  </w:style>
  <w:style w:type="numbering" w:customStyle="1" w:styleId="NoList612">
    <w:name w:val="No List612"/>
    <w:next w:val="NoList"/>
    <w:uiPriority w:val="99"/>
    <w:semiHidden/>
    <w:unhideWhenUsed/>
    <w:rsid w:val="00C64FC7"/>
  </w:style>
  <w:style w:type="table" w:customStyle="1" w:styleId="MediumGrid1-Accent1612">
    <w:name w:val="Medium Grid 1 - Accent 16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12">
    <w:name w:val="Light Grid - Accent 116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12">
    <w:name w:val="Light Grid - Accent 56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12">
    <w:name w:val="Light Grid - Accent 126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12">
    <w:name w:val="Light List - Accent 56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12">
    <w:name w:val="Light List - Accent 116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12">
    <w:name w:val="Light Grid - Accent 136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12">
    <w:name w:val="Medium Grid 1 - Accent 36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12">
    <w:name w:val="No List1312"/>
    <w:next w:val="NoList"/>
    <w:uiPriority w:val="99"/>
    <w:semiHidden/>
    <w:unhideWhenUsed/>
    <w:rsid w:val="00C64FC7"/>
  </w:style>
  <w:style w:type="numbering" w:customStyle="1" w:styleId="NoList2312">
    <w:name w:val="No List2312"/>
    <w:next w:val="NoList"/>
    <w:uiPriority w:val="99"/>
    <w:semiHidden/>
    <w:unhideWhenUsed/>
    <w:rsid w:val="00C64FC7"/>
  </w:style>
  <w:style w:type="numbering" w:customStyle="1" w:styleId="NoList3312">
    <w:name w:val="No List3312"/>
    <w:next w:val="NoList"/>
    <w:uiPriority w:val="99"/>
    <w:semiHidden/>
    <w:unhideWhenUsed/>
    <w:rsid w:val="00C64FC7"/>
  </w:style>
  <w:style w:type="numbering" w:customStyle="1" w:styleId="NoList82">
    <w:name w:val="No List82"/>
    <w:next w:val="NoList"/>
    <w:uiPriority w:val="99"/>
    <w:semiHidden/>
    <w:unhideWhenUsed/>
    <w:rsid w:val="00C64FC7"/>
  </w:style>
  <w:style w:type="table" w:customStyle="1" w:styleId="TableGrid62">
    <w:name w:val="Table Grid6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42">
    <w:name w:val="Medium Grid 3 - Accent 14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82">
    <w:name w:val="Medium Grid 1 - Accent 18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82">
    <w:name w:val="Light Grid - Accent 118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82">
    <w:name w:val="Light Grid - Accent 58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82">
    <w:name w:val="Light Grid - Accent 128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82">
    <w:name w:val="Light List - Accent 58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82">
    <w:name w:val="Light List - Accent 118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82">
    <w:name w:val="Light Grid - Accent 138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82">
    <w:name w:val="Medium Grid 1 - Accent 38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52">
    <w:name w:val="No List152"/>
    <w:next w:val="NoList"/>
    <w:uiPriority w:val="99"/>
    <w:semiHidden/>
    <w:unhideWhenUsed/>
    <w:rsid w:val="00C64FC7"/>
  </w:style>
  <w:style w:type="table" w:customStyle="1" w:styleId="MediumGrid1-Accent1142">
    <w:name w:val="Medium Grid 1 - Accent 114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42">
    <w:name w:val="Light Grid - Accent 11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42">
    <w:name w:val="Light Grid - Accent 514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42">
    <w:name w:val="Light Grid - Accent 12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42">
    <w:name w:val="Light List - Accent 514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42">
    <w:name w:val="Light List - Accent 1114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42">
    <w:name w:val="Light Grid - Accent 13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42">
    <w:name w:val="Medium Grid 1 - Accent 314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42">
    <w:name w:val="Grid Table 4 - Accent 314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52">
    <w:name w:val="No List252"/>
    <w:next w:val="NoList"/>
    <w:uiPriority w:val="99"/>
    <w:semiHidden/>
    <w:unhideWhenUsed/>
    <w:rsid w:val="00C64FC7"/>
  </w:style>
  <w:style w:type="table" w:customStyle="1" w:styleId="MediumGrid1-Accent1242">
    <w:name w:val="Medium Grid 1 - Accent 124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42">
    <w:name w:val="Light Grid - Accent 1124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42">
    <w:name w:val="Light Grid - Accent 524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42">
    <w:name w:val="Light Grid - Accent 122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42">
    <w:name w:val="Light List - Accent 524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42">
    <w:name w:val="Light List - Accent 1124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42">
    <w:name w:val="Light Grid - Accent 132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42">
    <w:name w:val="Medium Grid 1 - Accent 324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42">
    <w:name w:val="Grid Table 4 Accent 314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52">
    <w:name w:val="No List352"/>
    <w:next w:val="NoList"/>
    <w:uiPriority w:val="99"/>
    <w:semiHidden/>
    <w:unhideWhenUsed/>
    <w:rsid w:val="00C64FC7"/>
  </w:style>
  <w:style w:type="table" w:customStyle="1" w:styleId="MediumGrid1-Accent1342">
    <w:name w:val="Medium Grid 1 - Accent 134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42">
    <w:name w:val="Light Grid - Accent 1134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42">
    <w:name w:val="Light Grid - Accent 534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42">
    <w:name w:val="Light Grid - Accent 123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42">
    <w:name w:val="Light List - Accent 534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42">
    <w:name w:val="Light List - Accent 1134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42">
    <w:name w:val="Light Grid - Accent 133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42">
    <w:name w:val="Medium Grid 1 - Accent 334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42">
    <w:name w:val="Grid Table 4 Accent 324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2">
    <w:name w:val="Table Grid14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C64FC7"/>
  </w:style>
  <w:style w:type="table" w:customStyle="1" w:styleId="MediumGrid1-Accent1422">
    <w:name w:val="Medium Grid 1 - Accent 142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22">
    <w:name w:val="Light Grid - Accent 1142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22">
    <w:name w:val="Light Grid - Accent 542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22">
    <w:name w:val="Light Grid - Accent 124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22">
    <w:name w:val="Light List - Accent 542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22">
    <w:name w:val="Light List - Accent 1142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22">
    <w:name w:val="Light Grid - Accent 134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22">
    <w:name w:val="Medium Grid 1 - Accent 342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22">
    <w:name w:val="Table Grid212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2">
    <w:name w:val="Medium Grid 3 - Accent 112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22">
    <w:name w:val="No List1122"/>
    <w:next w:val="NoList"/>
    <w:uiPriority w:val="99"/>
    <w:semiHidden/>
    <w:unhideWhenUsed/>
    <w:rsid w:val="00C64FC7"/>
  </w:style>
  <w:style w:type="table" w:customStyle="1" w:styleId="MediumGrid1-Accent11122">
    <w:name w:val="Medium Grid 1 - Accent 1112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22">
    <w:name w:val="Light Grid - Accent 111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22">
    <w:name w:val="Light Grid - Accent 5112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22">
    <w:name w:val="Light Grid - Accent 121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22">
    <w:name w:val="Light List - Accent 5112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22">
    <w:name w:val="Light List - Accent 11112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22">
    <w:name w:val="Light Grid - Accent 131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22">
    <w:name w:val="Medium Grid 1 - Accent 3112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22">
    <w:name w:val="Grid Table 4 - Accent 3112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22">
    <w:name w:val="No List2122"/>
    <w:next w:val="NoList"/>
    <w:uiPriority w:val="99"/>
    <w:semiHidden/>
    <w:unhideWhenUsed/>
    <w:rsid w:val="00C64FC7"/>
  </w:style>
  <w:style w:type="table" w:customStyle="1" w:styleId="MediumGrid1-Accent12122">
    <w:name w:val="Medium Grid 1 - Accent 1212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22">
    <w:name w:val="Light Grid - Accent 11212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22">
    <w:name w:val="Light Grid - Accent 5212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22">
    <w:name w:val="Light Grid - Accent 122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22">
    <w:name w:val="Light List - Accent 5212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22">
    <w:name w:val="Light List - Accent 11212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22">
    <w:name w:val="Light Grid - Accent 132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22">
    <w:name w:val="Medium Grid 1 - Accent 3212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22">
    <w:name w:val="Grid Table 4 Accent 3112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22">
    <w:name w:val="No List3122"/>
    <w:next w:val="NoList"/>
    <w:uiPriority w:val="99"/>
    <w:semiHidden/>
    <w:unhideWhenUsed/>
    <w:rsid w:val="00C64FC7"/>
  </w:style>
  <w:style w:type="table" w:customStyle="1" w:styleId="MediumGrid1-Accent13122">
    <w:name w:val="Medium Grid 1 - Accent 1312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22">
    <w:name w:val="Light Grid - Accent 11312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22">
    <w:name w:val="Light Grid - Accent 5312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22">
    <w:name w:val="Light Grid - Accent 123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22">
    <w:name w:val="Light List - Accent 5312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22">
    <w:name w:val="Light List - Accent 11312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22">
    <w:name w:val="Light Grid - Accent 1331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22">
    <w:name w:val="Medium Grid 1 - Accent 3312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22">
    <w:name w:val="Grid Table 4 Accent 3212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22">
    <w:name w:val="Table Grid112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C64FC7"/>
  </w:style>
  <w:style w:type="table" w:customStyle="1" w:styleId="MediumGrid1-Accent1522">
    <w:name w:val="Medium Grid 1 - Accent 152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22">
    <w:name w:val="Light Grid - Accent 1152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22">
    <w:name w:val="Light Grid - Accent 552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22">
    <w:name w:val="Light Grid - Accent 125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22">
    <w:name w:val="Light List - Accent 552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22">
    <w:name w:val="Light List - Accent 1152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22">
    <w:name w:val="Light Grid - Accent 135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22">
    <w:name w:val="Medium Grid 1 - Accent 352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22">
    <w:name w:val="No List1222"/>
    <w:next w:val="NoList"/>
    <w:uiPriority w:val="99"/>
    <w:semiHidden/>
    <w:unhideWhenUsed/>
    <w:rsid w:val="00C64FC7"/>
  </w:style>
  <w:style w:type="numbering" w:customStyle="1" w:styleId="NoList2222">
    <w:name w:val="No List2222"/>
    <w:next w:val="NoList"/>
    <w:uiPriority w:val="99"/>
    <w:semiHidden/>
    <w:unhideWhenUsed/>
    <w:rsid w:val="00C64FC7"/>
  </w:style>
  <w:style w:type="numbering" w:customStyle="1" w:styleId="NoList3222">
    <w:name w:val="No List3222"/>
    <w:next w:val="NoList"/>
    <w:uiPriority w:val="99"/>
    <w:semiHidden/>
    <w:unhideWhenUsed/>
    <w:rsid w:val="00C64FC7"/>
  </w:style>
  <w:style w:type="numbering" w:customStyle="1" w:styleId="NoList622">
    <w:name w:val="No List622"/>
    <w:next w:val="NoList"/>
    <w:uiPriority w:val="99"/>
    <w:semiHidden/>
    <w:unhideWhenUsed/>
    <w:rsid w:val="00C64FC7"/>
  </w:style>
  <w:style w:type="table" w:customStyle="1" w:styleId="MediumGrid1-Accent1622">
    <w:name w:val="Medium Grid 1 - Accent 162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22">
    <w:name w:val="Light Grid - Accent 1162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22">
    <w:name w:val="Light Grid - Accent 562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22">
    <w:name w:val="Light Grid - Accent 126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22">
    <w:name w:val="Light List - Accent 562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22">
    <w:name w:val="Light List - Accent 1162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22">
    <w:name w:val="Light Grid - Accent 1362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22">
    <w:name w:val="Medium Grid 1 - Accent 362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22">
    <w:name w:val="No List1322"/>
    <w:next w:val="NoList"/>
    <w:uiPriority w:val="99"/>
    <w:semiHidden/>
    <w:unhideWhenUsed/>
    <w:rsid w:val="00C64FC7"/>
  </w:style>
  <w:style w:type="numbering" w:customStyle="1" w:styleId="NoList2322">
    <w:name w:val="No List2322"/>
    <w:next w:val="NoList"/>
    <w:uiPriority w:val="99"/>
    <w:semiHidden/>
    <w:unhideWhenUsed/>
    <w:rsid w:val="00C64FC7"/>
  </w:style>
  <w:style w:type="numbering" w:customStyle="1" w:styleId="NoList3322">
    <w:name w:val="No List3322"/>
    <w:next w:val="NoList"/>
    <w:uiPriority w:val="99"/>
    <w:semiHidden/>
    <w:unhideWhenUsed/>
    <w:rsid w:val="00C64FC7"/>
  </w:style>
  <w:style w:type="numbering" w:customStyle="1" w:styleId="NoList92">
    <w:name w:val="No List92"/>
    <w:next w:val="NoList"/>
    <w:uiPriority w:val="99"/>
    <w:semiHidden/>
    <w:unhideWhenUsed/>
    <w:rsid w:val="00C64FC7"/>
  </w:style>
  <w:style w:type="table" w:customStyle="1" w:styleId="TableGrid72">
    <w:name w:val="Table Grid7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52">
    <w:name w:val="Medium Grid 3 - Accent 15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92">
    <w:name w:val="Medium Grid 1 - Accent 19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92">
    <w:name w:val="Light Grid - Accent 119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92">
    <w:name w:val="Light Grid - Accent 59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92">
    <w:name w:val="Light Grid - Accent 129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92">
    <w:name w:val="Light List - Accent 59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92">
    <w:name w:val="Light List - Accent 119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92">
    <w:name w:val="Light Grid - Accent 139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92">
    <w:name w:val="Medium Grid 1 - Accent 39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62">
    <w:name w:val="No List162"/>
    <w:next w:val="NoList"/>
    <w:uiPriority w:val="99"/>
    <w:semiHidden/>
    <w:unhideWhenUsed/>
    <w:rsid w:val="00C64FC7"/>
  </w:style>
  <w:style w:type="table" w:customStyle="1" w:styleId="MediumGrid1-Accent1152">
    <w:name w:val="Medium Grid 1 - Accent 115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52">
    <w:name w:val="Light Grid - Accent 11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52">
    <w:name w:val="Light Grid - Accent 515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52">
    <w:name w:val="Light Grid - Accent 12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52">
    <w:name w:val="Light List - Accent 515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52">
    <w:name w:val="Light List - Accent 1115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52">
    <w:name w:val="Light Grid - Accent 13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52">
    <w:name w:val="Medium Grid 1 - Accent 315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52">
    <w:name w:val="Grid Table 4 - Accent 315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62">
    <w:name w:val="No List262"/>
    <w:next w:val="NoList"/>
    <w:uiPriority w:val="99"/>
    <w:semiHidden/>
    <w:unhideWhenUsed/>
    <w:rsid w:val="00C64FC7"/>
  </w:style>
  <w:style w:type="table" w:customStyle="1" w:styleId="MediumGrid1-Accent1252">
    <w:name w:val="Medium Grid 1 - Accent 125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52">
    <w:name w:val="Light Grid - Accent 1125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52">
    <w:name w:val="Light Grid - Accent 525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52">
    <w:name w:val="Light Grid - Accent 122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52">
    <w:name w:val="Light List - Accent 525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52">
    <w:name w:val="Light List - Accent 1125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52">
    <w:name w:val="Light Grid - Accent 132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52">
    <w:name w:val="Medium Grid 1 - Accent 325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52">
    <w:name w:val="Grid Table 4 Accent 315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62">
    <w:name w:val="No List362"/>
    <w:next w:val="NoList"/>
    <w:uiPriority w:val="99"/>
    <w:semiHidden/>
    <w:unhideWhenUsed/>
    <w:rsid w:val="00C64FC7"/>
  </w:style>
  <w:style w:type="table" w:customStyle="1" w:styleId="MediumGrid1-Accent1352">
    <w:name w:val="Medium Grid 1 - Accent 135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52">
    <w:name w:val="Light Grid - Accent 1135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52">
    <w:name w:val="Light Grid - Accent 535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52">
    <w:name w:val="Light Grid - Accent 123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52">
    <w:name w:val="Light List - Accent 535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52">
    <w:name w:val="Light List - Accent 1135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52">
    <w:name w:val="Light Grid - Accent 133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52">
    <w:name w:val="Medium Grid 1 - Accent 335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52">
    <w:name w:val="Grid Table 4 Accent 325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52">
    <w:name w:val="Table Grid15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C64FC7"/>
  </w:style>
  <w:style w:type="table" w:customStyle="1" w:styleId="MediumGrid1-Accent1432">
    <w:name w:val="Medium Grid 1 - Accent 143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32">
    <w:name w:val="Light Grid - Accent 1143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32">
    <w:name w:val="Light Grid - Accent 543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32">
    <w:name w:val="Light Grid - Accent 124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32">
    <w:name w:val="Light List - Accent 543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32">
    <w:name w:val="Light List - Accent 1143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32">
    <w:name w:val="Light Grid - Accent 134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32">
    <w:name w:val="Medium Grid 1 - Accent 343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32">
    <w:name w:val="Table Grid213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32">
    <w:name w:val="Medium Grid 3 - Accent 113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32">
    <w:name w:val="No List1132"/>
    <w:next w:val="NoList"/>
    <w:uiPriority w:val="99"/>
    <w:semiHidden/>
    <w:unhideWhenUsed/>
    <w:rsid w:val="00C64FC7"/>
  </w:style>
  <w:style w:type="table" w:customStyle="1" w:styleId="MediumGrid1-Accent11132">
    <w:name w:val="Medium Grid 1 - Accent 1113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32">
    <w:name w:val="Light Grid - Accent 111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32">
    <w:name w:val="Light Grid - Accent 5113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32">
    <w:name w:val="Light Grid - Accent 121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32">
    <w:name w:val="Light List - Accent 5113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32">
    <w:name w:val="Light List - Accent 11113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32">
    <w:name w:val="Light Grid - Accent 131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32">
    <w:name w:val="Medium Grid 1 - Accent 3113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32">
    <w:name w:val="Grid Table 4 - Accent 3113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32">
    <w:name w:val="No List2132"/>
    <w:next w:val="NoList"/>
    <w:uiPriority w:val="99"/>
    <w:semiHidden/>
    <w:unhideWhenUsed/>
    <w:rsid w:val="00C64FC7"/>
  </w:style>
  <w:style w:type="table" w:customStyle="1" w:styleId="MediumGrid1-Accent12132">
    <w:name w:val="Medium Grid 1 - Accent 1213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32">
    <w:name w:val="Light Grid - Accent 11213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32">
    <w:name w:val="Light Grid - Accent 5213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32">
    <w:name w:val="Light Grid - Accent 122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32">
    <w:name w:val="Light List - Accent 5213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32">
    <w:name w:val="Light List - Accent 11213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32">
    <w:name w:val="Light Grid - Accent 132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32">
    <w:name w:val="Medium Grid 1 - Accent 3213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32">
    <w:name w:val="Grid Table 4 Accent 3113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32">
    <w:name w:val="No List3132"/>
    <w:next w:val="NoList"/>
    <w:uiPriority w:val="99"/>
    <w:semiHidden/>
    <w:unhideWhenUsed/>
    <w:rsid w:val="00C64FC7"/>
  </w:style>
  <w:style w:type="table" w:customStyle="1" w:styleId="MediumGrid1-Accent13132">
    <w:name w:val="Medium Grid 1 - Accent 1313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32">
    <w:name w:val="Light Grid - Accent 11313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32">
    <w:name w:val="Light Grid - Accent 5313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32">
    <w:name w:val="Light Grid - Accent 123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32">
    <w:name w:val="Light List - Accent 5313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32">
    <w:name w:val="Light List - Accent 11313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32">
    <w:name w:val="Light Grid - Accent 1331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32">
    <w:name w:val="Medium Grid 1 - Accent 3313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32">
    <w:name w:val="Grid Table 4 Accent 3213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32">
    <w:name w:val="Table Grid113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C64FC7"/>
  </w:style>
  <w:style w:type="table" w:customStyle="1" w:styleId="MediumGrid1-Accent1532">
    <w:name w:val="Medium Grid 1 - Accent 153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32">
    <w:name w:val="Light Grid - Accent 1153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32">
    <w:name w:val="Light Grid - Accent 553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32">
    <w:name w:val="Light Grid - Accent 125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32">
    <w:name w:val="Light List - Accent 553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32">
    <w:name w:val="Light List - Accent 1153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32">
    <w:name w:val="Light Grid - Accent 135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32">
    <w:name w:val="Medium Grid 1 - Accent 353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32">
    <w:name w:val="No List1232"/>
    <w:next w:val="NoList"/>
    <w:uiPriority w:val="99"/>
    <w:semiHidden/>
    <w:unhideWhenUsed/>
    <w:rsid w:val="00C64FC7"/>
  </w:style>
  <w:style w:type="numbering" w:customStyle="1" w:styleId="NoList2232">
    <w:name w:val="No List2232"/>
    <w:next w:val="NoList"/>
    <w:uiPriority w:val="99"/>
    <w:semiHidden/>
    <w:unhideWhenUsed/>
    <w:rsid w:val="00C64FC7"/>
  </w:style>
  <w:style w:type="numbering" w:customStyle="1" w:styleId="NoList3232">
    <w:name w:val="No List3232"/>
    <w:next w:val="NoList"/>
    <w:uiPriority w:val="99"/>
    <w:semiHidden/>
    <w:unhideWhenUsed/>
    <w:rsid w:val="00C64FC7"/>
  </w:style>
  <w:style w:type="numbering" w:customStyle="1" w:styleId="NoList632">
    <w:name w:val="No List632"/>
    <w:next w:val="NoList"/>
    <w:uiPriority w:val="99"/>
    <w:semiHidden/>
    <w:unhideWhenUsed/>
    <w:rsid w:val="00C64FC7"/>
  </w:style>
  <w:style w:type="table" w:customStyle="1" w:styleId="MediumGrid1-Accent1632">
    <w:name w:val="Medium Grid 1 - Accent 163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32">
    <w:name w:val="Light Grid - Accent 1163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32">
    <w:name w:val="Light Grid - Accent 563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32">
    <w:name w:val="Light Grid - Accent 126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32">
    <w:name w:val="Light List - Accent 563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32">
    <w:name w:val="Light List - Accent 1163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32">
    <w:name w:val="Light Grid - Accent 1363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32">
    <w:name w:val="Medium Grid 1 - Accent 363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32">
    <w:name w:val="No List1332"/>
    <w:next w:val="NoList"/>
    <w:uiPriority w:val="99"/>
    <w:semiHidden/>
    <w:unhideWhenUsed/>
    <w:rsid w:val="00C64FC7"/>
  </w:style>
  <w:style w:type="numbering" w:customStyle="1" w:styleId="NoList2332">
    <w:name w:val="No List2332"/>
    <w:next w:val="NoList"/>
    <w:uiPriority w:val="99"/>
    <w:semiHidden/>
    <w:unhideWhenUsed/>
    <w:rsid w:val="00C64FC7"/>
  </w:style>
  <w:style w:type="numbering" w:customStyle="1" w:styleId="NoList3332">
    <w:name w:val="No List3332"/>
    <w:next w:val="NoList"/>
    <w:uiPriority w:val="99"/>
    <w:semiHidden/>
    <w:unhideWhenUsed/>
    <w:rsid w:val="00C64FC7"/>
  </w:style>
  <w:style w:type="numbering" w:customStyle="1" w:styleId="NoList102">
    <w:name w:val="No List102"/>
    <w:next w:val="NoList"/>
    <w:uiPriority w:val="99"/>
    <w:semiHidden/>
    <w:unhideWhenUsed/>
    <w:rsid w:val="00C64FC7"/>
  </w:style>
  <w:style w:type="table" w:customStyle="1" w:styleId="TableGrid82">
    <w:name w:val="Table Grid8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62">
    <w:name w:val="Medium Grid 3 - Accent 16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02">
    <w:name w:val="Medium Grid 1 - Accent 110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02">
    <w:name w:val="Light Grid - Accent 1110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02">
    <w:name w:val="Light Grid - Accent 510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02">
    <w:name w:val="Light Grid - Accent 1210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02">
    <w:name w:val="Light List - Accent 510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02">
    <w:name w:val="Light List - Accent 1110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02">
    <w:name w:val="Light Grid - Accent 1310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02">
    <w:name w:val="Medium Grid 1 - Accent 310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72">
    <w:name w:val="No List172"/>
    <w:next w:val="NoList"/>
    <w:uiPriority w:val="99"/>
    <w:semiHidden/>
    <w:unhideWhenUsed/>
    <w:rsid w:val="00C64FC7"/>
  </w:style>
  <w:style w:type="table" w:customStyle="1" w:styleId="MediumGrid1-Accent1162">
    <w:name w:val="Medium Grid 1 - Accent 116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62">
    <w:name w:val="Light Grid - Accent 11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62">
    <w:name w:val="Light Grid - Accent 516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62">
    <w:name w:val="Light Grid - Accent 12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62">
    <w:name w:val="Light List - Accent 516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62">
    <w:name w:val="Light List - Accent 1116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62">
    <w:name w:val="Light Grid - Accent 13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62">
    <w:name w:val="Medium Grid 1 - Accent 316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62">
    <w:name w:val="Grid Table 4 - Accent 316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72">
    <w:name w:val="No List272"/>
    <w:next w:val="NoList"/>
    <w:uiPriority w:val="99"/>
    <w:semiHidden/>
    <w:unhideWhenUsed/>
    <w:rsid w:val="00C64FC7"/>
  </w:style>
  <w:style w:type="table" w:customStyle="1" w:styleId="MediumGrid1-Accent1262">
    <w:name w:val="Medium Grid 1 - Accent 126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62">
    <w:name w:val="Light Grid - Accent 1126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62">
    <w:name w:val="Light Grid - Accent 526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62">
    <w:name w:val="Light Grid - Accent 122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62">
    <w:name w:val="Light List - Accent 526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62">
    <w:name w:val="Light List - Accent 1126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62">
    <w:name w:val="Light Grid - Accent 132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62">
    <w:name w:val="Medium Grid 1 - Accent 326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62">
    <w:name w:val="Grid Table 4 Accent 316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72">
    <w:name w:val="No List372"/>
    <w:next w:val="NoList"/>
    <w:uiPriority w:val="99"/>
    <w:semiHidden/>
    <w:unhideWhenUsed/>
    <w:rsid w:val="00C64FC7"/>
  </w:style>
  <w:style w:type="table" w:customStyle="1" w:styleId="MediumGrid1-Accent1362">
    <w:name w:val="Medium Grid 1 - Accent 136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62">
    <w:name w:val="Light Grid - Accent 1136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62">
    <w:name w:val="Light Grid - Accent 536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62">
    <w:name w:val="Light Grid - Accent 123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62">
    <w:name w:val="Light List - Accent 536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62">
    <w:name w:val="Light List - Accent 1136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62">
    <w:name w:val="Light Grid - Accent 133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62">
    <w:name w:val="Medium Grid 1 - Accent 336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62">
    <w:name w:val="Grid Table 4 Accent 326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62">
    <w:name w:val="Table Grid16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C64FC7"/>
  </w:style>
  <w:style w:type="table" w:customStyle="1" w:styleId="MediumGrid1-Accent1442">
    <w:name w:val="Medium Grid 1 - Accent 144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42">
    <w:name w:val="Light Grid - Accent 1144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42">
    <w:name w:val="Light Grid - Accent 544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42">
    <w:name w:val="Light Grid - Accent 124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42">
    <w:name w:val="Light List - Accent 544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42">
    <w:name w:val="Light List - Accent 1144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42">
    <w:name w:val="Light Grid - Accent 134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42">
    <w:name w:val="Medium Grid 1 - Accent 344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42">
    <w:name w:val="Table Grid214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42">
    <w:name w:val="Medium Grid 3 - Accent 114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42">
    <w:name w:val="No List1142"/>
    <w:next w:val="NoList"/>
    <w:uiPriority w:val="99"/>
    <w:semiHidden/>
    <w:unhideWhenUsed/>
    <w:rsid w:val="00C64FC7"/>
  </w:style>
  <w:style w:type="table" w:customStyle="1" w:styleId="MediumGrid1-Accent11142">
    <w:name w:val="Medium Grid 1 - Accent 1114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42">
    <w:name w:val="Light Grid - Accent 111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42">
    <w:name w:val="Light Grid - Accent 5114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42">
    <w:name w:val="Light Grid - Accent 121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42">
    <w:name w:val="Light List - Accent 5114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42">
    <w:name w:val="Light List - Accent 11114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42">
    <w:name w:val="Light Grid - Accent 131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42">
    <w:name w:val="Medium Grid 1 - Accent 3114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42">
    <w:name w:val="Grid Table 4 - Accent 3114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42">
    <w:name w:val="No List2142"/>
    <w:next w:val="NoList"/>
    <w:uiPriority w:val="99"/>
    <w:semiHidden/>
    <w:unhideWhenUsed/>
    <w:rsid w:val="00C64FC7"/>
  </w:style>
  <w:style w:type="table" w:customStyle="1" w:styleId="MediumGrid1-Accent12142">
    <w:name w:val="Medium Grid 1 - Accent 1214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42">
    <w:name w:val="Light Grid - Accent 11214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42">
    <w:name w:val="Light Grid - Accent 5214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42">
    <w:name w:val="Light Grid - Accent 122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42">
    <w:name w:val="Light List - Accent 5214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42">
    <w:name w:val="Light List - Accent 11214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42">
    <w:name w:val="Light Grid - Accent 132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42">
    <w:name w:val="Medium Grid 1 - Accent 3214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42">
    <w:name w:val="Grid Table 4 Accent 3114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42">
    <w:name w:val="No List3142"/>
    <w:next w:val="NoList"/>
    <w:uiPriority w:val="99"/>
    <w:semiHidden/>
    <w:unhideWhenUsed/>
    <w:rsid w:val="00C64FC7"/>
  </w:style>
  <w:style w:type="table" w:customStyle="1" w:styleId="MediumGrid1-Accent13142">
    <w:name w:val="Medium Grid 1 - Accent 1314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42">
    <w:name w:val="Light Grid - Accent 11314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42">
    <w:name w:val="Light Grid - Accent 5314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42">
    <w:name w:val="Light Grid - Accent 123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42">
    <w:name w:val="Light List - Accent 5314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42">
    <w:name w:val="Light List - Accent 11314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42">
    <w:name w:val="Light Grid - Accent 1331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42">
    <w:name w:val="Medium Grid 1 - Accent 3314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42">
    <w:name w:val="Grid Table 4 Accent 3214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42">
    <w:name w:val="Table Grid114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C64FC7"/>
  </w:style>
  <w:style w:type="table" w:customStyle="1" w:styleId="MediumGrid1-Accent1542">
    <w:name w:val="Medium Grid 1 - Accent 154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42">
    <w:name w:val="Light Grid - Accent 1154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42">
    <w:name w:val="Light Grid - Accent 554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42">
    <w:name w:val="Light Grid - Accent 125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42">
    <w:name w:val="Light List - Accent 554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42">
    <w:name w:val="Light List - Accent 1154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42">
    <w:name w:val="Light Grid - Accent 135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42">
    <w:name w:val="Medium Grid 1 - Accent 354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42">
    <w:name w:val="No List1242"/>
    <w:next w:val="NoList"/>
    <w:uiPriority w:val="99"/>
    <w:semiHidden/>
    <w:unhideWhenUsed/>
    <w:rsid w:val="00C64FC7"/>
  </w:style>
  <w:style w:type="numbering" w:customStyle="1" w:styleId="NoList2242">
    <w:name w:val="No List2242"/>
    <w:next w:val="NoList"/>
    <w:uiPriority w:val="99"/>
    <w:semiHidden/>
    <w:unhideWhenUsed/>
    <w:rsid w:val="00C64FC7"/>
  </w:style>
  <w:style w:type="numbering" w:customStyle="1" w:styleId="NoList3242">
    <w:name w:val="No List3242"/>
    <w:next w:val="NoList"/>
    <w:uiPriority w:val="99"/>
    <w:semiHidden/>
    <w:unhideWhenUsed/>
    <w:rsid w:val="00C64FC7"/>
  </w:style>
  <w:style w:type="numbering" w:customStyle="1" w:styleId="NoList642">
    <w:name w:val="No List642"/>
    <w:next w:val="NoList"/>
    <w:uiPriority w:val="99"/>
    <w:semiHidden/>
    <w:unhideWhenUsed/>
    <w:rsid w:val="00C64FC7"/>
  </w:style>
  <w:style w:type="table" w:customStyle="1" w:styleId="MediumGrid1-Accent1642">
    <w:name w:val="Medium Grid 1 - Accent 164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42">
    <w:name w:val="Light Grid - Accent 1164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42">
    <w:name w:val="Light Grid - Accent 564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42">
    <w:name w:val="Light Grid - Accent 126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42">
    <w:name w:val="Light List - Accent 564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42">
    <w:name w:val="Light List - Accent 1164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42">
    <w:name w:val="Light Grid - Accent 1364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42">
    <w:name w:val="Medium Grid 1 - Accent 364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42">
    <w:name w:val="No List1342"/>
    <w:next w:val="NoList"/>
    <w:uiPriority w:val="99"/>
    <w:semiHidden/>
    <w:unhideWhenUsed/>
    <w:rsid w:val="00C64FC7"/>
  </w:style>
  <w:style w:type="numbering" w:customStyle="1" w:styleId="NoList2342">
    <w:name w:val="No List2342"/>
    <w:next w:val="NoList"/>
    <w:uiPriority w:val="99"/>
    <w:semiHidden/>
    <w:unhideWhenUsed/>
    <w:rsid w:val="00C64FC7"/>
  </w:style>
  <w:style w:type="numbering" w:customStyle="1" w:styleId="NoList3342">
    <w:name w:val="No List3342"/>
    <w:next w:val="NoList"/>
    <w:uiPriority w:val="99"/>
    <w:semiHidden/>
    <w:unhideWhenUsed/>
    <w:rsid w:val="00C64FC7"/>
  </w:style>
  <w:style w:type="numbering" w:customStyle="1" w:styleId="NoList182">
    <w:name w:val="No List182"/>
    <w:next w:val="NoList"/>
    <w:uiPriority w:val="99"/>
    <w:semiHidden/>
    <w:unhideWhenUsed/>
    <w:rsid w:val="00C64FC7"/>
  </w:style>
  <w:style w:type="table" w:customStyle="1" w:styleId="TableGrid92">
    <w:name w:val="Table Grid9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72">
    <w:name w:val="Medium Grid 3 - Accent 17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72">
    <w:name w:val="Medium Grid 1 - Accent 117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72">
    <w:name w:val="Light Grid - Accent 1117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72">
    <w:name w:val="Light Grid - Accent 517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72">
    <w:name w:val="Light Grid - Accent 1217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72">
    <w:name w:val="Light List - Accent 517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72">
    <w:name w:val="Light List - Accent 1117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72">
    <w:name w:val="Light Grid - Accent 1317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72">
    <w:name w:val="Medium Grid 1 - Accent 317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92">
    <w:name w:val="No List192"/>
    <w:next w:val="NoList"/>
    <w:uiPriority w:val="99"/>
    <w:semiHidden/>
    <w:unhideWhenUsed/>
    <w:rsid w:val="00C64FC7"/>
  </w:style>
  <w:style w:type="table" w:customStyle="1" w:styleId="MediumGrid1-Accent1182">
    <w:name w:val="Medium Grid 1 - Accent 118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82">
    <w:name w:val="Light Grid - Accent 1118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82">
    <w:name w:val="Light Grid - Accent 518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82">
    <w:name w:val="Light Grid - Accent 1218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82">
    <w:name w:val="Light List - Accent 518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82">
    <w:name w:val="Light List - Accent 1118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82">
    <w:name w:val="Light Grid - Accent 1318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82">
    <w:name w:val="Medium Grid 1 - Accent 318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72">
    <w:name w:val="Grid Table 4 - Accent 317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82">
    <w:name w:val="No List282"/>
    <w:next w:val="NoList"/>
    <w:uiPriority w:val="99"/>
    <w:semiHidden/>
    <w:unhideWhenUsed/>
    <w:rsid w:val="00C64FC7"/>
  </w:style>
  <w:style w:type="table" w:customStyle="1" w:styleId="MediumGrid1-Accent1272">
    <w:name w:val="Medium Grid 1 - Accent 127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72">
    <w:name w:val="Light Grid - Accent 1127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72">
    <w:name w:val="Light Grid - Accent 527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72">
    <w:name w:val="Light Grid - Accent 1227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72">
    <w:name w:val="Light List - Accent 527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72">
    <w:name w:val="Light List - Accent 1127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72">
    <w:name w:val="Light Grid - Accent 1327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72">
    <w:name w:val="Medium Grid 1 - Accent 327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72">
    <w:name w:val="Grid Table 4 Accent 317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82">
    <w:name w:val="No List382"/>
    <w:next w:val="NoList"/>
    <w:uiPriority w:val="99"/>
    <w:semiHidden/>
    <w:unhideWhenUsed/>
    <w:rsid w:val="00C64FC7"/>
  </w:style>
  <w:style w:type="table" w:customStyle="1" w:styleId="MediumGrid1-Accent1372">
    <w:name w:val="Medium Grid 1 - Accent 137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72">
    <w:name w:val="Light Grid - Accent 1137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72">
    <w:name w:val="Light Grid - Accent 537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72">
    <w:name w:val="Light Grid - Accent 1237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72">
    <w:name w:val="Light List - Accent 537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72">
    <w:name w:val="Light List - Accent 1137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72">
    <w:name w:val="Light Grid - Accent 1337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72">
    <w:name w:val="Medium Grid 1 - Accent 337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72">
    <w:name w:val="Grid Table 4 Accent 327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72">
    <w:name w:val="Table Grid17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2">
    <w:name w:val="No List452"/>
    <w:next w:val="NoList"/>
    <w:uiPriority w:val="99"/>
    <w:semiHidden/>
    <w:unhideWhenUsed/>
    <w:rsid w:val="00C64FC7"/>
  </w:style>
  <w:style w:type="table" w:customStyle="1" w:styleId="MediumGrid1-Accent1452">
    <w:name w:val="Medium Grid 1 - Accent 145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52">
    <w:name w:val="Light Grid - Accent 1145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52">
    <w:name w:val="Light Grid - Accent 545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52">
    <w:name w:val="Light Grid - Accent 124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52">
    <w:name w:val="Light List - Accent 545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52">
    <w:name w:val="Light List - Accent 1145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52">
    <w:name w:val="Light Grid - Accent 134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52">
    <w:name w:val="Medium Grid 1 - Accent 345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52">
    <w:name w:val="Table Grid215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52">
    <w:name w:val="Medium Grid 3 - Accent 115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52">
    <w:name w:val="No List1152"/>
    <w:next w:val="NoList"/>
    <w:uiPriority w:val="99"/>
    <w:semiHidden/>
    <w:unhideWhenUsed/>
    <w:rsid w:val="00C64FC7"/>
  </w:style>
  <w:style w:type="table" w:customStyle="1" w:styleId="MediumGrid1-Accent11152">
    <w:name w:val="Medium Grid 1 - Accent 1115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52">
    <w:name w:val="Light Grid - Accent 111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52">
    <w:name w:val="Light Grid - Accent 5115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52">
    <w:name w:val="Light Grid - Accent 121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52">
    <w:name w:val="Light List - Accent 5115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52">
    <w:name w:val="Light List - Accent 11115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52">
    <w:name w:val="Light Grid - Accent 131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52">
    <w:name w:val="Medium Grid 1 - Accent 3115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52">
    <w:name w:val="Grid Table 4 - Accent 3115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52">
    <w:name w:val="No List2152"/>
    <w:next w:val="NoList"/>
    <w:uiPriority w:val="99"/>
    <w:semiHidden/>
    <w:unhideWhenUsed/>
    <w:rsid w:val="00C64FC7"/>
  </w:style>
  <w:style w:type="table" w:customStyle="1" w:styleId="MediumGrid1-Accent12152">
    <w:name w:val="Medium Grid 1 - Accent 1215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52">
    <w:name w:val="Light Grid - Accent 11215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52">
    <w:name w:val="Light Grid - Accent 5215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52">
    <w:name w:val="Light Grid - Accent 122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52">
    <w:name w:val="Light List - Accent 5215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52">
    <w:name w:val="Light List - Accent 11215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52">
    <w:name w:val="Light Grid - Accent 132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52">
    <w:name w:val="Medium Grid 1 - Accent 3215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52">
    <w:name w:val="Grid Table 4 Accent 3115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52">
    <w:name w:val="No List3152"/>
    <w:next w:val="NoList"/>
    <w:uiPriority w:val="99"/>
    <w:semiHidden/>
    <w:unhideWhenUsed/>
    <w:rsid w:val="00C64FC7"/>
  </w:style>
  <w:style w:type="table" w:customStyle="1" w:styleId="MediumGrid1-Accent13152">
    <w:name w:val="Medium Grid 1 - Accent 1315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52">
    <w:name w:val="Light Grid - Accent 11315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52">
    <w:name w:val="Light Grid - Accent 5315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52">
    <w:name w:val="Light Grid - Accent 123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52">
    <w:name w:val="Light List - Accent 5315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52">
    <w:name w:val="Light List - Accent 11315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52">
    <w:name w:val="Light Grid - Accent 1331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52">
    <w:name w:val="Medium Grid 1 - Accent 3315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52">
    <w:name w:val="Grid Table 4 Accent 3215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52">
    <w:name w:val="Table Grid115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2">
    <w:name w:val="No List552"/>
    <w:next w:val="NoList"/>
    <w:uiPriority w:val="99"/>
    <w:semiHidden/>
    <w:unhideWhenUsed/>
    <w:rsid w:val="00C64FC7"/>
  </w:style>
  <w:style w:type="table" w:customStyle="1" w:styleId="MediumGrid1-Accent1552">
    <w:name w:val="Medium Grid 1 - Accent 155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52">
    <w:name w:val="Light Grid - Accent 1155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52">
    <w:name w:val="Light Grid - Accent 555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52">
    <w:name w:val="Light Grid - Accent 125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52">
    <w:name w:val="Light List - Accent 555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52">
    <w:name w:val="Light List - Accent 1155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52">
    <w:name w:val="Light Grid - Accent 135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52">
    <w:name w:val="Medium Grid 1 - Accent 355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52">
    <w:name w:val="No List1252"/>
    <w:next w:val="NoList"/>
    <w:uiPriority w:val="99"/>
    <w:semiHidden/>
    <w:unhideWhenUsed/>
    <w:rsid w:val="00C64FC7"/>
  </w:style>
  <w:style w:type="numbering" w:customStyle="1" w:styleId="NoList2252">
    <w:name w:val="No List2252"/>
    <w:next w:val="NoList"/>
    <w:uiPriority w:val="99"/>
    <w:semiHidden/>
    <w:unhideWhenUsed/>
    <w:rsid w:val="00C64FC7"/>
  </w:style>
  <w:style w:type="numbering" w:customStyle="1" w:styleId="NoList3252">
    <w:name w:val="No List3252"/>
    <w:next w:val="NoList"/>
    <w:uiPriority w:val="99"/>
    <w:semiHidden/>
    <w:unhideWhenUsed/>
    <w:rsid w:val="00C64FC7"/>
  </w:style>
  <w:style w:type="numbering" w:customStyle="1" w:styleId="NoList652">
    <w:name w:val="No List652"/>
    <w:next w:val="NoList"/>
    <w:uiPriority w:val="99"/>
    <w:semiHidden/>
    <w:unhideWhenUsed/>
    <w:rsid w:val="00C64FC7"/>
  </w:style>
  <w:style w:type="table" w:customStyle="1" w:styleId="MediumGrid1-Accent1652">
    <w:name w:val="Medium Grid 1 - Accent 165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52">
    <w:name w:val="Light Grid - Accent 1165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52">
    <w:name w:val="Light Grid - Accent 565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52">
    <w:name w:val="Light Grid - Accent 126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52">
    <w:name w:val="Light List - Accent 565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52">
    <w:name w:val="Light List - Accent 1165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52">
    <w:name w:val="Light Grid - Accent 1365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52">
    <w:name w:val="Medium Grid 1 - Accent 365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52">
    <w:name w:val="No List1352"/>
    <w:next w:val="NoList"/>
    <w:uiPriority w:val="99"/>
    <w:semiHidden/>
    <w:unhideWhenUsed/>
    <w:rsid w:val="00C64FC7"/>
  </w:style>
  <w:style w:type="numbering" w:customStyle="1" w:styleId="NoList2352">
    <w:name w:val="No List2352"/>
    <w:next w:val="NoList"/>
    <w:uiPriority w:val="99"/>
    <w:semiHidden/>
    <w:unhideWhenUsed/>
    <w:rsid w:val="00C64FC7"/>
  </w:style>
  <w:style w:type="numbering" w:customStyle="1" w:styleId="NoList3352">
    <w:name w:val="No List3352"/>
    <w:next w:val="NoList"/>
    <w:uiPriority w:val="99"/>
    <w:semiHidden/>
    <w:unhideWhenUsed/>
    <w:rsid w:val="00C64FC7"/>
  </w:style>
  <w:style w:type="numbering" w:customStyle="1" w:styleId="NoList201">
    <w:name w:val="No List201"/>
    <w:next w:val="NoList"/>
    <w:uiPriority w:val="99"/>
    <w:semiHidden/>
    <w:unhideWhenUsed/>
    <w:rsid w:val="00C64FC7"/>
  </w:style>
  <w:style w:type="table" w:customStyle="1" w:styleId="TableGrid101">
    <w:name w:val="Table Grid10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81">
    <w:name w:val="Medium Grid 3 - Accent 18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91">
    <w:name w:val="Medium Grid 1 - Accent 1191"/>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91">
    <w:name w:val="Light Grid - Accent 11191"/>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91">
    <w:name w:val="Light Grid - Accent 5191"/>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91">
    <w:name w:val="Light Grid - Accent 12191"/>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91">
    <w:name w:val="Light List - Accent 5191"/>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91">
    <w:name w:val="Light List - Accent 11191"/>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91">
    <w:name w:val="Light Grid - Accent 1319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91">
    <w:name w:val="Medium Grid 1 - Accent 319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01">
    <w:name w:val="No List1101"/>
    <w:next w:val="NoList"/>
    <w:uiPriority w:val="99"/>
    <w:semiHidden/>
    <w:unhideWhenUsed/>
    <w:rsid w:val="00C64FC7"/>
  </w:style>
  <w:style w:type="table" w:customStyle="1" w:styleId="MediumGrid1-Accent11101">
    <w:name w:val="Medium Grid 1 - Accent 1110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01">
    <w:name w:val="Light Grid - Accent 11110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01">
    <w:name w:val="Light Grid - Accent 5110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01">
    <w:name w:val="Light Grid - Accent 12110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01">
    <w:name w:val="Light List - Accent 5110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01">
    <w:name w:val="Light List - Accent 11110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01">
    <w:name w:val="Light Grid - Accent 13110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01">
    <w:name w:val="Medium Grid 1 - Accent 3110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81">
    <w:name w:val="Grid Table 4 - Accent 318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91">
    <w:name w:val="No List291"/>
    <w:next w:val="NoList"/>
    <w:uiPriority w:val="99"/>
    <w:semiHidden/>
    <w:unhideWhenUsed/>
    <w:rsid w:val="00C64FC7"/>
  </w:style>
  <w:style w:type="table" w:customStyle="1" w:styleId="MediumGrid1-Accent1281">
    <w:name w:val="Medium Grid 1 - Accent 128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81">
    <w:name w:val="Light Grid - Accent 1128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81">
    <w:name w:val="Light Grid - Accent 528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81">
    <w:name w:val="Light Grid - Accent 1228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81">
    <w:name w:val="Light List - Accent 528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81">
    <w:name w:val="Light List - Accent 1128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81">
    <w:name w:val="Light Grid - Accent 1328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81">
    <w:name w:val="Medium Grid 1 - Accent 328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81">
    <w:name w:val="Grid Table 4 Accent 318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91">
    <w:name w:val="No List391"/>
    <w:next w:val="NoList"/>
    <w:uiPriority w:val="99"/>
    <w:semiHidden/>
    <w:unhideWhenUsed/>
    <w:rsid w:val="00C64FC7"/>
  </w:style>
  <w:style w:type="table" w:customStyle="1" w:styleId="MediumGrid1-Accent1381">
    <w:name w:val="Medium Grid 1 - Accent 138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81">
    <w:name w:val="Light Grid - Accent 1138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81">
    <w:name w:val="Light Grid - Accent 538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81">
    <w:name w:val="Light Grid - Accent 1238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81">
    <w:name w:val="Light List - Accent 538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81">
    <w:name w:val="Light List - Accent 1138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81">
    <w:name w:val="Light Grid - Accent 1338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81">
    <w:name w:val="Medium Grid 1 - Accent 338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81">
    <w:name w:val="Grid Table 4 Accent 328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81">
    <w:name w:val="Table Grid18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C64FC7"/>
  </w:style>
  <w:style w:type="table" w:customStyle="1" w:styleId="MediumGrid1-Accent1461">
    <w:name w:val="Medium Grid 1 - Accent 146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61">
    <w:name w:val="Light Grid - Accent 1146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61">
    <w:name w:val="Light Grid - Accent 546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61">
    <w:name w:val="Light Grid - Accent 124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61">
    <w:name w:val="Light List - Accent 546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61">
    <w:name w:val="Light List - Accent 1146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61">
    <w:name w:val="Light Grid - Accent 134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61">
    <w:name w:val="Medium Grid 1 - Accent 346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311">
    <w:name w:val="Table Grid3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61">
    <w:name w:val="Medium Grid 3 - Accent 116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61">
    <w:name w:val="No List1161"/>
    <w:next w:val="NoList"/>
    <w:uiPriority w:val="99"/>
    <w:semiHidden/>
    <w:unhideWhenUsed/>
    <w:rsid w:val="00C64FC7"/>
  </w:style>
  <w:style w:type="table" w:customStyle="1" w:styleId="MediumGrid1-Accent11161">
    <w:name w:val="Medium Grid 1 - Accent 1116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61">
    <w:name w:val="Light Grid - Accent 1111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61">
    <w:name w:val="Light Grid - Accent 5116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61">
    <w:name w:val="Light Grid - Accent 1211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61">
    <w:name w:val="Light List - Accent 5116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61">
    <w:name w:val="Light List - Accent 11116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61">
    <w:name w:val="Light Grid - Accent 1311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61">
    <w:name w:val="Medium Grid 1 - Accent 3116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61">
    <w:name w:val="Grid Table 4 - Accent 3116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61">
    <w:name w:val="No List2161"/>
    <w:next w:val="NoList"/>
    <w:uiPriority w:val="99"/>
    <w:semiHidden/>
    <w:unhideWhenUsed/>
    <w:rsid w:val="00C64FC7"/>
  </w:style>
  <w:style w:type="table" w:customStyle="1" w:styleId="MediumGrid1-Accent12161">
    <w:name w:val="Medium Grid 1 - Accent 1216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61">
    <w:name w:val="Light Grid - Accent 11216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61">
    <w:name w:val="Light Grid - Accent 5216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61">
    <w:name w:val="Light Grid - Accent 1221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61">
    <w:name w:val="Light List - Accent 5216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61">
    <w:name w:val="Light List - Accent 11216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61">
    <w:name w:val="Light Grid - Accent 1321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61">
    <w:name w:val="Medium Grid 1 - Accent 3216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61">
    <w:name w:val="Grid Table 4 Accent 3116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61">
    <w:name w:val="No List3161"/>
    <w:next w:val="NoList"/>
    <w:uiPriority w:val="99"/>
    <w:semiHidden/>
    <w:unhideWhenUsed/>
    <w:rsid w:val="00C64FC7"/>
  </w:style>
  <w:style w:type="table" w:customStyle="1" w:styleId="MediumGrid1-Accent13161">
    <w:name w:val="Medium Grid 1 - Accent 1316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61">
    <w:name w:val="Light Grid - Accent 11316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61">
    <w:name w:val="Light Grid - Accent 5316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61">
    <w:name w:val="Light Grid - Accent 1231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61">
    <w:name w:val="Light List - Accent 5316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61">
    <w:name w:val="Light List - Accent 11316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61">
    <w:name w:val="Light Grid - Accent 1331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61">
    <w:name w:val="Medium Grid 1 - Accent 3316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61">
    <w:name w:val="Grid Table 4 Accent 3216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61">
    <w:name w:val="Table Grid116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1">
    <w:name w:val="No List561"/>
    <w:next w:val="NoList"/>
    <w:uiPriority w:val="99"/>
    <w:semiHidden/>
    <w:unhideWhenUsed/>
    <w:rsid w:val="00C64FC7"/>
  </w:style>
  <w:style w:type="table" w:customStyle="1" w:styleId="TableGrid411">
    <w:name w:val="Table Grid411"/>
    <w:basedOn w:val="TableNormal"/>
    <w:next w:val="TableGrid"/>
    <w:uiPriority w:val="5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211">
    <w:name w:val="Medium Grid 3 - Accent 12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561">
    <w:name w:val="Medium Grid 1 - Accent 1561"/>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561">
    <w:name w:val="Light Grid - Accent 11561"/>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561">
    <w:name w:val="Light Grid - Accent 5561"/>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561">
    <w:name w:val="Light Grid - Accent 12561"/>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561">
    <w:name w:val="Light List - Accent 5561"/>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561">
    <w:name w:val="Light List - Accent 11561"/>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561">
    <w:name w:val="Light Grid - Accent 135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561">
    <w:name w:val="Medium Grid 1 - Accent 356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261">
    <w:name w:val="No List1261"/>
    <w:next w:val="NoList"/>
    <w:uiPriority w:val="99"/>
    <w:semiHidden/>
    <w:unhideWhenUsed/>
    <w:rsid w:val="00C64FC7"/>
  </w:style>
  <w:style w:type="table" w:customStyle="1" w:styleId="MediumGrid1-Accent11211">
    <w:name w:val="Medium Grid 1 - Accent 112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211">
    <w:name w:val="Light Grid - Accent 11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211">
    <w:name w:val="Light Grid - Accent 512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211">
    <w:name w:val="Light Grid - Accent 12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211">
    <w:name w:val="Light List - Accent 512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211">
    <w:name w:val="Light List - Accent 1112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211">
    <w:name w:val="Light Grid - Accent 13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211">
    <w:name w:val="Medium Grid 1 - Accent 312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211">
    <w:name w:val="Grid Table 4 - Accent 312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261">
    <w:name w:val="No List2261"/>
    <w:next w:val="NoList"/>
    <w:uiPriority w:val="99"/>
    <w:semiHidden/>
    <w:unhideWhenUsed/>
    <w:rsid w:val="00C64FC7"/>
  </w:style>
  <w:style w:type="table" w:customStyle="1" w:styleId="MediumGrid1-Accent12211">
    <w:name w:val="Medium Grid 1 - Accent 122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211">
    <w:name w:val="Light Grid - Accent 1122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211">
    <w:name w:val="Light Grid - Accent 522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211">
    <w:name w:val="Light Grid - Accent 122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211">
    <w:name w:val="Light List - Accent 522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211">
    <w:name w:val="Light List - Accent 1122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211">
    <w:name w:val="Light Grid - Accent 132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211">
    <w:name w:val="Medium Grid 1 - Accent 322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211">
    <w:name w:val="Grid Table 4 Accent 312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261">
    <w:name w:val="No List3261"/>
    <w:next w:val="NoList"/>
    <w:uiPriority w:val="99"/>
    <w:semiHidden/>
    <w:unhideWhenUsed/>
    <w:rsid w:val="00C64FC7"/>
  </w:style>
  <w:style w:type="table" w:customStyle="1" w:styleId="MediumGrid1-Accent13211">
    <w:name w:val="Medium Grid 1 - Accent 132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211">
    <w:name w:val="Light Grid - Accent 1132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211">
    <w:name w:val="Light Grid - Accent 532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211">
    <w:name w:val="Light Grid - Accent 123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211">
    <w:name w:val="Light List - Accent 532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211">
    <w:name w:val="Light List - Accent 1132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211">
    <w:name w:val="Light Grid - Accent 133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211">
    <w:name w:val="Medium Grid 1 - Accent 332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211">
    <w:name w:val="Grid Table 4 Accent 322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211">
    <w:name w:val="Table Grid12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 Grid2161"/>
    <w:basedOn w:val="TableNormal"/>
    <w:next w:val="TableGrid"/>
    <w:uiPriority w:val="3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C64FC7"/>
  </w:style>
  <w:style w:type="table" w:customStyle="1" w:styleId="MediumGrid1-Accent1661">
    <w:name w:val="Medium Grid 1 - Accent 166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61">
    <w:name w:val="Light Grid - Accent 1166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61">
    <w:name w:val="Light Grid - Accent 566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61">
    <w:name w:val="Light Grid - Accent 126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61">
    <w:name w:val="Light List - Accent 566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61">
    <w:name w:val="Light List - Accent 1166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61">
    <w:name w:val="Light Grid - Accent 1366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61">
    <w:name w:val="Medium Grid 1 - Accent 366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61">
    <w:name w:val="No List1361"/>
    <w:next w:val="NoList"/>
    <w:uiPriority w:val="99"/>
    <w:semiHidden/>
    <w:unhideWhenUsed/>
    <w:rsid w:val="00C64FC7"/>
  </w:style>
  <w:style w:type="numbering" w:customStyle="1" w:styleId="NoList2361">
    <w:name w:val="No List2361"/>
    <w:next w:val="NoList"/>
    <w:uiPriority w:val="99"/>
    <w:semiHidden/>
    <w:unhideWhenUsed/>
    <w:rsid w:val="00C64FC7"/>
  </w:style>
  <w:style w:type="numbering" w:customStyle="1" w:styleId="NoList3361">
    <w:name w:val="No List3361"/>
    <w:next w:val="NoList"/>
    <w:uiPriority w:val="99"/>
    <w:semiHidden/>
    <w:unhideWhenUsed/>
    <w:rsid w:val="00C64FC7"/>
  </w:style>
  <w:style w:type="numbering" w:customStyle="1" w:styleId="NoList711">
    <w:name w:val="No List711"/>
    <w:next w:val="NoList"/>
    <w:uiPriority w:val="99"/>
    <w:semiHidden/>
    <w:unhideWhenUsed/>
    <w:rsid w:val="00C64FC7"/>
  </w:style>
  <w:style w:type="table" w:customStyle="1" w:styleId="TableGrid511">
    <w:name w:val="Table Grid5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311">
    <w:name w:val="Medium Grid 3 - Accent 13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711">
    <w:name w:val="Medium Grid 1 - Accent 1711"/>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711">
    <w:name w:val="Light Grid - Accent 11711"/>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711">
    <w:name w:val="Light Grid - Accent 5711"/>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711">
    <w:name w:val="Light Grid - Accent 12711"/>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711">
    <w:name w:val="Light List - Accent 5711"/>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711">
    <w:name w:val="Light List - Accent 11711"/>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711">
    <w:name w:val="Light Grid - Accent 137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711">
    <w:name w:val="Medium Grid 1 - Accent 37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411">
    <w:name w:val="No List1411"/>
    <w:next w:val="NoList"/>
    <w:uiPriority w:val="99"/>
    <w:semiHidden/>
    <w:unhideWhenUsed/>
    <w:rsid w:val="00C64FC7"/>
  </w:style>
  <w:style w:type="table" w:customStyle="1" w:styleId="MediumGrid1-Accent11311">
    <w:name w:val="Medium Grid 1 - Accent 113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311">
    <w:name w:val="Light Grid - Accent 11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311">
    <w:name w:val="Light Grid - Accent 513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311">
    <w:name w:val="Light Grid - Accent 12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311">
    <w:name w:val="Light List - Accent 513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311">
    <w:name w:val="Light List - Accent 1113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311">
    <w:name w:val="Light Grid - Accent 13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311">
    <w:name w:val="Medium Grid 1 - Accent 313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311">
    <w:name w:val="Grid Table 4 - Accent 313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411">
    <w:name w:val="No List2411"/>
    <w:next w:val="NoList"/>
    <w:uiPriority w:val="99"/>
    <w:semiHidden/>
    <w:unhideWhenUsed/>
    <w:rsid w:val="00C64FC7"/>
  </w:style>
  <w:style w:type="table" w:customStyle="1" w:styleId="MediumGrid1-Accent12311">
    <w:name w:val="Medium Grid 1 - Accent 123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311">
    <w:name w:val="Light Grid - Accent 1123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311">
    <w:name w:val="Light Grid - Accent 523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311">
    <w:name w:val="Light Grid - Accent 122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311">
    <w:name w:val="Light List - Accent 523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311">
    <w:name w:val="Light List - Accent 1123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311">
    <w:name w:val="Light Grid - Accent 132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311">
    <w:name w:val="Medium Grid 1 - Accent 323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311">
    <w:name w:val="Grid Table 4 Accent 313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411">
    <w:name w:val="No List3411"/>
    <w:next w:val="NoList"/>
    <w:uiPriority w:val="99"/>
    <w:semiHidden/>
    <w:unhideWhenUsed/>
    <w:rsid w:val="00C64FC7"/>
  </w:style>
  <w:style w:type="table" w:customStyle="1" w:styleId="MediumGrid1-Accent13311">
    <w:name w:val="Medium Grid 1 - Accent 133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311">
    <w:name w:val="Light Grid - Accent 1133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311">
    <w:name w:val="Light Grid - Accent 533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311">
    <w:name w:val="Light Grid - Accent 123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311">
    <w:name w:val="Light List - Accent 533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311">
    <w:name w:val="Light List - Accent 1133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311">
    <w:name w:val="Light Grid - Accent 133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311">
    <w:name w:val="Medium Grid 1 - Accent 333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311">
    <w:name w:val="Grid Table 4 Accent 323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311">
    <w:name w:val="Table Grid13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C64FC7"/>
  </w:style>
  <w:style w:type="table" w:customStyle="1" w:styleId="MediumGrid1-Accent14111">
    <w:name w:val="Medium Grid 1 - Accent 141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111">
    <w:name w:val="Light Grid - Accent 1141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111">
    <w:name w:val="Light Grid - Accent 541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111">
    <w:name w:val="Light Grid - Accent 124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111">
    <w:name w:val="Light List - Accent 541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111">
    <w:name w:val="Light List - Accent 1141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111">
    <w:name w:val="Light Grid - Accent 134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111">
    <w:name w:val="Medium Grid 1 - Accent 341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111">
    <w:name w:val="Table Grid211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11">
    <w:name w:val="Medium Grid 3 - Accent 111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111">
    <w:name w:val="No List11111"/>
    <w:next w:val="NoList"/>
    <w:uiPriority w:val="99"/>
    <w:semiHidden/>
    <w:unhideWhenUsed/>
    <w:rsid w:val="00C64FC7"/>
  </w:style>
  <w:style w:type="table" w:customStyle="1" w:styleId="MediumGrid1-Accent111111">
    <w:name w:val="Medium Grid 1 - Accent 1111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111">
    <w:name w:val="Light Grid - Accent 1111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111">
    <w:name w:val="Light Grid - Accent 5111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111">
    <w:name w:val="Light Grid - Accent 1211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111">
    <w:name w:val="Light List - Accent 5111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111">
    <w:name w:val="Light List - Accent 11111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111">
    <w:name w:val="Light Grid - Accent 1311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111">
    <w:name w:val="Medium Grid 1 - Accent 3111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111">
    <w:name w:val="Grid Table 4 - Accent 3111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111">
    <w:name w:val="No List21111"/>
    <w:next w:val="NoList"/>
    <w:uiPriority w:val="99"/>
    <w:semiHidden/>
    <w:unhideWhenUsed/>
    <w:rsid w:val="00C64FC7"/>
  </w:style>
  <w:style w:type="table" w:customStyle="1" w:styleId="MediumGrid1-Accent121111">
    <w:name w:val="Medium Grid 1 - Accent 1211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111">
    <w:name w:val="Light Grid - Accent 11211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111">
    <w:name w:val="Light Grid - Accent 5211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111">
    <w:name w:val="Light Grid - Accent 1221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111">
    <w:name w:val="Light List - Accent 5211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111">
    <w:name w:val="Light List - Accent 11211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111">
    <w:name w:val="Light Grid - Accent 1321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111">
    <w:name w:val="Medium Grid 1 - Accent 3211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111">
    <w:name w:val="Grid Table 4 Accent 3111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111">
    <w:name w:val="No List31111"/>
    <w:next w:val="NoList"/>
    <w:uiPriority w:val="99"/>
    <w:semiHidden/>
    <w:unhideWhenUsed/>
    <w:rsid w:val="00C64FC7"/>
  </w:style>
  <w:style w:type="table" w:customStyle="1" w:styleId="MediumGrid1-Accent131111">
    <w:name w:val="Medium Grid 1 - Accent 1311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111">
    <w:name w:val="Light Grid - Accent 11311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111">
    <w:name w:val="Light Grid - Accent 5311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111">
    <w:name w:val="Light Grid - Accent 1231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111">
    <w:name w:val="Light List - Accent 5311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111">
    <w:name w:val="Light List - Accent 11311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111">
    <w:name w:val="Light Grid - Accent 1331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111">
    <w:name w:val="Medium Grid 1 - Accent 3311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111">
    <w:name w:val="Grid Table 4 Accent 3211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111">
    <w:name w:val="Table Grid111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C64FC7"/>
  </w:style>
  <w:style w:type="table" w:customStyle="1" w:styleId="MediumGrid1-Accent15111">
    <w:name w:val="Medium Grid 1 - Accent 151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111">
    <w:name w:val="Light Grid - Accent 1151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111">
    <w:name w:val="Light Grid - Accent 551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111">
    <w:name w:val="Light Grid - Accent 125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111">
    <w:name w:val="Light List - Accent 551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111">
    <w:name w:val="Light List - Accent 1151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111">
    <w:name w:val="Light Grid - Accent 135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111">
    <w:name w:val="Medium Grid 1 - Accent 351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111">
    <w:name w:val="No List12111"/>
    <w:next w:val="NoList"/>
    <w:uiPriority w:val="99"/>
    <w:semiHidden/>
    <w:unhideWhenUsed/>
    <w:rsid w:val="00C64FC7"/>
  </w:style>
  <w:style w:type="numbering" w:customStyle="1" w:styleId="NoList22111">
    <w:name w:val="No List22111"/>
    <w:next w:val="NoList"/>
    <w:uiPriority w:val="99"/>
    <w:semiHidden/>
    <w:unhideWhenUsed/>
    <w:rsid w:val="00C64FC7"/>
  </w:style>
  <w:style w:type="numbering" w:customStyle="1" w:styleId="NoList32111">
    <w:name w:val="No List32111"/>
    <w:next w:val="NoList"/>
    <w:uiPriority w:val="99"/>
    <w:semiHidden/>
    <w:unhideWhenUsed/>
    <w:rsid w:val="00C64FC7"/>
  </w:style>
  <w:style w:type="numbering" w:customStyle="1" w:styleId="NoList6111">
    <w:name w:val="No List6111"/>
    <w:next w:val="NoList"/>
    <w:uiPriority w:val="99"/>
    <w:semiHidden/>
    <w:unhideWhenUsed/>
    <w:rsid w:val="00C64FC7"/>
  </w:style>
  <w:style w:type="table" w:customStyle="1" w:styleId="MediumGrid1-Accent16111">
    <w:name w:val="Medium Grid 1 - Accent 161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111">
    <w:name w:val="Light Grid - Accent 1161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111">
    <w:name w:val="Light Grid - Accent 561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111">
    <w:name w:val="Light Grid - Accent 126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111">
    <w:name w:val="Light List - Accent 561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111">
    <w:name w:val="Light List - Accent 1161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111">
    <w:name w:val="Light Grid - Accent 1361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111">
    <w:name w:val="Medium Grid 1 - Accent 361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111">
    <w:name w:val="No List13111"/>
    <w:next w:val="NoList"/>
    <w:uiPriority w:val="99"/>
    <w:semiHidden/>
    <w:unhideWhenUsed/>
    <w:rsid w:val="00C64FC7"/>
  </w:style>
  <w:style w:type="numbering" w:customStyle="1" w:styleId="NoList23111">
    <w:name w:val="No List23111"/>
    <w:next w:val="NoList"/>
    <w:uiPriority w:val="99"/>
    <w:semiHidden/>
    <w:unhideWhenUsed/>
    <w:rsid w:val="00C64FC7"/>
  </w:style>
  <w:style w:type="numbering" w:customStyle="1" w:styleId="NoList33111">
    <w:name w:val="No List33111"/>
    <w:next w:val="NoList"/>
    <w:uiPriority w:val="99"/>
    <w:semiHidden/>
    <w:unhideWhenUsed/>
    <w:rsid w:val="00C64FC7"/>
  </w:style>
  <w:style w:type="numbering" w:customStyle="1" w:styleId="NoList811">
    <w:name w:val="No List811"/>
    <w:next w:val="NoList"/>
    <w:uiPriority w:val="99"/>
    <w:semiHidden/>
    <w:unhideWhenUsed/>
    <w:rsid w:val="00C64FC7"/>
  </w:style>
  <w:style w:type="table" w:customStyle="1" w:styleId="TableGrid611">
    <w:name w:val="Table Grid6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411">
    <w:name w:val="Medium Grid 3 - Accent 14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811">
    <w:name w:val="Medium Grid 1 - Accent 1811"/>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811">
    <w:name w:val="Light Grid - Accent 11811"/>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811">
    <w:name w:val="Light Grid - Accent 5811"/>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811">
    <w:name w:val="Light Grid - Accent 12811"/>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811">
    <w:name w:val="Light List - Accent 5811"/>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811">
    <w:name w:val="Light List - Accent 11811"/>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811">
    <w:name w:val="Light Grid - Accent 138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811">
    <w:name w:val="Medium Grid 1 - Accent 38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511">
    <w:name w:val="No List1511"/>
    <w:next w:val="NoList"/>
    <w:uiPriority w:val="99"/>
    <w:semiHidden/>
    <w:unhideWhenUsed/>
    <w:rsid w:val="00C64FC7"/>
  </w:style>
  <w:style w:type="table" w:customStyle="1" w:styleId="MediumGrid1-Accent11411">
    <w:name w:val="Medium Grid 1 - Accent 114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411">
    <w:name w:val="Light Grid - Accent 11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411">
    <w:name w:val="Light Grid - Accent 514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411">
    <w:name w:val="Light Grid - Accent 12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411">
    <w:name w:val="Light List - Accent 514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411">
    <w:name w:val="Light List - Accent 1114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411">
    <w:name w:val="Light Grid - Accent 13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411">
    <w:name w:val="Medium Grid 1 - Accent 314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411">
    <w:name w:val="Grid Table 4 - Accent 314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511">
    <w:name w:val="No List2511"/>
    <w:next w:val="NoList"/>
    <w:uiPriority w:val="99"/>
    <w:semiHidden/>
    <w:unhideWhenUsed/>
    <w:rsid w:val="00C64FC7"/>
  </w:style>
  <w:style w:type="table" w:customStyle="1" w:styleId="MediumGrid1-Accent12411">
    <w:name w:val="Medium Grid 1 - Accent 124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411">
    <w:name w:val="Light Grid - Accent 1124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411">
    <w:name w:val="Light Grid - Accent 524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411">
    <w:name w:val="Light Grid - Accent 122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411">
    <w:name w:val="Light List - Accent 524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411">
    <w:name w:val="Light List - Accent 1124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411">
    <w:name w:val="Light Grid - Accent 132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411">
    <w:name w:val="Medium Grid 1 - Accent 324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411">
    <w:name w:val="Grid Table 4 Accent 314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511">
    <w:name w:val="No List3511"/>
    <w:next w:val="NoList"/>
    <w:uiPriority w:val="99"/>
    <w:semiHidden/>
    <w:unhideWhenUsed/>
    <w:rsid w:val="00C64FC7"/>
  </w:style>
  <w:style w:type="table" w:customStyle="1" w:styleId="MediumGrid1-Accent13411">
    <w:name w:val="Medium Grid 1 - Accent 134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411">
    <w:name w:val="Light Grid - Accent 1134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411">
    <w:name w:val="Light Grid - Accent 534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411">
    <w:name w:val="Light Grid - Accent 123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411">
    <w:name w:val="Light List - Accent 534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411">
    <w:name w:val="Light List - Accent 1134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411">
    <w:name w:val="Light Grid - Accent 133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411">
    <w:name w:val="Medium Grid 1 - Accent 334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411">
    <w:name w:val="Grid Table 4 Accent 324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1">
    <w:name w:val="Table Grid14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C64FC7"/>
  </w:style>
  <w:style w:type="table" w:customStyle="1" w:styleId="MediumGrid1-Accent14211">
    <w:name w:val="Medium Grid 1 - Accent 142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211">
    <w:name w:val="Light Grid - Accent 1142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211">
    <w:name w:val="Light Grid - Accent 542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211">
    <w:name w:val="Light Grid - Accent 124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211">
    <w:name w:val="Light List - Accent 542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211">
    <w:name w:val="Light List - Accent 1142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211">
    <w:name w:val="Light Grid - Accent 134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211">
    <w:name w:val="Medium Grid 1 - Accent 342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211">
    <w:name w:val="Table Grid212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11">
    <w:name w:val="Medium Grid 3 - Accent 112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211">
    <w:name w:val="No List11211"/>
    <w:next w:val="NoList"/>
    <w:uiPriority w:val="99"/>
    <w:semiHidden/>
    <w:unhideWhenUsed/>
    <w:rsid w:val="00C64FC7"/>
  </w:style>
  <w:style w:type="table" w:customStyle="1" w:styleId="MediumGrid1-Accent111211">
    <w:name w:val="Medium Grid 1 - Accent 1112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211">
    <w:name w:val="Light Grid - Accent 111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211">
    <w:name w:val="Light Grid - Accent 5112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211">
    <w:name w:val="Light Grid - Accent 121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211">
    <w:name w:val="Light List - Accent 5112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211">
    <w:name w:val="Light List - Accent 11112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211">
    <w:name w:val="Light Grid - Accent 131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211">
    <w:name w:val="Medium Grid 1 - Accent 3112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211">
    <w:name w:val="Grid Table 4 - Accent 3112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211">
    <w:name w:val="No List21211"/>
    <w:next w:val="NoList"/>
    <w:uiPriority w:val="99"/>
    <w:semiHidden/>
    <w:unhideWhenUsed/>
    <w:rsid w:val="00C64FC7"/>
  </w:style>
  <w:style w:type="table" w:customStyle="1" w:styleId="MediumGrid1-Accent121211">
    <w:name w:val="Medium Grid 1 - Accent 1212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211">
    <w:name w:val="Light Grid - Accent 11212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211">
    <w:name w:val="Light Grid - Accent 5212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211">
    <w:name w:val="Light Grid - Accent 122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211">
    <w:name w:val="Light List - Accent 5212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211">
    <w:name w:val="Light List - Accent 11212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211">
    <w:name w:val="Light Grid - Accent 132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211">
    <w:name w:val="Medium Grid 1 - Accent 3212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211">
    <w:name w:val="Grid Table 4 Accent 3112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211">
    <w:name w:val="No List31211"/>
    <w:next w:val="NoList"/>
    <w:uiPriority w:val="99"/>
    <w:semiHidden/>
    <w:unhideWhenUsed/>
    <w:rsid w:val="00C64FC7"/>
  </w:style>
  <w:style w:type="table" w:customStyle="1" w:styleId="MediumGrid1-Accent131211">
    <w:name w:val="Medium Grid 1 - Accent 1312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211">
    <w:name w:val="Light Grid - Accent 11312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211">
    <w:name w:val="Light Grid - Accent 5312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211">
    <w:name w:val="Light Grid - Accent 123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211">
    <w:name w:val="Light List - Accent 5312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211">
    <w:name w:val="Light List - Accent 11312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211">
    <w:name w:val="Light Grid - Accent 1331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211">
    <w:name w:val="Medium Grid 1 - Accent 3312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211">
    <w:name w:val="Grid Table 4 Accent 3212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211">
    <w:name w:val="Table Grid112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C64FC7"/>
  </w:style>
  <w:style w:type="table" w:customStyle="1" w:styleId="MediumGrid1-Accent15211">
    <w:name w:val="Medium Grid 1 - Accent 152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211">
    <w:name w:val="Light Grid - Accent 1152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211">
    <w:name w:val="Light Grid - Accent 552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211">
    <w:name w:val="Light Grid - Accent 125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211">
    <w:name w:val="Light List - Accent 552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211">
    <w:name w:val="Light List - Accent 1152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211">
    <w:name w:val="Light Grid - Accent 135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211">
    <w:name w:val="Medium Grid 1 - Accent 352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211">
    <w:name w:val="No List12211"/>
    <w:next w:val="NoList"/>
    <w:uiPriority w:val="99"/>
    <w:semiHidden/>
    <w:unhideWhenUsed/>
    <w:rsid w:val="00C64FC7"/>
  </w:style>
  <w:style w:type="numbering" w:customStyle="1" w:styleId="NoList22211">
    <w:name w:val="No List22211"/>
    <w:next w:val="NoList"/>
    <w:uiPriority w:val="99"/>
    <w:semiHidden/>
    <w:unhideWhenUsed/>
    <w:rsid w:val="00C64FC7"/>
  </w:style>
  <w:style w:type="numbering" w:customStyle="1" w:styleId="NoList32211">
    <w:name w:val="No List32211"/>
    <w:next w:val="NoList"/>
    <w:uiPriority w:val="99"/>
    <w:semiHidden/>
    <w:unhideWhenUsed/>
    <w:rsid w:val="00C64FC7"/>
  </w:style>
  <w:style w:type="numbering" w:customStyle="1" w:styleId="NoList6211">
    <w:name w:val="No List6211"/>
    <w:next w:val="NoList"/>
    <w:uiPriority w:val="99"/>
    <w:semiHidden/>
    <w:unhideWhenUsed/>
    <w:rsid w:val="00C64FC7"/>
  </w:style>
  <w:style w:type="table" w:customStyle="1" w:styleId="MediumGrid1-Accent16211">
    <w:name w:val="Medium Grid 1 - Accent 162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211">
    <w:name w:val="Light Grid - Accent 1162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211">
    <w:name w:val="Light Grid - Accent 562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211">
    <w:name w:val="Light Grid - Accent 126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211">
    <w:name w:val="Light List - Accent 562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211">
    <w:name w:val="Light List - Accent 1162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211">
    <w:name w:val="Light Grid - Accent 1362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211">
    <w:name w:val="Medium Grid 1 - Accent 362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211">
    <w:name w:val="No List13211"/>
    <w:next w:val="NoList"/>
    <w:uiPriority w:val="99"/>
    <w:semiHidden/>
    <w:unhideWhenUsed/>
    <w:rsid w:val="00C64FC7"/>
  </w:style>
  <w:style w:type="numbering" w:customStyle="1" w:styleId="NoList23211">
    <w:name w:val="No List23211"/>
    <w:next w:val="NoList"/>
    <w:uiPriority w:val="99"/>
    <w:semiHidden/>
    <w:unhideWhenUsed/>
    <w:rsid w:val="00C64FC7"/>
  </w:style>
  <w:style w:type="numbering" w:customStyle="1" w:styleId="NoList33211">
    <w:name w:val="No List33211"/>
    <w:next w:val="NoList"/>
    <w:uiPriority w:val="99"/>
    <w:semiHidden/>
    <w:unhideWhenUsed/>
    <w:rsid w:val="00C64FC7"/>
  </w:style>
  <w:style w:type="numbering" w:customStyle="1" w:styleId="NoList911">
    <w:name w:val="No List911"/>
    <w:next w:val="NoList"/>
    <w:uiPriority w:val="99"/>
    <w:semiHidden/>
    <w:unhideWhenUsed/>
    <w:rsid w:val="00C64FC7"/>
  </w:style>
  <w:style w:type="table" w:customStyle="1" w:styleId="TableGrid711">
    <w:name w:val="Table Grid7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511">
    <w:name w:val="Medium Grid 3 - Accent 1511"/>
    <w:basedOn w:val="TableNormal"/>
    <w:next w:val="MediumGrid3-Accent1"/>
    <w:uiPriority w:val="69"/>
    <w:locked/>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911">
    <w:name w:val="Medium Grid 1 - Accent 1911"/>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911">
    <w:name w:val="Light Grid - Accent 11911"/>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911">
    <w:name w:val="Light Grid - Accent 5911"/>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911">
    <w:name w:val="Light Grid - Accent 12911"/>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911">
    <w:name w:val="Light List - Accent 5911"/>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911">
    <w:name w:val="Light List - Accent 11911"/>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911">
    <w:name w:val="Light Grid - Accent 139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911">
    <w:name w:val="Medium Grid 1 - Accent 39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611">
    <w:name w:val="No List1611"/>
    <w:next w:val="NoList"/>
    <w:uiPriority w:val="99"/>
    <w:semiHidden/>
    <w:unhideWhenUsed/>
    <w:rsid w:val="00C64FC7"/>
  </w:style>
  <w:style w:type="table" w:customStyle="1" w:styleId="MediumGrid1-Accent11511">
    <w:name w:val="Medium Grid 1 - Accent 115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511">
    <w:name w:val="Light Grid - Accent 11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511">
    <w:name w:val="Light Grid - Accent 515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511">
    <w:name w:val="Light Grid - Accent 12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511">
    <w:name w:val="Light List - Accent 515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511">
    <w:name w:val="Light List - Accent 1115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511">
    <w:name w:val="Light Grid - Accent 13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511">
    <w:name w:val="Medium Grid 1 - Accent 315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511">
    <w:name w:val="Grid Table 4 - Accent 315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611">
    <w:name w:val="No List2611"/>
    <w:next w:val="NoList"/>
    <w:uiPriority w:val="99"/>
    <w:semiHidden/>
    <w:unhideWhenUsed/>
    <w:rsid w:val="00C64FC7"/>
  </w:style>
  <w:style w:type="table" w:customStyle="1" w:styleId="MediumGrid1-Accent12511">
    <w:name w:val="Medium Grid 1 - Accent 125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511">
    <w:name w:val="Light Grid - Accent 1125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511">
    <w:name w:val="Light Grid - Accent 525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511">
    <w:name w:val="Light Grid - Accent 122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511">
    <w:name w:val="Light List - Accent 525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511">
    <w:name w:val="Light List - Accent 1125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511">
    <w:name w:val="Light Grid - Accent 132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511">
    <w:name w:val="Medium Grid 1 - Accent 325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511">
    <w:name w:val="Grid Table 4 Accent 315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611">
    <w:name w:val="No List3611"/>
    <w:next w:val="NoList"/>
    <w:uiPriority w:val="99"/>
    <w:semiHidden/>
    <w:unhideWhenUsed/>
    <w:rsid w:val="00C64FC7"/>
  </w:style>
  <w:style w:type="table" w:customStyle="1" w:styleId="MediumGrid1-Accent13511">
    <w:name w:val="Medium Grid 1 - Accent 135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511">
    <w:name w:val="Light Grid - Accent 1135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511">
    <w:name w:val="Light Grid - Accent 535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511">
    <w:name w:val="Light Grid - Accent 123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511">
    <w:name w:val="Light List - Accent 535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511">
    <w:name w:val="Light List - Accent 1135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511">
    <w:name w:val="Light Grid - Accent 133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511">
    <w:name w:val="Medium Grid 1 - Accent 335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511">
    <w:name w:val="Grid Table 4 Accent 325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511">
    <w:name w:val="Table Grid15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1">
    <w:name w:val="No List4311"/>
    <w:next w:val="NoList"/>
    <w:uiPriority w:val="99"/>
    <w:semiHidden/>
    <w:unhideWhenUsed/>
    <w:rsid w:val="00C64FC7"/>
  </w:style>
  <w:style w:type="table" w:customStyle="1" w:styleId="MediumGrid1-Accent14311">
    <w:name w:val="Medium Grid 1 - Accent 143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311">
    <w:name w:val="Light Grid - Accent 1143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311">
    <w:name w:val="Light Grid - Accent 543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311">
    <w:name w:val="Light Grid - Accent 124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311">
    <w:name w:val="Light List - Accent 543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311">
    <w:name w:val="Light List - Accent 1143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311">
    <w:name w:val="Light Grid - Accent 134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311">
    <w:name w:val="Medium Grid 1 - Accent 343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311">
    <w:name w:val="Table Grid213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311">
    <w:name w:val="Medium Grid 3 - Accent 113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311">
    <w:name w:val="No List11311"/>
    <w:next w:val="NoList"/>
    <w:uiPriority w:val="99"/>
    <w:semiHidden/>
    <w:unhideWhenUsed/>
    <w:rsid w:val="00C64FC7"/>
  </w:style>
  <w:style w:type="table" w:customStyle="1" w:styleId="MediumGrid1-Accent111311">
    <w:name w:val="Medium Grid 1 - Accent 1113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311">
    <w:name w:val="Light Grid - Accent 111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311">
    <w:name w:val="Light Grid - Accent 5113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311">
    <w:name w:val="Light Grid - Accent 121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311">
    <w:name w:val="Light List - Accent 5113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311">
    <w:name w:val="Light List - Accent 11113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311">
    <w:name w:val="Light Grid - Accent 131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311">
    <w:name w:val="Medium Grid 1 - Accent 3113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311">
    <w:name w:val="Grid Table 4 - Accent 3113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311">
    <w:name w:val="No List21311"/>
    <w:next w:val="NoList"/>
    <w:uiPriority w:val="99"/>
    <w:semiHidden/>
    <w:unhideWhenUsed/>
    <w:rsid w:val="00C64FC7"/>
  </w:style>
  <w:style w:type="table" w:customStyle="1" w:styleId="MediumGrid1-Accent121311">
    <w:name w:val="Medium Grid 1 - Accent 1213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311">
    <w:name w:val="Light Grid - Accent 11213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311">
    <w:name w:val="Light Grid - Accent 5213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311">
    <w:name w:val="Light Grid - Accent 122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311">
    <w:name w:val="Light List - Accent 5213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311">
    <w:name w:val="Light List - Accent 11213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311">
    <w:name w:val="Light Grid - Accent 132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311">
    <w:name w:val="Medium Grid 1 - Accent 3213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311">
    <w:name w:val="Grid Table 4 Accent 3113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311">
    <w:name w:val="No List31311"/>
    <w:next w:val="NoList"/>
    <w:uiPriority w:val="99"/>
    <w:semiHidden/>
    <w:unhideWhenUsed/>
    <w:rsid w:val="00C64FC7"/>
  </w:style>
  <w:style w:type="table" w:customStyle="1" w:styleId="MediumGrid1-Accent131311">
    <w:name w:val="Medium Grid 1 - Accent 1313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311">
    <w:name w:val="Light Grid - Accent 11313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311">
    <w:name w:val="Light Grid - Accent 5313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311">
    <w:name w:val="Light Grid - Accent 123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311">
    <w:name w:val="Light List - Accent 5313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311">
    <w:name w:val="Light List - Accent 11313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311">
    <w:name w:val="Light Grid - Accent 1331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311">
    <w:name w:val="Medium Grid 1 - Accent 3313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311">
    <w:name w:val="Grid Table 4 Accent 3213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311">
    <w:name w:val="Table Grid113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1">
    <w:name w:val="No List5311"/>
    <w:next w:val="NoList"/>
    <w:uiPriority w:val="99"/>
    <w:semiHidden/>
    <w:unhideWhenUsed/>
    <w:rsid w:val="00C64FC7"/>
  </w:style>
  <w:style w:type="table" w:customStyle="1" w:styleId="MediumGrid1-Accent15311">
    <w:name w:val="Medium Grid 1 - Accent 153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311">
    <w:name w:val="Light Grid - Accent 1153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311">
    <w:name w:val="Light Grid - Accent 553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311">
    <w:name w:val="Light Grid - Accent 125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311">
    <w:name w:val="Light List - Accent 553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311">
    <w:name w:val="Light List - Accent 1153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311">
    <w:name w:val="Light Grid - Accent 135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311">
    <w:name w:val="Medium Grid 1 - Accent 353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311">
    <w:name w:val="No List12311"/>
    <w:next w:val="NoList"/>
    <w:uiPriority w:val="99"/>
    <w:semiHidden/>
    <w:unhideWhenUsed/>
    <w:rsid w:val="00C64FC7"/>
  </w:style>
  <w:style w:type="numbering" w:customStyle="1" w:styleId="NoList22311">
    <w:name w:val="No List22311"/>
    <w:next w:val="NoList"/>
    <w:uiPriority w:val="99"/>
    <w:semiHidden/>
    <w:unhideWhenUsed/>
    <w:rsid w:val="00C64FC7"/>
  </w:style>
  <w:style w:type="numbering" w:customStyle="1" w:styleId="NoList32311">
    <w:name w:val="No List32311"/>
    <w:next w:val="NoList"/>
    <w:uiPriority w:val="99"/>
    <w:semiHidden/>
    <w:unhideWhenUsed/>
    <w:rsid w:val="00C64FC7"/>
  </w:style>
  <w:style w:type="numbering" w:customStyle="1" w:styleId="NoList6311">
    <w:name w:val="No List6311"/>
    <w:next w:val="NoList"/>
    <w:uiPriority w:val="99"/>
    <w:semiHidden/>
    <w:unhideWhenUsed/>
    <w:rsid w:val="00C64FC7"/>
  </w:style>
  <w:style w:type="table" w:customStyle="1" w:styleId="MediumGrid1-Accent16311">
    <w:name w:val="Medium Grid 1 - Accent 163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311">
    <w:name w:val="Light Grid - Accent 1163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311">
    <w:name w:val="Light Grid - Accent 563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311">
    <w:name w:val="Light Grid - Accent 126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311">
    <w:name w:val="Light List - Accent 563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311">
    <w:name w:val="Light List - Accent 1163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311">
    <w:name w:val="Light Grid - Accent 1363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311">
    <w:name w:val="Medium Grid 1 - Accent 363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311">
    <w:name w:val="No List13311"/>
    <w:next w:val="NoList"/>
    <w:uiPriority w:val="99"/>
    <w:semiHidden/>
    <w:unhideWhenUsed/>
    <w:rsid w:val="00C64FC7"/>
  </w:style>
  <w:style w:type="numbering" w:customStyle="1" w:styleId="NoList23311">
    <w:name w:val="No List23311"/>
    <w:next w:val="NoList"/>
    <w:uiPriority w:val="99"/>
    <w:semiHidden/>
    <w:unhideWhenUsed/>
    <w:rsid w:val="00C64FC7"/>
  </w:style>
  <w:style w:type="numbering" w:customStyle="1" w:styleId="NoList33311">
    <w:name w:val="No List33311"/>
    <w:next w:val="NoList"/>
    <w:uiPriority w:val="99"/>
    <w:semiHidden/>
    <w:unhideWhenUsed/>
    <w:rsid w:val="00C64FC7"/>
  </w:style>
  <w:style w:type="numbering" w:customStyle="1" w:styleId="NoList1011">
    <w:name w:val="No List1011"/>
    <w:next w:val="NoList"/>
    <w:uiPriority w:val="99"/>
    <w:semiHidden/>
    <w:unhideWhenUsed/>
    <w:rsid w:val="00C64FC7"/>
  </w:style>
  <w:style w:type="table" w:customStyle="1" w:styleId="TableGrid811">
    <w:name w:val="Table Grid8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611">
    <w:name w:val="Medium Grid 3 - Accent 16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011">
    <w:name w:val="Medium Grid 1 - Accent 11011"/>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011">
    <w:name w:val="Light Grid - Accent 111011"/>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011">
    <w:name w:val="Light Grid - Accent 51011"/>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011">
    <w:name w:val="Light Grid - Accent 121011"/>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011">
    <w:name w:val="Light List - Accent 51011"/>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011">
    <w:name w:val="Light List - Accent 111011"/>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011">
    <w:name w:val="Light Grid - Accent 1310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011">
    <w:name w:val="Medium Grid 1 - Accent 310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711">
    <w:name w:val="No List1711"/>
    <w:next w:val="NoList"/>
    <w:uiPriority w:val="99"/>
    <w:semiHidden/>
    <w:unhideWhenUsed/>
    <w:rsid w:val="00C64FC7"/>
  </w:style>
  <w:style w:type="table" w:customStyle="1" w:styleId="MediumGrid1-Accent11611">
    <w:name w:val="Medium Grid 1 - Accent 116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611">
    <w:name w:val="Light Grid - Accent 1116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611">
    <w:name w:val="Light Grid - Accent 516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611">
    <w:name w:val="Light Grid - Accent 1216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611">
    <w:name w:val="Light List - Accent 516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611">
    <w:name w:val="Light List - Accent 1116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611">
    <w:name w:val="Light Grid - Accent 1316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611">
    <w:name w:val="Medium Grid 1 - Accent 316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611">
    <w:name w:val="Grid Table 4 - Accent 316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711">
    <w:name w:val="No List2711"/>
    <w:next w:val="NoList"/>
    <w:uiPriority w:val="99"/>
    <w:semiHidden/>
    <w:unhideWhenUsed/>
    <w:rsid w:val="00C64FC7"/>
  </w:style>
  <w:style w:type="table" w:customStyle="1" w:styleId="MediumGrid1-Accent12611">
    <w:name w:val="Medium Grid 1 - Accent 126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611">
    <w:name w:val="Light Grid - Accent 1126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611">
    <w:name w:val="Light Grid - Accent 526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611">
    <w:name w:val="Light Grid - Accent 1226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611">
    <w:name w:val="Light List - Accent 526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611">
    <w:name w:val="Light List - Accent 1126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611">
    <w:name w:val="Light Grid - Accent 1326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611">
    <w:name w:val="Medium Grid 1 - Accent 326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611">
    <w:name w:val="Grid Table 4 Accent 316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711">
    <w:name w:val="No List3711"/>
    <w:next w:val="NoList"/>
    <w:uiPriority w:val="99"/>
    <w:semiHidden/>
    <w:unhideWhenUsed/>
    <w:rsid w:val="00C64FC7"/>
  </w:style>
  <w:style w:type="table" w:customStyle="1" w:styleId="MediumGrid1-Accent13611">
    <w:name w:val="Medium Grid 1 - Accent 136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611">
    <w:name w:val="Light Grid - Accent 1136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611">
    <w:name w:val="Light Grid - Accent 536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611">
    <w:name w:val="Light Grid - Accent 1236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611">
    <w:name w:val="Light List - Accent 536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611">
    <w:name w:val="Light List - Accent 1136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611">
    <w:name w:val="Light Grid - Accent 1336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611">
    <w:name w:val="Medium Grid 1 - Accent 336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611">
    <w:name w:val="Grid Table 4 Accent 326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611">
    <w:name w:val="Table Grid16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NoList"/>
    <w:uiPriority w:val="99"/>
    <w:semiHidden/>
    <w:unhideWhenUsed/>
    <w:rsid w:val="00C64FC7"/>
  </w:style>
  <w:style w:type="table" w:customStyle="1" w:styleId="MediumGrid1-Accent14411">
    <w:name w:val="Medium Grid 1 - Accent 144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411">
    <w:name w:val="Light Grid - Accent 1144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411">
    <w:name w:val="Light Grid - Accent 544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411">
    <w:name w:val="Light Grid - Accent 124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411">
    <w:name w:val="Light List - Accent 544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411">
    <w:name w:val="Light List - Accent 1144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411">
    <w:name w:val="Light Grid - Accent 134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411">
    <w:name w:val="Medium Grid 1 - Accent 344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411">
    <w:name w:val="Table Grid214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411">
    <w:name w:val="Medium Grid 3 - Accent 114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411">
    <w:name w:val="No List11411"/>
    <w:next w:val="NoList"/>
    <w:uiPriority w:val="99"/>
    <w:semiHidden/>
    <w:unhideWhenUsed/>
    <w:rsid w:val="00C64FC7"/>
  </w:style>
  <w:style w:type="table" w:customStyle="1" w:styleId="MediumGrid1-Accent111411">
    <w:name w:val="Medium Grid 1 - Accent 1114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411">
    <w:name w:val="Light Grid - Accent 111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411">
    <w:name w:val="Light Grid - Accent 5114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411">
    <w:name w:val="Light Grid - Accent 121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411">
    <w:name w:val="Light List - Accent 5114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411">
    <w:name w:val="Light List - Accent 11114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411">
    <w:name w:val="Light Grid - Accent 131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411">
    <w:name w:val="Medium Grid 1 - Accent 3114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411">
    <w:name w:val="Grid Table 4 - Accent 3114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411">
    <w:name w:val="No List21411"/>
    <w:next w:val="NoList"/>
    <w:uiPriority w:val="99"/>
    <w:semiHidden/>
    <w:unhideWhenUsed/>
    <w:rsid w:val="00C64FC7"/>
  </w:style>
  <w:style w:type="table" w:customStyle="1" w:styleId="MediumGrid1-Accent121411">
    <w:name w:val="Medium Grid 1 - Accent 1214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411">
    <w:name w:val="Light Grid - Accent 11214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411">
    <w:name w:val="Light Grid - Accent 5214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411">
    <w:name w:val="Light Grid - Accent 122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411">
    <w:name w:val="Light List - Accent 5214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411">
    <w:name w:val="Light List - Accent 11214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411">
    <w:name w:val="Light Grid - Accent 132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411">
    <w:name w:val="Medium Grid 1 - Accent 3214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411">
    <w:name w:val="Grid Table 4 Accent 3114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411">
    <w:name w:val="No List31411"/>
    <w:next w:val="NoList"/>
    <w:uiPriority w:val="99"/>
    <w:semiHidden/>
    <w:unhideWhenUsed/>
    <w:rsid w:val="00C64FC7"/>
  </w:style>
  <w:style w:type="table" w:customStyle="1" w:styleId="MediumGrid1-Accent131411">
    <w:name w:val="Medium Grid 1 - Accent 1314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411">
    <w:name w:val="Light Grid - Accent 11314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411">
    <w:name w:val="Light Grid - Accent 5314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411">
    <w:name w:val="Light Grid - Accent 123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411">
    <w:name w:val="Light List - Accent 5314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411">
    <w:name w:val="Light List - Accent 11314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411">
    <w:name w:val="Light Grid - Accent 1331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411">
    <w:name w:val="Medium Grid 1 - Accent 3314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411">
    <w:name w:val="Grid Table 4 Accent 3214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411">
    <w:name w:val="Table Grid114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1">
    <w:name w:val="No List5411"/>
    <w:next w:val="NoList"/>
    <w:uiPriority w:val="99"/>
    <w:semiHidden/>
    <w:unhideWhenUsed/>
    <w:rsid w:val="00C64FC7"/>
  </w:style>
  <w:style w:type="table" w:customStyle="1" w:styleId="MediumGrid1-Accent15411">
    <w:name w:val="Medium Grid 1 - Accent 154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411">
    <w:name w:val="Light Grid - Accent 1154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411">
    <w:name w:val="Light Grid - Accent 554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411">
    <w:name w:val="Light Grid - Accent 125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411">
    <w:name w:val="Light List - Accent 554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411">
    <w:name w:val="Light List - Accent 1154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411">
    <w:name w:val="Light Grid - Accent 135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411">
    <w:name w:val="Medium Grid 1 - Accent 354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411">
    <w:name w:val="No List12411"/>
    <w:next w:val="NoList"/>
    <w:uiPriority w:val="99"/>
    <w:semiHidden/>
    <w:unhideWhenUsed/>
    <w:rsid w:val="00C64FC7"/>
  </w:style>
  <w:style w:type="numbering" w:customStyle="1" w:styleId="NoList22411">
    <w:name w:val="No List22411"/>
    <w:next w:val="NoList"/>
    <w:uiPriority w:val="99"/>
    <w:semiHidden/>
    <w:unhideWhenUsed/>
    <w:rsid w:val="00C64FC7"/>
  </w:style>
  <w:style w:type="numbering" w:customStyle="1" w:styleId="NoList32411">
    <w:name w:val="No List32411"/>
    <w:next w:val="NoList"/>
    <w:uiPriority w:val="99"/>
    <w:semiHidden/>
    <w:unhideWhenUsed/>
    <w:rsid w:val="00C64FC7"/>
  </w:style>
  <w:style w:type="numbering" w:customStyle="1" w:styleId="NoList6411">
    <w:name w:val="No List6411"/>
    <w:next w:val="NoList"/>
    <w:uiPriority w:val="99"/>
    <w:semiHidden/>
    <w:unhideWhenUsed/>
    <w:rsid w:val="00C64FC7"/>
  </w:style>
  <w:style w:type="table" w:customStyle="1" w:styleId="MediumGrid1-Accent16411">
    <w:name w:val="Medium Grid 1 - Accent 164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411">
    <w:name w:val="Light Grid - Accent 1164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411">
    <w:name w:val="Light Grid - Accent 564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411">
    <w:name w:val="Light Grid - Accent 126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411">
    <w:name w:val="Light List - Accent 564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411">
    <w:name w:val="Light List - Accent 1164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411">
    <w:name w:val="Light Grid - Accent 1364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411">
    <w:name w:val="Medium Grid 1 - Accent 364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411">
    <w:name w:val="No List13411"/>
    <w:next w:val="NoList"/>
    <w:uiPriority w:val="99"/>
    <w:semiHidden/>
    <w:unhideWhenUsed/>
    <w:rsid w:val="00C64FC7"/>
  </w:style>
  <w:style w:type="numbering" w:customStyle="1" w:styleId="NoList23411">
    <w:name w:val="No List23411"/>
    <w:next w:val="NoList"/>
    <w:uiPriority w:val="99"/>
    <w:semiHidden/>
    <w:unhideWhenUsed/>
    <w:rsid w:val="00C64FC7"/>
  </w:style>
  <w:style w:type="numbering" w:customStyle="1" w:styleId="NoList33411">
    <w:name w:val="No List33411"/>
    <w:next w:val="NoList"/>
    <w:uiPriority w:val="99"/>
    <w:semiHidden/>
    <w:unhideWhenUsed/>
    <w:rsid w:val="00C64FC7"/>
  </w:style>
  <w:style w:type="numbering" w:customStyle="1" w:styleId="NoList1811">
    <w:name w:val="No List1811"/>
    <w:next w:val="NoList"/>
    <w:uiPriority w:val="99"/>
    <w:semiHidden/>
    <w:unhideWhenUsed/>
    <w:rsid w:val="00C64FC7"/>
  </w:style>
  <w:style w:type="table" w:customStyle="1" w:styleId="TableGrid911">
    <w:name w:val="Table Grid9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711">
    <w:name w:val="Medium Grid 3 - Accent 17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711">
    <w:name w:val="Medium Grid 1 - Accent 11711"/>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711">
    <w:name w:val="Light Grid - Accent 111711"/>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711">
    <w:name w:val="Light Grid - Accent 51711"/>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711">
    <w:name w:val="Light Grid - Accent 121711"/>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711">
    <w:name w:val="Light List - Accent 51711"/>
    <w:basedOn w:val="TableNormal"/>
    <w:next w:val="LightList-Accent5"/>
    <w:uiPriority w:val="61"/>
    <w:locked/>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711">
    <w:name w:val="Light List - Accent 111711"/>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711">
    <w:name w:val="Light Grid - Accent 1317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711">
    <w:name w:val="Medium Grid 1 - Accent 317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911">
    <w:name w:val="No List1911"/>
    <w:next w:val="NoList"/>
    <w:uiPriority w:val="99"/>
    <w:semiHidden/>
    <w:unhideWhenUsed/>
    <w:rsid w:val="00C64FC7"/>
  </w:style>
  <w:style w:type="table" w:customStyle="1" w:styleId="MediumGrid1-Accent11811">
    <w:name w:val="Medium Grid 1 - Accent 118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811">
    <w:name w:val="Light Grid - Accent 1118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811">
    <w:name w:val="Light Grid - Accent 518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811">
    <w:name w:val="Light Grid - Accent 1218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811">
    <w:name w:val="Light List - Accent 518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811">
    <w:name w:val="Light List - Accent 1118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811">
    <w:name w:val="Light Grid - Accent 1318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811">
    <w:name w:val="Medium Grid 1 - Accent 318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711">
    <w:name w:val="Grid Table 4 - Accent 317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811">
    <w:name w:val="No List2811"/>
    <w:next w:val="NoList"/>
    <w:uiPriority w:val="99"/>
    <w:semiHidden/>
    <w:unhideWhenUsed/>
    <w:rsid w:val="00C64FC7"/>
  </w:style>
  <w:style w:type="table" w:customStyle="1" w:styleId="MediumGrid1-Accent12711">
    <w:name w:val="Medium Grid 1 - Accent 127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711">
    <w:name w:val="Light Grid - Accent 1127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711">
    <w:name w:val="Light Grid - Accent 527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711">
    <w:name w:val="Light Grid - Accent 1227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711">
    <w:name w:val="Light List - Accent 527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711">
    <w:name w:val="Light List - Accent 1127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711">
    <w:name w:val="Light Grid - Accent 1327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711">
    <w:name w:val="Medium Grid 1 - Accent 327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711">
    <w:name w:val="Grid Table 4 Accent 317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811">
    <w:name w:val="No List3811"/>
    <w:next w:val="NoList"/>
    <w:uiPriority w:val="99"/>
    <w:semiHidden/>
    <w:unhideWhenUsed/>
    <w:rsid w:val="00C64FC7"/>
  </w:style>
  <w:style w:type="table" w:customStyle="1" w:styleId="MediumGrid1-Accent13711">
    <w:name w:val="Medium Grid 1 - Accent 137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711">
    <w:name w:val="Light Grid - Accent 1137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711">
    <w:name w:val="Light Grid - Accent 537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711">
    <w:name w:val="Light Grid - Accent 1237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711">
    <w:name w:val="Light List - Accent 537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711">
    <w:name w:val="Light List - Accent 1137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711">
    <w:name w:val="Light Grid - Accent 1337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711">
    <w:name w:val="Medium Grid 1 - Accent 337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711">
    <w:name w:val="Grid Table 4 Accent 327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711">
    <w:name w:val="Table Grid17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1">
    <w:name w:val="No List4511"/>
    <w:next w:val="NoList"/>
    <w:uiPriority w:val="99"/>
    <w:semiHidden/>
    <w:unhideWhenUsed/>
    <w:rsid w:val="00C64FC7"/>
  </w:style>
  <w:style w:type="table" w:customStyle="1" w:styleId="MediumGrid1-Accent14511">
    <w:name w:val="Medium Grid 1 - Accent 145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511">
    <w:name w:val="Light Grid - Accent 1145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511">
    <w:name w:val="Light Grid - Accent 545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511">
    <w:name w:val="Light Grid - Accent 124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511">
    <w:name w:val="Light List - Accent 545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511">
    <w:name w:val="Light List - Accent 1145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511">
    <w:name w:val="Light Grid - Accent 134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511">
    <w:name w:val="Medium Grid 1 - Accent 345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511">
    <w:name w:val="Table Grid21511"/>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511">
    <w:name w:val="Medium Grid 3 - Accent 11511"/>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511">
    <w:name w:val="No List11511"/>
    <w:next w:val="NoList"/>
    <w:uiPriority w:val="99"/>
    <w:semiHidden/>
    <w:unhideWhenUsed/>
    <w:rsid w:val="00C64FC7"/>
  </w:style>
  <w:style w:type="table" w:customStyle="1" w:styleId="MediumGrid1-Accent111511">
    <w:name w:val="Medium Grid 1 - Accent 1115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511">
    <w:name w:val="Light Grid - Accent 111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511">
    <w:name w:val="Light Grid - Accent 511511"/>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511">
    <w:name w:val="Light Grid - Accent 121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511">
    <w:name w:val="Light List - Accent 511511"/>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511">
    <w:name w:val="Light List - Accent 11115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511">
    <w:name w:val="Light Grid - Accent 131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511">
    <w:name w:val="Medium Grid 1 - Accent 3115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511">
    <w:name w:val="Grid Table 4 - Accent 3115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511">
    <w:name w:val="No List21511"/>
    <w:next w:val="NoList"/>
    <w:uiPriority w:val="99"/>
    <w:semiHidden/>
    <w:unhideWhenUsed/>
    <w:rsid w:val="00C64FC7"/>
  </w:style>
  <w:style w:type="table" w:customStyle="1" w:styleId="MediumGrid1-Accent121511">
    <w:name w:val="Medium Grid 1 - Accent 1215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511">
    <w:name w:val="Light Grid - Accent 11215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511">
    <w:name w:val="Light Grid - Accent 5215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511">
    <w:name w:val="Light Grid - Accent 122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511">
    <w:name w:val="Light List - Accent 5215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511">
    <w:name w:val="Light List - Accent 11215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511">
    <w:name w:val="Light Grid - Accent 132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511">
    <w:name w:val="Medium Grid 1 - Accent 3215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511">
    <w:name w:val="Grid Table 4 Accent 3115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511">
    <w:name w:val="No List31511"/>
    <w:next w:val="NoList"/>
    <w:uiPriority w:val="99"/>
    <w:semiHidden/>
    <w:unhideWhenUsed/>
    <w:rsid w:val="00C64FC7"/>
  </w:style>
  <w:style w:type="table" w:customStyle="1" w:styleId="MediumGrid1-Accent131511">
    <w:name w:val="Medium Grid 1 - Accent 1315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511">
    <w:name w:val="Light Grid - Accent 11315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511">
    <w:name w:val="Light Grid - Accent 5315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511">
    <w:name w:val="Light Grid - Accent 123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511">
    <w:name w:val="Light List - Accent 5315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511">
    <w:name w:val="Light List - Accent 11315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511">
    <w:name w:val="Light Grid - Accent 1331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511">
    <w:name w:val="Medium Grid 1 - Accent 3315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511">
    <w:name w:val="Grid Table 4 Accent 321511"/>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511">
    <w:name w:val="Table Grid11511"/>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1">
    <w:name w:val="No List5511"/>
    <w:next w:val="NoList"/>
    <w:uiPriority w:val="99"/>
    <w:semiHidden/>
    <w:unhideWhenUsed/>
    <w:rsid w:val="00C64FC7"/>
  </w:style>
  <w:style w:type="table" w:customStyle="1" w:styleId="MediumGrid1-Accent15511">
    <w:name w:val="Medium Grid 1 - Accent 155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511">
    <w:name w:val="Light Grid - Accent 1155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511">
    <w:name w:val="Light Grid - Accent 555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511">
    <w:name w:val="Light Grid - Accent 125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511">
    <w:name w:val="Light List - Accent 555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511">
    <w:name w:val="Light List - Accent 1155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511">
    <w:name w:val="Light Grid - Accent 135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511">
    <w:name w:val="Medium Grid 1 - Accent 355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511">
    <w:name w:val="No List12511"/>
    <w:next w:val="NoList"/>
    <w:uiPriority w:val="99"/>
    <w:semiHidden/>
    <w:unhideWhenUsed/>
    <w:rsid w:val="00C64FC7"/>
  </w:style>
  <w:style w:type="numbering" w:customStyle="1" w:styleId="NoList22511">
    <w:name w:val="No List22511"/>
    <w:next w:val="NoList"/>
    <w:uiPriority w:val="99"/>
    <w:semiHidden/>
    <w:unhideWhenUsed/>
    <w:rsid w:val="00C64FC7"/>
  </w:style>
  <w:style w:type="numbering" w:customStyle="1" w:styleId="NoList32511">
    <w:name w:val="No List32511"/>
    <w:next w:val="NoList"/>
    <w:uiPriority w:val="99"/>
    <w:semiHidden/>
    <w:unhideWhenUsed/>
    <w:rsid w:val="00C64FC7"/>
  </w:style>
  <w:style w:type="numbering" w:customStyle="1" w:styleId="NoList6511">
    <w:name w:val="No List6511"/>
    <w:next w:val="NoList"/>
    <w:uiPriority w:val="99"/>
    <w:semiHidden/>
    <w:unhideWhenUsed/>
    <w:rsid w:val="00C64FC7"/>
  </w:style>
  <w:style w:type="table" w:customStyle="1" w:styleId="MediumGrid1-Accent16511">
    <w:name w:val="Medium Grid 1 - Accent 16511"/>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511">
    <w:name w:val="Light Grid - Accent 116511"/>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511">
    <w:name w:val="Light Grid - Accent 56511"/>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511">
    <w:name w:val="Light Grid - Accent 126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511">
    <w:name w:val="Light List - Accent 56511"/>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511">
    <w:name w:val="Light List - Accent 116511"/>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511">
    <w:name w:val="Light Grid - Accent 136511"/>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511">
    <w:name w:val="Medium Grid 1 - Accent 36511"/>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511">
    <w:name w:val="No List13511"/>
    <w:next w:val="NoList"/>
    <w:uiPriority w:val="99"/>
    <w:semiHidden/>
    <w:unhideWhenUsed/>
    <w:rsid w:val="00C64FC7"/>
  </w:style>
  <w:style w:type="numbering" w:customStyle="1" w:styleId="NoList23511">
    <w:name w:val="No List23511"/>
    <w:next w:val="NoList"/>
    <w:uiPriority w:val="99"/>
    <w:semiHidden/>
    <w:unhideWhenUsed/>
    <w:rsid w:val="00C64FC7"/>
  </w:style>
  <w:style w:type="numbering" w:customStyle="1" w:styleId="NoList33511">
    <w:name w:val="No List33511"/>
    <w:next w:val="NoList"/>
    <w:uiPriority w:val="99"/>
    <w:semiHidden/>
    <w:unhideWhenUsed/>
    <w:rsid w:val="00C64FC7"/>
  </w:style>
  <w:style w:type="numbering" w:customStyle="1" w:styleId="NoList40">
    <w:name w:val="No List40"/>
    <w:next w:val="NoList"/>
    <w:uiPriority w:val="99"/>
    <w:semiHidden/>
    <w:unhideWhenUsed/>
    <w:rsid w:val="00C64FC7"/>
  </w:style>
  <w:style w:type="table" w:customStyle="1" w:styleId="TableGrid20">
    <w:name w:val="Table Grid20"/>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0">
    <w:name w:val="Medium Grid 3 - Accent 110"/>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30">
    <w:name w:val="Medium Grid 1 - Accent 130"/>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30">
    <w:name w:val="Light Grid - Accent 1130"/>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30">
    <w:name w:val="Light Grid - Accent 530"/>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30">
    <w:name w:val="Light Grid - Accent 1230"/>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30">
    <w:name w:val="Light List - Accent 530"/>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30">
    <w:name w:val="Light List - Accent 1130"/>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30">
    <w:name w:val="Light Grid - Accent 1330"/>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30">
    <w:name w:val="Medium Grid 1 - Accent 330"/>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9">
    <w:name w:val="No List119"/>
    <w:next w:val="NoList"/>
    <w:uiPriority w:val="99"/>
    <w:semiHidden/>
    <w:unhideWhenUsed/>
    <w:rsid w:val="00C64FC7"/>
  </w:style>
  <w:style w:type="table" w:customStyle="1" w:styleId="MediumGrid1-Accent1119">
    <w:name w:val="Medium Grid 1 - Accent 1119"/>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9">
    <w:name w:val="Light Grid - Accent 11119"/>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9">
    <w:name w:val="Light Grid - Accent 5119"/>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9">
    <w:name w:val="Light Grid - Accent 12119"/>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9">
    <w:name w:val="Light List - Accent 5119"/>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9">
    <w:name w:val="Light List - Accent 11119"/>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9">
    <w:name w:val="Light Grid - Accent 13119"/>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9">
    <w:name w:val="Medium Grid 1 - Accent 3119"/>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0">
    <w:name w:val="Grid Table 4 - Accent 3110"/>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8">
    <w:name w:val="No List218"/>
    <w:next w:val="NoList"/>
    <w:uiPriority w:val="99"/>
    <w:semiHidden/>
    <w:unhideWhenUsed/>
    <w:rsid w:val="00C64FC7"/>
  </w:style>
  <w:style w:type="table" w:customStyle="1" w:styleId="MediumGrid1-Accent1210">
    <w:name w:val="Medium Grid 1 - Accent 1210"/>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0">
    <w:name w:val="Light Grid - Accent 11210"/>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0">
    <w:name w:val="Light Grid - Accent 5210"/>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0">
    <w:name w:val="Light Grid - Accent 12210"/>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0">
    <w:name w:val="Light List - Accent 5210"/>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0">
    <w:name w:val="Light List - Accent 11210"/>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0">
    <w:name w:val="Light Grid - Accent 13210"/>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0">
    <w:name w:val="Medium Grid 1 - Accent 3210"/>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0">
    <w:name w:val="Grid Table 4 Accent 3110"/>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8">
    <w:name w:val="No List318"/>
    <w:next w:val="NoList"/>
    <w:uiPriority w:val="99"/>
    <w:semiHidden/>
    <w:unhideWhenUsed/>
    <w:rsid w:val="00C64FC7"/>
  </w:style>
  <w:style w:type="table" w:customStyle="1" w:styleId="MediumGrid1-Accent1310">
    <w:name w:val="Medium Grid 1 - Accent 1310"/>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0">
    <w:name w:val="Light Grid - Accent 11310"/>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0">
    <w:name w:val="Light Grid - Accent 5310"/>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0">
    <w:name w:val="Light Grid - Accent 12310"/>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0">
    <w:name w:val="Light List - Accent 5310"/>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0">
    <w:name w:val="Light List - Accent 11310"/>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0">
    <w:name w:val="Light Grid - Accent 13310"/>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0">
    <w:name w:val="Medium Grid 1 - Accent 3310"/>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0">
    <w:name w:val="Grid Table 4 Accent 3210"/>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8">
    <w:name w:val="Table Grid118"/>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C64FC7"/>
  </w:style>
  <w:style w:type="table" w:customStyle="1" w:styleId="MediumGrid1-Accent148">
    <w:name w:val="Medium Grid 1 - Accent 148"/>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8">
    <w:name w:val="Light Grid - Accent 1148"/>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8">
    <w:name w:val="Light Grid - Accent 548"/>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8">
    <w:name w:val="Light Grid - Accent 124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8">
    <w:name w:val="Light List - Accent 548"/>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8">
    <w:name w:val="Light List - Accent 1148"/>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8">
    <w:name w:val="Light Grid - Accent 134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8">
    <w:name w:val="Medium Grid 1 - Accent 348"/>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33">
    <w:name w:val="Table Grid3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8">
    <w:name w:val="Medium Grid 3 - Accent 118"/>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10">
    <w:name w:val="No List1110"/>
    <w:next w:val="NoList"/>
    <w:uiPriority w:val="99"/>
    <w:semiHidden/>
    <w:unhideWhenUsed/>
    <w:rsid w:val="00C64FC7"/>
  </w:style>
  <w:style w:type="table" w:customStyle="1" w:styleId="MediumGrid1-Accent11110">
    <w:name w:val="Medium Grid 1 - Accent 11110"/>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10">
    <w:name w:val="Light Grid - Accent 111110"/>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10">
    <w:name w:val="Light Grid - Accent 51110"/>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10">
    <w:name w:val="Light Grid - Accent 121110"/>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10">
    <w:name w:val="Light List - Accent 51110"/>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10">
    <w:name w:val="Light List - Accent 111110"/>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10">
    <w:name w:val="Light Grid - Accent 131110"/>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10">
    <w:name w:val="Medium Grid 1 - Accent 31110"/>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8">
    <w:name w:val="Grid Table 4 - Accent 3118"/>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9">
    <w:name w:val="No List219"/>
    <w:next w:val="NoList"/>
    <w:uiPriority w:val="99"/>
    <w:semiHidden/>
    <w:unhideWhenUsed/>
    <w:rsid w:val="00C64FC7"/>
  </w:style>
  <w:style w:type="table" w:customStyle="1" w:styleId="MediumGrid1-Accent1218">
    <w:name w:val="Medium Grid 1 - Accent 1218"/>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8">
    <w:name w:val="Light Grid - Accent 11218"/>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8">
    <w:name w:val="Light Grid - Accent 5218"/>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8">
    <w:name w:val="Light Grid - Accent 1221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8">
    <w:name w:val="Light List - Accent 5218"/>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8">
    <w:name w:val="Light List - Accent 11218"/>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8">
    <w:name w:val="Light Grid - Accent 1321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8">
    <w:name w:val="Medium Grid 1 - Accent 3218"/>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8">
    <w:name w:val="Grid Table 4 Accent 3118"/>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9">
    <w:name w:val="No List319"/>
    <w:next w:val="NoList"/>
    <w:uiPriority w:val="99"/>
    <w:semiHidden/>
    <w:unhideWhenUsed/>
    <w:rsid w:val="00C64FC7"/>
  </w:style>
  <w:style w:type="table" w:customStyle="1" w:styleId="MediumGrid1-Accent1318">
    <w:name w:val="Medium Grid 1 - Accent 1318"/>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8">
    <w:name w:val="Light Grid - Accent 11318"/>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8">
    <w:name w:val="Light Grid - Accent 5318"/>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8">
    <w:name w:val="Light Grid - Accent 1231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8">
    <w:name w:val="Light List - Accent 5318"/>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8">
    <w:name w:val="Light List - Accent 11318"/>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8">
    <w:name w:val="Light Grid - Accent 1331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8">
    <w:name w:val="Medium Grid 1 - Accent 3318"/>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8">
    <w:name w:val="Grid Table 4 Accent 3218"/>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9">
    <w:name w:val="Table Grid119"/>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C64FC7"/>
  </w:style>
  <w:style w:type="table" w:customStyle="1" w:styleId="TableGrid43">
    <w:name w:val="Table Grid43"/>
    <w:basedOn w:val="TableNormal"/>
    <w:next w:val="TableGrid"/>
    <w:uiPriority w:val="5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23">
    <w:name w:val="Medium Grid 3 - Accent 12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58">
    <w:name w:val="Medium Grid 1 - Accent 158"/>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58">
    <w:name w:val="Light Grid - Accent 1158"/>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58">
    <w:name w:val="Light Grid - Accent 558"/>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58">
    <w:name w:val="Light Grid - Accent 1258"/>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58">
    <w:name w:val="Light List - Accent 558"/>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58">
    <w:name w:val="Light List - Accent 1158"/>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58">
    <w:name w:val="Light Grid - Accent 135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58">
    <w:name w:val="Medium Grid 1 - Accent 358"/>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28">
    <w:name w:val="No List128"/>
    <w:next w:val="NoList"/>
    <w:uiPriority w:val="99"/>
    <w:semiHidden/>
    <w:unhideWhenUsed/>
    <w:rsid w:val="00C64FC7"/>
  </w:style>
  <w:style w:type="table" w:customStyle="1" w:styleId="MediumGrid1-Accent1123">
    <w:name w:val="Medium Grid 1 - Accent 112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23">
    <w:name w:val="Light Grid - Accent 11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23">
    <w:name w:val="Light Grid - Accent 512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23">
    <w:name w:val="Light Grid - Accent 12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23">
    <w:name w:val="Light List - Accent 512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23">
    <w:name w:val="Light List - Accent 1112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23">
    <w:name w:val="Light Grid - Accent 13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23">
    <w:name w:val="Medium Grid 1 - Accent 312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23">
    <w:name w:val="Grid Table 4 - Accent 312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28">
    <w:name w:val="No List228"/>
    <w:next w:val="NoList"/>
    <w:uiPriority w:val="99"/>
    <w:semiHidden/>
    <w:unhideWhenUsed/>
    <w:rsid w:val="00C64FC7"/>
  </w:style>
  <w:style w:type="table" w:customStyle="1" w:styleId="MediumGrid1-Accent1223">
    <w:name w:val="Medium Grid 1 - Accent 122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23">
    <w:name w:val="Light Grid - Accent 1122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23">
    <w:name w:val="Light Grid - Accent 522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23">
    <w:name w:val="Light Grid - Accent 122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23">
    <w:name w:val="Light List - Accent 522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23">
    <w:name w:val="Light List - Accent 1122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23">
    <w:name w:val="Light Grid - Accent 132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23">
    <w:name w:val="Medium Grid 1 - Accent 322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23">
    <w:name w:val="Grid Table 4 Accent 312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28">
    <w:name w:val="No List328"/>
    <w:next w:val="NoList"/>
    <w:uiPriority w:val="99"/>
    <w:semiHidden/>
    <w:unhideWhenUsed/>
    <w:rsid w:val="00C64FC7"/>
  </w:style>
  <w:style w:type="table" w:customStyle="1" w:styleId="MediumGrid1-Accent1323">
    <w:name w:val="Medium Grid 1 - Accent 132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23">
    <w:name w:val="Light Grid - Accent 1132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23">
    <w:name w:val="Light Grid - Accent 532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23">
    <w:name w:val="Light Grid - Accent 123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23">
    <w:name w:val="Light List - Accent 532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23">
    <w:name w:val="Light List - Accent 1132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23">
    <w:name w:val="Light Grid - Accent 133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23">
    <w:name w:val="Medium Grid 1 - Accent 332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23">
    <w:name w:val="Grid Table 4 Accent 322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23">
    <w:name w:val="Table Grid12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TableNormal"/>
    <w:next w:val="TableGrid"/>
    <w:uiPriority w:val="3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C64FC7"/>
  </w:style>
  <w:style w:type="table" w:customStyle="1" w:styleId="MediumGrid1-Accent168">
    <w:name w:val="Medium Grid 1 - Accent 168"/>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8">
    <w:name w:val="Light Grid - Accent 1168"/>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8">
    <w:name w:val="Light Grid - Accent 568"/>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8">
    <w:name w:val="Light Grid - Accent 126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8">
    <w:name w:val="Light List - Accent 568"/>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8">
    <w:name w:val="Light List - Accent 1168"/>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8">
    <w:name w:val="Light Grid - Accent 1368"/>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8">
    <w:name w:val="Medium Grid 1 - Accent 368"/>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8">
    <w:name w:val="No List138"/>
    <w:next w:val="NoList"/>
    <w:uiPriority w:val="99"/>
    <w:semiHidden/>
    <w:unhideWhenUsed/>
    <w:rsid w:val="00C64FC7"/>
  </w:style>
  <w:style w:type="numbering" w:customStyle="1" w:styleId="NoList238">
    <w:name w:val="No List238"/>
    <w:next w:val="NoList"/>
    <w:uiPriority w:val="99"/>
    <w:semiHidden/>
    <w:unhideWhenUsed/>
    <w:rsid w:val="00C64FC7"/>
  </w:style>
  <w:style w:type="numbering" w:customStyle="1" w:styleId="NoList338">
    <w:name w:val="No List338"/>
    <w:next w:val="NoList"/>
    <w:uiPriority w:val="99"/>
    <w:semiHidden/>
    <w:unhideWhenUsed/>
    <w:rsid w:val="00C64FC7"/>
  </w:style>
  <w:style w:type="numbering" w:customStyle="1" w:styleId="NoList73">
    <w:name w:val="No List73"/>
    <w:next w:val="NoList"/>
    <w:uiPriority w:val="99"/>
    <w:semiHidden/>
    <w:unhideWhenUsed/>
    <w:rsid w:val="00C64FC7"/>
  </w:style>
  <w:style w:type="table" w:customStyle="1" w:styleId="TableGrid53">
    <w:name w:val="Table Grid5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33">
    <w:name w:val="Medium Grid 3 - Accent 13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73">
    <w:name w:val="Medium Grid 1 - Accent 173"/>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73">
    <w:name w:val="Light Grid - Accent 1173"/>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73">
    <w:name w:val="Light Grid - Accent 573"/>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73">
    <w:name w:val="Light Grid - Accent 1273"/>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73">
    <w:name w:val="Light List - Accent 573"/>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73">
    <w:name w:val="Light List - Accent 1173"/>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73">
    <w:name w:val="Light Grid - Accent 137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73">
    <w:name w:val="Medium Grid 1 - Accent 37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43">
    <w:name w:val="No List143"/>
    <w:next w:val="NoList"/>
    <w:uiPriority w:val="99"/>
    <w:semiHidden/>
    <w:unhideWhenUsed/>
    <w:rsid w:val="00C64FC7"/>
  </w:style>
  <w:style w:type="table" w:customStyle="1" w:styleId="MediumGrid1-Accent1133">
    <w:name w:val="Medium Grid 1 - Accent 113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33">
    <w:name w:val="Light Grid - Accent 11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33">
    <w:name w:val="Light Grid - Accent 513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33">
    <w:name w:val="Light Grid - Accent 12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33">
    <w:name w:val="Light List - Accent 513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33">
    <w:name w:val="Light List - Accent 1113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33">
    <w:name w:val="Light Grid - Accent 13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33">
    <w:name w:val="Medium Grid 1 - Accent 313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33">
    <w:name w:val="Grid Table 4 - Accent 313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43">
    <w:name w:val="No List243"/>
    <w:next w:val="NoList"/>
    <w:uiPriority w:val="99"/>
    <w:semiHidden/>
    <w:unhideWhenUsed/>
    <w:rsid w:val="00C64FC7"/>
  </w:style>
  <w:style w:type="table" w:customStyle="1" w:styleId="MediumGrid1-Accent1233">
    <w:name w:val="Medium Grid 1 - Accent 123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33">
    <w:name w:val="Light Grid - Accent 1123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33">
    <w:name w:val="Light Grid - Accent 523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33">
    <w:name w:val="Light Grid - Accent 122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33">
    <w:name w:val="Light List - Accent 523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33">
    <w:name w:val="Light List - Accent 1123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33">
    <w:name w:val="Light Grid - Accent 132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33">
    <w:name w:val="Medium Grid 1 - Accent 323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33">
    <w:name w:val="Grid Table 4 Accent 313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43">
    <w:name w:val="No List343"/>
    <w:next w:val="NoList"/>
    <w:uiPriority w:val="99"/>
    <w:semiHidden/>
    <w:unhideWhenUsed/>
    <w:rsid w:val="00C64FC7"/>
  </w:style>
  <w:style w:type="table" w:customStyle="1" w:styleId="MediumGrid1-Accent1333">
    <w:name w:val="Medium Grid 1 - Accent 133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33">
    <w:name w:val="Light Grid - Accent 1133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33">
    <w:name w:val="Light Grid - Accent 533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33">
    <w:name w:val="Light Grid - Accent 123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33">
    <w:name w:val="Light List - Accent 533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33">
    <w:name w:val="Light List - Accent 1133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33">
    <w:name w:val="Light Grid - Accent 133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33">
    <w:name w:val="Medium Grid 1 - Accent 333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33">
    <w:name w:val="Grid Table 4 Accent 323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33">
    <w:name w:val="Table Grid13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C64FC7"/>
  </w:style>
  <w:style w:type="table" w:customStyle="1" w:styleId="MediumGrid1-Accent1413">
    <w:name w:val="Medium Grid 1 - Accent 141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13">
    <w:name w:val="Light Grid - Accent 1141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13">
    <w:name w:val="Light Grid - Accent 541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13">
    <w:name w:val="Light Grid - Accent 124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13">
    <w:name w:val="Light List - Accent 541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13">
    <w:name w:val="Light List - Accent 1141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13">
    <w:name w:val="Light Grid - Accent 134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13">
    <w:name w:val="Medium Grid 1 - Accent 341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13">
    <w:name w:val="Table Grid211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3">
    <w:name w:val="Medium Grid 3 - Accent 111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13">
    <w:name w:val="No List1113"/>
    <w:next w:val="NoList"/>
    <w:uiPriority w:val="99"/>
    <w:semiHidden/>
    <w:unhideWhenUsed/>
    <w:rsid w:val="00C64FC7"/>
  </w:style>
  <w:style w:type="table" w:customStyle="1" w:styleId="MediumGrid1-Accent11113">
    <w:name w:val="Medium Grid 1 - Accent 1111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13">
    <w:name w:val="Light Grid - Accent 1111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13">
    <w:name w:val="Light Grid - Accent 5111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13">
    <w:name w:val="Light Grid - Accent 1211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13">
    <w:name w:val="Light List - Accent 5111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13">
    <w:name w:val="Light List - Accent 11111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13">
    <w:name w:val="Light Grid - Accent 1311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13">
    <w:name w:val="Medium Grid 1 - Accent 3111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13">
    <w:name w:val="Grid Table 4 - Accent 3111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13">
    <w:name w:val="No List2113"/>
    <w:next w:val="NoList"/>
    <w:uiPriority w:val="99"/>
    <w:semiHidden/>
    <w:unhideWhenUsed/>
    <w:rsid w:val="00C64FC7"/>
  </w:style>
  <w:style w:type="table" w:customStyle="1" w:styleId="MediumGrid1-Accent12113">
    <w:name w:val="Medium Grid 1 - Accent 1211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13">
    <w:name w:val="Light Grid - Accent 11211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13">
    <w:name w:val="Light Grid - Accent 5211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13">
    <w:name w:val="Light Grid - Accent 1221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13">
    <w:name w:val="Light List - Accent 5211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13">
    <w:name w:val="Light List - Accent 11211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13">
    <w:name w:val="Light Grid - Accent 1321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13">
    <w:name w:val="Medium Grid 1 - Accent 3211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13">
    <w:name w:val="Grid Table 4 Accent 3111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13">
    <w:name w:val="No List3113"/>
    <w:next w:val="NoList"/>
    <w:uiPriority w:val="99"/>
    <w:semiHidden/>
    <w:unhideWhenUsed/>
    <w:rsid w:val="00C64FC7"/>
  </w:style>
  <w:style w:type="table" w:customStyle="1" w:styleId="MediumGrid1-Accent13113">
    <w:name w:val="Medium Grid 1 - Accent 1311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13">
    <w:name w:val="Light Grid - Accent 11311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13">
    <w:name w:val="Light Grid - Accent 5311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13">
    <w:name w:val="Light Grid - Accent 1231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13">
    <w:name w:val="Light List - Accent 5311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13">
    <w:name w:val="Light List - Accent 11311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13">
    <w:name w:val="Light Grid - Accent 1331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13">
    <w:name w:val="Medium Grid 1 - Accent 3311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13">
    <w:name w:val="Grid Table 4 Accent 3211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13">
    <w:name w:val="Table Grid111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C64FC7"/>
  </w:style>
  <w:style w:type="table" w:customStyle="1" w:styleId="MediumGrid1-Accent1513">
    <w:name w:val="Medium Grid 1 - Accent 151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13">
    <w:name w:val="Light Grid - Accent 1151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13">
    <w:name w:val="Light Grid - Accent 551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13">
    <w:name w:val="Light Grid - Accent 125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13">
    <w:name w:val="Light List - Accent 551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13">
    <w:name w:val="Light List - Accent 1151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13">
    <w:name w:val="Light Grid - Accent 135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13">
    <w:name w:val="Medium Grid 1 - Accent 351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13">
    <w:name w:val="No List1213"/>
    <w:next w:val="NoList"/>
    <w:uiPriority w:val="99"/>
    <w:semiHidden/>
    <w:unhideWhenUsed/>
    <w:rsid w:val="00C64FC7"/>
  </w:style>
  <w:style w:type="numbering" w:customStyle="1" w:styleId="NoList2213">
    <w:name w:val="No List2213"/>
    <w:next w:val="NoList"/>
    <w:uiPriority w:val="99"/>
    <w:semiHidden/>
    <w:unhideWhenUsed/>
    <w:rsid w:val="00C64FC7"/>
  </w:style>
  <w:style w:type="numbering" w:customStyle="1" w:styleId="NoList3213">
    <w:name w:val="No List3213"/>
    <w:next w:val="NoList"/>
    <w:uiPriority w:val="99"/>
    <w:semiHidden/>
    <w:unhideWhenUsed/>
    <w:rsid w:val="00C64FC7"/>
  </w:style>
  <w:style w:type="numbering" w:customStyle="1" w:styleId="NoList613">
    <w:name w:val="No List613"/>
    <w:next w:val="NoList"/>
    <w:uiPriority w:val="99"/>
    <w:semiHidden/>
    <w:unhideWhenUsed/>
    <w:rsid w:val="00C64FC7"/>
  </w:style>
  <w:style w:type="table" w:customStyle="1" w:styleId="MediumGrid1-Accent1613">
    <w:name w:val="Medium Grid 1 - Accent 161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13">
    <w:name w:val="Light Grid - Accent 1161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13">
    <w:name w:val="Light Grid - Accent 561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13">
    <w:name w:val="Light Grid - Accent 126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13">
    <w:name w:val="Light List - Accent 561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13">
    <w:name w:val="Light List - Accent 1161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13">
    <w:name w:val="Light Grid - Accent 1361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13">
    <w:name w:val="Medium Grid 1 - Accent 361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13">
    <w:name w:val="No List1313"/>
    <w:next w:val="NoList"/>
    <w:uiPriority w:val="99"/>
    <w:semiHidden/>
    <w:unhideWhenUsed/>
    <w:rsid w:val="00C64FC7"/>
  </w:style>
  <w:style w:type="numbering" w:customStyle="1" w:styleId="NoList2313">
    <w:name w:val="No List2313"/>
    <w:next w:val="NoList"/>
    <w:uiPriority w:val="99"/>
    <w:semiHidden/>
    <w:unhideWhenUsed/>
    <w:rsid w:val="00C64FC7"/>
  </w:style>
  <w:style w:type="numbering" w:customStyle="1" w:styleId="NoList3313">
    <w:name w:val="No List3313"/>
    <w:next w:val="NoList"/>
    <w:uiPriority w:val="99"/>
    <w:semiHidden/>
    <w:unhideWhenUsed/>
    <w:rsid w:val="00C64FC7"/>
  </w:style>
  <w:style w:type="numbering" w:customStyle="1" w:styleId="NoList83">
    <w:name w:val="No List83"/>
    <w:next w:val="NoList"/>
    <w:uiPriority w:val="99"/>
    <w:semiHidden/>
    <w:unhideWhenUsed/>
    <w:rsid w:val="00C64FC7"/>
  </w:style>
  <w:style w:type="table" w:customStyle="1" w:styleId="TableGrid63">
    <w:name w:val="Table Grid6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43">
    <w:name w:val="Medium Grid 3 - Accent 14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83">
    <w:name w:val="Medium Grid 1 - Accent 183"/>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83">
    <w:name w:val="Light Grid - Accent 1183"/>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83">
    <w:name w:val="Light Grid - Accent 583"/>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83">
    <w:name w:val="Light Grid - Accent 1283"/>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83">
    <w:name w:val="Light List - Accent 583"/>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83">
    <w:name w:val="Light List - Accent 1183"/>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83">
    <w:name w:val="Light Grid - Accent 138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83">
    <w:name w:val="Medium Grid 1 - Accent 38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53">
    <w:name w:val="No List153"/>
    <w:next w:val="NoList"/>
    <w:uiPriority w:val="99"/>
    <w:semiHidden/>
    <w:unhideWhenUsed/>
    <w:rsid w:val="00C64FC7"/>
  </w:style>
  <w:style w:type="table" w:customStyle="1" w:styleId="MediumGrid1-Accent1143">
    <w:name w:val="Medium Grid 1 - Accent 114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43">
    <w:name w:val="Light Grid - Accent 11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43">
    <w:name w:val="Light Grid - Accent 514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43">
    <w:name w:val="Light Grid - Accent 12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43">
    <w:name w:val="Light List - Accent 514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43">
    <w:name w:val="Light List - Accent 1114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43">
    <w:name w:val="Light Grid - Accent 13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43">
    <w:name w:val="Medium Grid 1 - Accent 314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43">
    <w:name w:val="Grid Table 4 - Accent 314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53">
    <w:name w:val="No List253"/>
    <w:next w:val="NoList"/>
    <w:uiPriority w:val="99"/>
    <w:semiHidden/>
    <w:unhideWhenUsed/>
    <w:rsid w:val="00C64FC7"/>
  </w:style>
  <w:style w:type="table" w:customStyle="1" w:styleId="MediumGrid1-Accent1243">
    <w:name w:val="Medium Grid 1 - Accent 124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43">
    <w:name w:val="Light Grid - Accent 1124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43">
    <w:name w:val="Light Grid - Accent 524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43">
    <w:name w:val="Light Grid - Accent 122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43">
    <w:name w:val="Light List - Accent 524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43">
    <w:name w:val="Light List - Accent 1124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43">
    <w:name w:val="Light Grid - Accent 132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43">
    <w:name w:val="Medium Grid 1 - Accent 324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43">
    <w:name w:val="Grid Table 4 Accent 314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53">
    <w:name w:val="No List353"/>
    <w:next w:val="NoList"/>
    <w:uiPriority w:val="99"/>
    <w:semiHidden/>
    <w:unhideWhenUsed/>
    <w:rsid w:val="00C64FC7"/>
  </w:style>
  <w:style w:type="table" w:customStyle="1" w:styleId="MediumGrid1-Accent1343">
    <w:name w:val="Medium Grid 1 - Accent 134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43">
    <w:name w:val="Light Grid - Accent 1134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43">
    <w:name w:val="Light Grid - Accent 534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43">
    <w:name w:val="Light Grid - Accent 123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43">
    <w:name w:val="Light List - Accent 534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43">
    <w:name w:val="Light List - Accent 1134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43">
    <w:name w:val="Light Grid - Accent 133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43">
    <w:name w:val="Medium Grid 1 - Accent 334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43">
    <w:name w:val="Grid Table 4 Accent 324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3">
    <w:name w:val="Table Grid14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C64FC7"/>
  </w:style>
  <w:style w:type="table" w:customStyle="1" w:styleId="MediumGrid1-Accent1423">
    <w:name w:val="Medium Grid 1 - Accent 142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23">
    <w:name w:val="Light Grid - Accent 1142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23">
    <w:name w:val="Light Grid - Accent 542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23">
    <w:name w:val="Light Grid - Accent 124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23">
    <w:name w:val="Light List - Accent 542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23">
    <w:name w:val="Light List - Accent 1142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23">
    <w:name w:val="Light Grid - Accent 134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23">
    <w:name w:val="Medium Grid 1 - Accent 342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23">
    <w:name w:val="Table Grid212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3">
    <w:name w:val="Medium Grid 3 - Accent 112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23">
    <w:name w:val="No List1123"/>
    <w:next w:val="NoList"/>
    <w:uiPriority w:val="99"/>
    <w:semiHidden/>
    <w:unhideWhenUsed/>
    <w:rsid w:val="00C64FC7"/>
  </w:style>
  <w:style w:type="table" w:customStyle="1" w:styleId="MediumGrid1-Accent11123">
    <w:name w:val="Medium Grid 1 - Accent 1112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23">
    <w:name w:val="Light Grid - Accent 111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23">
    <w:name w:val="Light Grid - Accent 5112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23">
    <w:name w:val="Light Grid - Accent 121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23">
    <w:name w:val="Light List - Accent 5112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23">
    <w:name w:val="Light List - Accent 11112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23">
    <w:name w:val="Light Grid - Accent 131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23">
    <w:name w:val="Medium Grid 1 - Accent 3112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23">
    <w:name w:val="Grid Table 4 - Accent 3112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23">
    <w:name w:val="No List2123"/>
    <w:next w:val="NoList"/>
    <w:uiPriority w:val="99"/>
    <w:semiHidden/>
    <w:unhideWhenUsed/>
    <w:rsid w:val="00C64FC7"/>
  </w:style>
  <w:style w:type="table" w:customStyle="1" w:styleId="MediumGrid1-Accent12123">
    <w:name w:val="Medium Grid 1 - Accent 1212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23">
    <w:name w:val="Light Grid - Accent 11212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23">
    <w:name w:val="Light Grid - Accent 5212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23">
    <w:name w:val="Light Grid - Accent 122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23">
    <w:name w:val="Light List - Accent 5212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23">
    <w:name w:val="Light List - Accent 11212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23">
    <w:name w:val="Light Grid - Accent 132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23">
    <w:name w:val="Medium Grid 1 - Accent 3212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23">
    <w:name w:val="Grid Table 4 Accent 3112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23">
    <w:name w:val="No List3123"/>
    <w:next w:val="NoList"/>
    <w:uiPriority w:val="99"/>
    <w:semiHidden/>
    <w:unhideWhenUsed/>
    <w:rsid w:val="00C64FC7"/>
  </w:style>
  <w:style w:type="table" w:customStyle="1" w:styleId="MediumGrid1-Accent13123">
    <w:name w:val="Medium Grid 1 - Accent 1312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23">
    <w:name w:val="Light Grid - Accent 11312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23">
    <w:name w:val="Light Grid - Accent 5312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23">
    <w:name w:val="Light Grid - Accent 123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23">
    <w:name w:val="Light List - Accent 5312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23">
    <w:name w:val="Light List - Accent 11312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23">
    <w:name w:val="Light Grid - Accent 1331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23">
    <w:name w:val="Medium Grid 1 - Accent 3312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23">
    <w:name w:val="Grid Table 4 Accent 3212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23">
    <w:name w:val="Table Grid112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C64FC7"/>
  </w:style>
  <w:style w:type="table" w:customStyle="1" w:styleId="MediumGrid1-Accent1523">
    <w:name w:val="Medium Grid 1 - Accent 152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23">
    <w:name w:val="Light Grid - Accent 1152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23">
    <w:name w:val="Light Grid - Accent 552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23">
    <w:name w:val="Light Grid - Accent 125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23">
    <w:name w:val="Light List - Accent 552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23">
    <w:name w:val="Light List - Accent 1152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23">
    <w:name w:val="Light Grid - Accent 135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23">
    <w:name w:val="Medium Grid 1 - Accent 352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23">
    <w:name w:val="No List1223"/>
    <w:next w:val="NoList"/>
    <w:uiPriority w:val="99"/>
    <w:semiHidden/>
    <w:unhideWhenUsed/>
    <w:rsid w:val="00C64FC7"/>
  </w:style>
  <w:style w:type="numbering" w:customStyle="1" w:styleId="NoList2223">
    <w:name w:val="No List2223"/>
    <w:next w:val="NoList"/>
    <w:uiPriority w:val="99"/>
    <w:semiHidden/>
    <w:unhideWhenUsed/>
    <w:rsid w:val="00C64FC7"/>
  </w:style>
  <w:style w:type="numbering" w:customStyle="1" w:styleId="NoList3223">
    <w:name w:val="No List3223"/>
    <w:next w:val="NoList"/>
    <w:uiPriority w:val="99"/>
    <w:semiHidden/>
    <w:unhideWhenUsed/>
    <w:rsid w:val="00C64FC7"/>
  </w:style>
  <w:style w:type="numbering" w:customStyle="1" w:styleId="NoList623">
    <w:name w:val="No List623"/>
    <w:next w:val="NoList"/>
    <w:uiPriority w:val="99"/>
    <w:semiHidden/>
    <w:unhideWhenUsed/>
    <w:rsid w:val="00C64FC7"/>
  </w:style>
  <w:style w:type="table" w:customStyle="1" w:styleId="MediumGrid1-Accent1623">
    <w:name w:val="Medium Grid 1 - Accent 162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23">
    <w:name w:val="Light Grid - Accent 1162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23">
    <w:name w:val="Light Grid - Accent 562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23">
    <w:name w:val="Light Grid - Accent 126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23">
    <w:name w:val="Light List - Accent 562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23">
    <w:name w:val="Light List - Accent 1162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23">
    <w:name w:val="Light Grid - Accent 1362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23">
    <w:name w:val="Medium Grid 1 - Accent 362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23">
    <w:name w:val="No List1323"/>
    <w:next w:val="NoList"/>
    <w:uiPriority w:val="99"/>
    <w:semiHidden/>
    <w:unhideWhenUsed/>
    <w:rsid w:val="00C64FC7"/>
  </w:style>
  <w:style w:type="numbering" w:customStyle="1" w:styleId="NoList2323">
    <w:name w:val="No List2323"/>
    <w:next w:val="NoList"/>
    <w:uiPriority w:val="99"/>
    <w:semiHidden/>
    <w:unhideWhenUsed/>
    <w:rsid w:val="00C64FC7"/>
  </w:style>
  <w:style w:type="numbering" w:customStyle="1" w:styleId="NoList3323">
    <w:name w:val="No List3323"/>
    <w:next w:val="NoList"/>
    <w:uiPriority w:val="99"/>
    <w:semiHidden/>
    <w:unhideWhenUsed/>
    <w:rsid w:val="00C64FC7"/>
  </w:style>
  <w:style w:type="numbering" w:customStyle="1" w:styleId="NoList93">
    <w:name w:val="No List93"/>
    <w:next w:val="NoList"/>
    <w:uiPriority w:val="99"/>
    <w:semiHidden/>
    <w:unhideWhenUsed/>
    <w:rsid w:val="00C64FC7"/>
  </w:style>
  <w:style w:type="table" w:customStyle="1" w:styleId="TableGrid73">
    <w:name w:val="Table Grid7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53">
    <w:name w:val="Medium Grid 3 - Accent 15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93">
    <w:name w:val="Medium Grid 1 - Accent 193"/>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93">
    <w:name w:val="Light Grid - Accent 1193"/>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93">
    <w:name w:val="Light Grid - Accent 593"/>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93">
    <w:name w:val="Light Grid - Accent 1293"/>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93">
    <w:name w:val="Light List - Accent 593"/>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93">
    <w:name w:val="Light List - Accent 1193"/>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93">
    <w:name w:val="Light Grid - Accent 139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93">
    <w:name w:val="Medium Grid 1 - Accent 39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63">
    <w:name w:val="No List163"/>
    <w:next w:val="NoList"/>
    <w:uiPriority w:val="99"/>
    <w:semiHidden/>
    <w:unhideWhenUsed/>
    <w:rsid w:val="00C64FC7"/>
  </w:style>
  <w:style w:type="table" w:customStyle="1" w:styleId="MediumGrid1-Accent1153">
    <w:name w:val="Medium Grid 1 - Accent 115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53">
    <w:name w:val="Light Grid - Accent 11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53">
    <w:name w:val="Light Grid - Accent 515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53">
    <w:name w:val="Light Grid - Accent 12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53">
    <w:name w:val="Light List - Accent 515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53">
    <w:name w:val="Light List - Accent 1115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53">
    <w:name w:val="Light Grid - Accent 13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53">
    <w:name w:val="Medium Grid 1 - Accent 315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53">
    <w:name w:val="Grid Table 4 - Accent 315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63">
    <w:name w:val="No List263"/>
    <w:next w:val="NoList"/>
    <w:uiPriority w:val="99"/>
    <w:semiHidden/>
    <w:unhideWhenUsed/>
    <w:rsid w:val="00C64FC7"/>
  </w:style>
  <w:style w:type="table" w:customStyle="1" w:styleId="MediumGrid1-Accent1253">
    <w:name w:val="Medium Grid 1 - Accent 125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53">
    <w:name w:val="Light Grid - Accent 1125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53">
    <w:name w:val="Light Grid - Accent 525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53">
    <w:name w:val="Light Grid - Accent 122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53">
    <w:name w:val="Light List - Accent 525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53">
    <w:name w:val="Light List - Accent 1125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53">
    <w:name w:val="Light Grid - Accent 132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53">
    <w:name w:val="Medium Grid 1 - Accent 325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53">
    <w:name w:val="Grid Table 4 Accent 315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63">
    <w:name w:val="No List363"/>
    <w:next w:val="NoList"/>
    <w:uiPriority w:val="99"/>
    <w:semiHidden/>
    <w:unhideWhenUsed/>
    <w:rsid w:val="00C64FC7"/>
  </w:style>
  <w:style w:type="table" w:customStyle="1" w:styleId="MediumGrid1-Accent1353">
    <w:name w:val="Medium Grid 1 - Accent 135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53">
    <w:name w:val="Light Grid - Accent 1135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53">
    <w:name w:val="Light Grid - Accent 535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53">
    <w:name w:val="Light Grid - Accent 123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53">
    <w:name w:val="Light List - Accent 535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53">
    <w:name w:val="Light List - Accent 1135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53">
    <w:name w:val="Light Grid - Accent 133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53">
    <w:name w:val="Medium Grid 1 - Accent 335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53">
    <w:name w:val="Grid Table 4 Accent 325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53">
    <w:name w:val="Table Grid15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C64FC7"/>
  </w:style>
  <w:style w:type="table" w:customStyle="1" w:styleId="MediumGrid1-Accent1433">
    <w:name w:val="Medium Grid 1 - Accent 143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33">
    <w:name w:val="Light Grid - Accent 1143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33">
    <w:name w:val="Light Grid - Accent 543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33">
    <w:name w:val="Light Grid - Accent 124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33">
    <w:name w:val="Light List - Accent 543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33">
    <w:name w:val="Light List - Accent 1143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33">
    <w:name w:val="Light Grid - Accent 134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33">
    <w:name w:val="Medium Grid 1 - Accent 343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33">
    <w:name w:val="Table Grid213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33">
    <w:name w:val="Medium Grid 3 - Accent 113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33">
    <w:name w:val="No List1133"/>
    <w:next w:val="NoList"/>
    <w:uiPriority w:val="99"/>
    <w:semiHidden/>
    <w:unhideWhenUsed/>
    <w:rsid w:val="00C64FC7"/>
  </w:style>
  <w:style w:type="table" w:customStyle="1" w:styleId="MediumGrid1-Accent11133">
    <w:name w:val="Medium Grid 1 - Accent 1113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33">
    <w:name w:val="Light Grid - Accent 111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33">
    <w:name w:val="Light Grid - Accent 5113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33">
    <w:name w:val="Light Grid - Accent 121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33">
    <w:name w:val="Light List - Accent 5113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33">
    <w:name w:val="Light List - Accent 11113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33">
    <w:name w:val="Light Grid - Accent 131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33">
    <w:name w:val="Medium Grid 1 - Accent 3113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33">
    <w:name w:val="Grid Table 4 - Accent 3113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33">
    <w:name w:val="No List2133"/>
    <w:next w:val="NoList"/>
    <w:uiPriority w:val="99"/>
    <w:semiHidden/>
    <w:unhideWhenUsed/>
    <w:rsid w:val="00C64FC7"/>
  </w:style>
  <w:style w:type="table" w:customStyle="1" w:styleId="MediumGrid1-Accent12133">
    <w:name w:val="Medium Grid 1 - Accent 1213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33">
    <w:name w:val="Light Grid - Accent 11213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33">
    <w:name w:val="Light Grid - Accent 5213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33">
    <w:name w:val="Light Grid - Accent 122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33">
    <w:name w:val="Light List - Accent 5213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33">
    <w:name w:val="Light List - Accent 11213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33">
    <w:name w:val="Light Grid - Accent 132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33">
    <w:name w:val="Medium Grid 1 - Accent 3213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33">
    <w:name w:val="Grid Table 4 Accent 3113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33">
    <w:name w:val="No List3133"/>
    <w:next w:val="NoList"/>
    <w:uiPriority w:val="99"/>
    <w:semiHidden/>
    <w:unhideWhenUsed/>
    <w:rsid w:val="00C64FC7"/>
  </w:style>
  <w:style w:type="table" w:customStyle="1" w:styleId="MediumGrid1-Accent13133">
    <w:name w:val="Medium Grid 1 - Accent 1313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33">
    <w:name w:val="Light Grid - Accent 11313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33">
    <w:name w:val="Light Grid - Accent 5313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33">
    <w:name w:val="Light Grid - Accent 123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33">
    <w:name w:val="Light List - Accent 5313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33">
    <w:name w:val="Light List - Accent 11313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33">
    <w:name w:val="Light Grid - Accent 1331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33">
    <w:name w:val="Medium Grid 1 - Accent 3313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33">
    <w:name w:val="Grid Table 4 Accent 3213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33">
    <w:name w:val="Table Grid113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C64FC7"/>
  </w:style>
  <w:style w:type="table" w:customStyle="1" w:styleId="MediumGrid1-Accent1533">
    <w:name w:val="Medium Grid 1 - Accent 153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33">
    <w:name w:val="Light Grid - Accent 1153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33">
    <w:name w:val="Light Grid - Accent 553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33">
    <w:name w:val="Light Grid - Accent 125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33">
    <w:name w:val="Light List - Accent 553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33">
    <w:name w:val="Light List - Accent 1153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33">
    <w:name w:val="Light Grid - Accent 135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33">
    <w:name w:val="Medium Grid 1 - Accent 353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33">
    <w:name w:val="No List1233"/>
    <w:next w:val="NoList"/>
    <w:uiPriority w:val="99"/>
    <w:semiHidden/>
    <w:unhideWhenUsed/>
    <w:rsid w:val="00C64FC7"/>
  </w:style>
  <w:style w:type="numbering" w:customStyle="1" w:styleId="NoList2233">
    <w:name w:val="No List2233"/>
    <w:next w:val="NoList"/>
    <w:uiPriority w:val="99"/>
    <w:semiHidden/>
    <w:unhideWhenUsed/>
    <w:rsid w:val="00C64FC7"/>
  </w:style>
  <w:style w:type="numbering" w:customStyle="1" w:styleId="NoList3233">
    <w:name w:val="No List3233"/>
    <w:next w:val="NoList"/>
    <w:uiPriority w:val="99"/>
    <w:semiHidden/>
    <w:unhideWhenUsed/>
    <w:rsid w:val="00C64FC7"/>
  </w:style>
  <w:style w:type="numbering" w:customStyle="1" w:styleId="NoList633">
    <w:name w:val="No List633"/>
    <w:next w:val="NoList"/>
    <w:uiPriority w:val="99"/>
    <w:semiHidden/>
    <w:unhideWhenUsed/>
    <w:rsid w:val="00C64FC7"/>
  </w:style>
  <w:style w:type="table" w:customStyle="1" w:styleId="MediumGrid1-Accent1633">
    <w:name w:val="Medium Grid 1 - Accent 163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33">
    <w:name w:val="Light Grid - Accent 1163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33">
    <w:name w:val="Light Grid - Accent 563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33">
    <w:name w:val="Light Grid - Accent 126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33">
    <w:name w:val="Light List - Accent 563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33">
    <w:name w:val="Light List - Accent 1163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33">
    <w:name w:val="Light Grid - Accent 1363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33">
    <w:name w:val="Medium Grid 1 - Accent 363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33">
    <w:name w:val="No List1333"/>
    <w:next w:val="NoList"/>
    <w:uiPriority w:val="99"/>
    <w:semiHidden/>
    <w:unhideWhenUsed/>
    <w:rsid w:val="00C64FC7"/>
  </w:style>
  <w:style w:type="numbering" w:customStyle="1" w:styleId="NoList2333">
    <w:name w:val="No List2333"/>
    <w:next w:val="NoList"/>
    <w:uiPriority w:val="99"/>
    <w:semiHidden/>
    <w:unhideWhenUsed/>
    <w:rsid w:val="00C64FC7"/>
  </w:style>
  <w:style w:type="numbering" w:customStyle="1" w:styleId="NoList3333">
    <w:name w:val="No List3333"/>
    <w:next w:val="NoList"/>
    <w:uiPriority w:val="99"/>
    <w:semiHidden/>
    <w:unhideWhenUsed/>
    <w:rsid w:val="00C64FC7"/>
  </w:style>
  <w:style w:type="numbering" w:customStyle="1" w:styleId="NoList103">
    <w:name w:val="No List103"/>
    <w:next w:val="NoList"/>
    <w:uiPriority w:val="99"/>
    <w:semiHidden/>
    <w:unhideWhenUsed/>
    <w:rsid w:val="00C64FC7"/>
  </w:style>
  <w:style w:type="table" w:customStyle="1" w:styleId="TableGrid83">
    <w:name w:val="Table Grid8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63">
    <w:name w:val="Medium Grid 3 - Accent 16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03">
    <w:name w:val="Medium Grid 1 - Accent 1103"/>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03">
    <w:name w:val="Light Grid - Accent 11103"/>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03">
    <w:name w:val="Light Grid - Accent 5103"/>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03">
    <w:name w:val="Light Grid - Accent 12103"/>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03">
    <w:name w:val="Light List - Accent 5103"/>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03">
    <w:name w:val="Light List - Accent 11103"/>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03">
    <w:name w:val="Light Grid - Accent 1310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03">
    <w:name w:val="Medium Grid 1 - Accent 310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73">
    <w:name w:val="No List173"/>
    <w:next w:val="NoList"/>
    <w:uiPriority w:val="99"/>
    <w:semiHidden/>
    <w:unhideWhenUsed/>
    <w:rsid w:val="00C64FC7"/>
  </w:style>
  <w:style w:type="table" w:customStyle="1" w:styleId="MediumGrid1-Accent1163">
    <w:name w:val="Medium Grid 1 - Accent 116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63">
    <w:name w:val="Light Grid - Accent 1116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63">
    <w:name w:val="Light Grid - Accent 516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63">
    <w:name w:val="Light Grid - Accent 1216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63">
    <w:name w:val="Light List - Accent 516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63">
    <w:name w:val="Light List - Accent 1116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63">
    <w:name w:val="Light Grid - Accent 1316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63">
    <w:name w:val="Medium Grid 1 - Accent 316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63">
    <w:name w:val="Grid Table 4 - Accent 316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73">
    <w:name w:val="No List273"/>
    <w:next w:val="NoList"/>
    <w:uiPriority w:val="99"/>
    <w:semiHidden/>
    <w:unhideWhenUsed/>
    <w:rsid w:val="00C64FC7"/>
  </w:style>
  <w:style w:type="table" w:customStyle="1" w:styleId="MediumGrid1-Accent1263">
    <w:name w:val="Medium Grid 1 - Accent 126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63">
    <w:name w:val="Light Grid - Accent 1126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63">
    <w:name w:val="Light Grid - Accent 526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63">
    <w:name w:val="Light Grid - Accent 1226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63">
    <w:name w:val="Light List - Accent 526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63">
    <w:name w:val="Light List - Accent 1126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63">
    <w:name w:val="Light Grid - Accent 1326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63">
    <w:name w:val="Medium Grid 1 - Accent 326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63">
    <w:name w:val="Grid Table 4 Accent 316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73">
    <w:name w:val="No List373"/>
    <w:next w:val="NoList"/>
    <w:uiPriority w:val="99"/>
    <w:semiHidden/>
    <w:unhideWhenUsed/>
    <w:rsid w:val="00C64FC7"/>
  </w:style>
  <w:style w:type="table" w:customStyle="1" w:styleId="MediumGrid1-Accent1363">
    <w:name w:val="Medium Grid 1 - Accent 136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63">
    <w:name w:val="Light Grid - Accent 1136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63">
    <w:name w:val="Light Grid - Accent 536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63">
    <w:name w:val="Light Grid - Accent 1236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63">
    <w:name w:val="Light List - Accent 536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63">
    <w:name w:val="Light List - Accent 1136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63">
    <w:name w:val="Light Grid - Accent 1336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63">
    <w:name w:val="Medium Grid 1 - Accent 336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63">
    <w:name w:val="Grid Table 4 Accent 326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63">
    <w:name w:val="Table Grid16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C64FC7"/>
  </w:style>
  <w:style w:type="table" w:customStyle="1" w:styleId="MediumGrid1-Accent1443">
    <w:name w:val="Medium Grid 1 - Accent 144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43">
    <w:name w:val="Light Grid - Accent 1144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43">
    <w:name w:val="Light Grid - Accent 544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43">
    <w:name w:val="Light Grid - Accent 124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43">
    <w:name w:val="Light List - Accent 544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43">
    <w:name w:val="Light List - Accent 1144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43">
    <w:name w:val="Light Grid - Accent 134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43">
    <w:name w:val="Medium Grid 1 - Accent 344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43">
    <w:name w:val="Table Grid214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43">
    <w:name w:val="Medium Grid 3 - Accent 114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43">
    <w:name w:val="No List1143"/>
    <w:next w:val="NoList"/>
    <w:uiPriority w:val="99"/>
    <w:semiHidden/>
    <w:unhideWhenUsed/>
    <w:rsid w:val="00C64FC7"/>
  </w:style>
  <w:style w:type="table" w:customStyle="1" w:styleId="MediumGrid1-Accent11143">
    <w:name w:val="Medium Grid 1 - Accent 1114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43">
    <w:name w:val="Light Grid - Accent 111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43">
    <w:name w:val="Light Grid - Accent 5114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43">
    <w:name w:val="Light Grid - Accent 121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43">
    <w:name w:val="Light List - Accent 5114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43">
    <w:name w:val="Light List - Accent 11114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43">
    <w:name w:val="Light Grid - Accent 131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43">
    <w:name w:val="Medium Grid 1 - Accent 3114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43">
    <w:name w:val="Grid Table 4 - Accent 3114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43">
    <w:name w:val="No List2143"/>
    <w:next w:val="NoList"/>
    <w:uiPriority w:val="99"/>
    <w:semiHidden/>
    <w:unhideWhenUsed/>
    <w:rsid w:val="00C64FC7"/>
  </w:style>
  <w:style w:type="table" w:customStyle="1" w:styleId="MediumGrid1-Accent12143">
    <w:name w:val="Medium Grid 1 - Accent 1214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43">
    <w:name w:val="Light Grid - Accent 11214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43">
    <w:name w:val="Light Grid - Accent 5214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43">
    <w:name w:val="Light Grid - Accent 122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43">
    <w:name w:val="Light List - Accent 5214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43">
    <w:name w:val="Light List - Accent 11214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43">
    <w:name w:val="Light Grid - Accent 132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43">
    <w:name w:val="Medium Grid 1 - Accent 3214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43">
    <w:name w:val="Grid Table 4 Accent 3114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43">
    <w:name w:val="No List3143"/>
    <w:next w:val="NoList"/>
    <w:uiPriority w:val="99"/>
    <w:semiHidden/>
    <w:unhideWhenUsed/>
    <w:rsid w:val="00C64FC7"/>
  </w:style>
  <w:style w:type="table" w:customStyle="1" w:styleId="MediumGrid1-Accent13143">
    <w:name w:val="Medium Grid 1 - Accent 1314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43">
    <w:name w:val="Light Grid - Accent 11314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43">
    <w:name w:val="Light Grid - Accent 5314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43">
    <w:name w:val="Light Grid - Accent 123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43">
    <w:name w:val="Light List - Accent 5314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43">
    <w:name w:val="Light List - Accent 11314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43">
    <w:name w:val="Light Grid - Accent 1331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43">
    <w:name w:val="Medium Grid 1 - Accent 3314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43">
    <w:name w:val="Grid Table 4 Accent 3214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43">
    <w:name w:val="Table Grid114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C64FC7"/>
  </w:style>
  <w:style w:type="table" w:customStyle="1" w:styleId="MediumGrid1-Accent1543">
    <w:name w:val="Medium Grid 1 - Accent 154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43">
    <w:name w:val="Light Grid - Accent 1154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43">
    <w:name w:val="Light Grid - Accent 554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43">
    <w:name w:val="Light Grid - Accent 125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43">
    <w:name w:val="Light List - Accent 554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43">
    <w:name w:val="Light List - Accent 1154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43">
    <w:name w:val="Light Grid - Accent 135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43">
    <w:name w:val="Medium Grid 1 - Accent 354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43">
    <w:name w:val="No List1243"/>
    <w:next w:val="NoList"/>
    <w:uiPriority w:val="99"/>
    <w:semiHidden/>
    <w:unhideWhenUsed/>
    <w:rsid w:val="00C64FC7"/>
  </w:style>
  <w:style w:type="numbering" w:customStyle="1" w:styleId="NoList2243">
    <w:name w:val="No List2243"/>
    <w:next w:val="NoList"/>
    <w:uiPriority w:val="99"/>
    <w:semiHidden/>
    <w:unhideWhenUsed/>
    <w:rsid w:val="00C64FC7"/>
  </w:style>
  <w:style w:type="numbering" w:customStyle="1" w:styleId="NoList3243">
    <w:name w:val="No List3243"/>
    <w:next w:val="NoList"/>
    <w:uiPriority w:val="99"/>
    <w:semiHidden/>
    <w:unhideWhenUsed/>
    <w:rsid w:val="00C64FC7"/>
  </w:style>
  <w:style w:type="numbering" w:customStyle="1" w:styleId="NoList643">
    <w:name w:val="No List643"/>
    <w:next w:val="NoList"/>
    <w:uiPriority w:val="99"/>
    <w:semiHidden/>
    <w:unhideWhenUsed/>
    <w:rsid w:val="00C64FC7"/>
  </w:style>
  <w:style w:type="table" w:customStyle="1" w:styleId="MediumGrid1-Accent1643">
    <w:name w:val="Medium Grid 1 - Accent 164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43">
    <w:name w:val="Light Grid - Accent 1164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43">
    <w:name w:val="Light Grid - Accent 564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43">
    <w:name w:val="Light Grid - Accent 126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43">
    <w:name w:val="Light List - Accent 564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43">
    <w:name w:val="Light List - Accent 1164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43">
    <w:name w:val="Light Grid - Accent 1364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43">
    <w:name w:val="Medium Grid 1 - Accent 364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43">
    <w:name w:val="No List1343"/>
    <w:next w:val="NoList"/>
    <w:uiPriority w:val="99"/>
    <w:semiHidden/>
    <w:unhideWhenUsed/>
    <w:rsid w:val="00C64FC7"/>
  </w:style>
  <w:style w:type="numbering" w:customStyle="1" w:styleId="NoList2343">
    <w:name w:val="No List2343"/>
    <w:next w:val="NoList"/>
    <w:uiPriority w:val="99"/>
    <w:semiHidden/>
    <w:unhideWhenUsed/>
    <w:rsid w:val="00C64FC7"/>
  </w:style>
  <w:style w:type="numbering" w:customStyle="1" w:styleId="NoList3343">
    <w:name w:val="No List3343"/>
    <w:next w:val="NoList"/>
    <w:uiPriority w:val="99"/>
    <w:semiHidden/>
    <w:unhideWhenUsed/>
    <w:rsid w:val="00C64FC7"/>
  </w:style>
  <w:style w:type="numbering" w:customStyle="1" w:styleId="NoList183">
    <w:name w:val="No List183"/>
    <w:next w:val="NoList"/>
    <w:uiPriority w:val="99"/>
    <w:semiHidden/>
    <w:unhideWhenUsed/>
    <w:rsid w:val="00C64FC7"/>
  </w:style>
  <w:style w:type="table" w:customStyle="1" w:styleId="TableGrid93">
    <w:name w:val="Table Grid9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73">
    <w:name w:val="Medium Grid 3 - Accent 17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73">
    <w:name w:val="Medium Grid 1 - Accent 1173"/>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73">
    <w:name w:val="Light Grid - Accent 11173"/>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73">
    <w:name w:val="Light Grid - Accent 5173"/>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73">
    <w:name w:val="Light Grid - Accent 12173"/>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73">
    <w:name w:val="Light List - Accent 5173"/>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73">
    <w:name w:val="Light List - Accent 11173"/>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73">
    <w:name w:val="Light Grid - Accent 1317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73">
    <w:name w:val="Medium Grid 1 - Accent 317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93">
    <w:name w:val="No List193"/>
    <w:next w:val="NoList"/>
    <w:uiPriority w:val="99"/>
    <w:semiHidden/>
    <w:unhideWhenUsed/>
    <w:rsid w:val="00C64FC7"/>
  </w:style>
  <w:style w:type="table" w:customStyle="1" w:styleId="MediumGrid1-Accent1183">
    <w:name w:val="Medium Grid 1 - Accent 118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83">
    <w:name w:val="Light Grid - Accent 1118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83">
    <w:name w:val="Light Grid - Accent 518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83">
    <w:name w:val="Light Grid - Accent 1218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83">
    <w:name w:val="Light List - Accent 518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83">
    <w:name w:val="Light List - Accent 1118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83">
    <w:name w:val="Light Grid - Accent 1318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83">
    <w:name w:val="Medium Grid 1 - Accent 318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73">
    <w:name w:val="Grid Table 4 - Accent 317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83">
    <w:name w:val="No List283"/>
    <w:next w:val="NoList"/>
    <w:uiPriority w:val="99"/>
    <w:semiHidden/>
    <w:unhideWhenUsed/>
    <w:rsid w:val="00C64FC7"/>
  </w:style>
  <w:style w:type="table" w:customStyle="1" w:styleId="MediumGrid1-Accent1273">
    <w:name w:val="Medium Grid 1 - Accent 127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73">
    <w:name w:val="Light Grid - Accent 1127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73">
    <w:name w:val="Light Grid - Accent 527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73">
    <w:name w:val="Light Grid - Accent 1227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73">
    <w:name w:val="Light List - Accent 527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73">
    <w:name w:val="Light List - Accent 1127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73">
    <w:name w:val="Light Grid - Accent 1327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73">
    <w:name w:val="Medium Grid 1 - Accent 327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73">
    <w:name w:val="Grid Table 4 Accent 317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83">
    <w:name w:val="No List383"/>
    <w:next w:val="NoList"/>
    <w:uiPriority w:val="99"/>
    <w:semiHidden/>
    <w:unhideWhenUsed/>
    <w:rsid w:val="00C64FC7"/>
  </w:style>
  <w:style w:type="table" w:customStyle="1" w:styleId="MediumGrid1-Accent1373">
    <w:name w:val="Medium Grid 1 - Accent 137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73">
    <w:name w:val="Light Grid - Accent 1137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73">
    <w:name w:val="Light Grid - Accent 537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73">
    <w:name w:val="Light Grid - Accent 1237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73">
    <w:name w:val="Light List - Accent 537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73">
    <w:name w:val="Light List - Accent 1137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73">
    <w:name w:val="Light Grid - Accent 1337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73">
    <w:name w:val="Medium Grid 1 - Accent 337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73">
    <w:name w:val="Grid Table 4 Accent 327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73">
    <w:name w:val="Table Grid17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3">
    <w:name w:val="Table Grid263"/>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3">
    <w:name w:val="No List453"/>
    <w:next w:val="NoList"/>
    <w:uiPriority w:val="99"/>
    <w:semiHidden/>
    <w:unhideWhenUsed/>
    <w:rsid w:val="00C64FC7"/>
  </w:style>
  <w:style w:type="table" w:customStyle="1" w:styleId="MediumGrid1-Accent1453">
    <w:name w:val="Medium Grid 1 - Accent 145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53">
    <w:name w:val="Light Grid - Accent 1145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53">
    <w:name w:val="Light Grid - Accent 545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53">
    <w:name w:val="Light Grid - Accent 124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53">
    <w:name w:val="Light List - Accent 545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53">
    <w:name w:val="Light List - Accent 1145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53">
    <w:name w:val="Light Grid - Accent 134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53">
    <w:name w:val="Medium Grid 1 - Accent 345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53">
    <w:name w:val="Table Grid2153"/>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53">
    <w:name w:val="Medium Grid 3 - Accent 1153"/>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53">
    <w:name w:val="No List1153"/>
    <w:next w:val="NoList"/>
    <w:uiPriority w:val="99"/>
    <w:semiHidden/>
    <w:unhideWhenUsed/>
    <w:rsid w:val="00C64FC7"/>
  </w:style>
  <w:style w:type="table" w:customStyle="1" w:styleId="MediumGrid1-Accent11153">
    <w:name w:val="Medium Grid 1 - Accent 1115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53">
    <w:name w:val="Light Grid - Accent 111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53">
    <w:name w:val="Light Grid - Accent 51153"/>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53">
    <w:name w:val="Light Grid - Accent 121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53">
    <w:name w:val="Light List - Accent 51153"/>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53">
    <w:name w:val="Light List - Accent 11115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53">
    <w:name w:val="Light Grid - Accent 131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53">
    <w:name w:val="Medium Grid 1 - Accent 3115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53">
    <w:name w:val="Grid Table 4 - Accent 3115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53">
    <w:name w:val="No List2153"/>
    <w:next w:val="NoList"/>
    <w:uiPriority w:val="99"/>
    <w:semiHidden/>
    <w:unhideWhenUsed/>
    <w:rsid w:val="00C64FC7"/>
  </w:style>
  <w:style w:type="table" w:customStyle="1" w:styleId="MediumGrid1-Accent12153">
    <w:name w:val="Medium Grid 1 - Accent 1215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53">
    <w:name w:val="Light Grid - Accent 11215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53">
    <w:name w:val="Light Grid - Accent 5215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53">
    <w:name w:val="Light Grid - Accent 122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53">
    <w:name w:val="Light List - Accent 5215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53">
    <w:name w:val="Light List - Accent 11215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53">
    <w:name w:val="Light Grid - Accent 132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53">
    <w:name w:val="Medium Grid 1 - Accent 3215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53">
    <w:name w:val="Grid Table 4 Accent 3115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53">
    <w:name w:val="No List3153"/>
    <w:next w:val="NoList"/>
    <w:uiPriority w:val="99"/>
    <w:semiHidden/>
    <w:unhideWhenUsed/>
    <w:rsid w:val="00C64FC7"/>
  </w:style>
  <w:style w:type="table" w:customStyle="1" w:styleId="MediumGrid1-Accent13153">
    <w:name w:val="Medium Grid 1 - Accent 1315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53">
    <w:name w:val="Light Grid - Accent 11315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53">
    <w:name w:val="Light Grid - Accent 5315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53">
    <w:name w:val="Light Grid - Accent 123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53">
    <w:name w:val="Light List - Accent 5315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53">
    <w:name w:val="Light List - Accent 11315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53">
    <w:name w:val="Light Grid - Accent 1331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53">
    <w:name w:val="Medium Grid 1 - Accent 3315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53">
    <w:name w:val="Grid Table 4 Accent 32153"/>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53">
    <w:name w:val="Table Grid1153"/>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3">
    <w:name w:val="No List553"/>
    <w:next w:val="NoList"/>
    <w:uiPriority w:val="99"/>
    <w:semiHidden/>
    <w:unhideWhenUsed/>
    <w:rsid w:val="00C64FC7"/>
  </w:style>
  <w:style w:type="table" w:customStyle="1" w:styleId="MediumGrid1-Accent1553">
    <w:name w:val="Medium Grid 1 - Accent 155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53">
    <w:name w:val="Light Grid - Accent 1155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53">
    <w:name w:val="Light Grid - Accent 555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53">
    <w:name w:val="Light Grid - Accent 125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53">
    <w:name w:val="Light List - Accent 555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53">
    <w:name w:val="Light List - Accent 1155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53">
    <w:name w:val="Light Grid - Accent 135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53">
    <w:name w:val="Medium Grid 1 - Accent 355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53">
    <w:name w:val="No List1253"/>
    <w:next w:val="NoList"/>
    <w:uiPriority w:val="99"/>
    <w:semiHidden/>
    <w:unhideWhenUsed/>
    <w:rsid w:val="00C64FC7"/>
  </w:style>
  <w:style w:type="numbering" w:customStyle="1" w:styleId="NoList2253">
    <w:name w:val="No List2253"/>
    <w:next w:val="NoList"/>
    <w:uiPriority w:val="99"/>
    <w:semiHidden/>
    <w:unhideWhenUsed/>
    <w:rsid w:val="00C64FC7"/>
  </w:style>
  <w:style w:type="numbering" w:customStyle="1" w:styleId="NoList3253">
    <w:name w:val="No List3253"/>
    <w:next w:val="NoList"/>
    <w:uiPriority w:val="99"/>
    <w:semiHidden/>
    <w:unhideWhenUsed/>
    <w:rsid w:val="00C64FC7"/>
  </w:style>
  <w:style w:type="numbering" w:customStyle="1" w:styleId="NoList653">
    <w:name w:val="No List653"/>
    <w:next w:val="NoList"/>
    <w:uiPriority w:val="99"/>
    <w:semiHidden/>
    <w:unhideWhenUsed/>
    <w:rsid w:val="00C64FC7"/>
  </w:style>
  <w:style w:type="table" w:customStyle="1" w:styleId="MediumGrid1-Accent1653">
    <w:name w:val="Medium Grid 1 - Accent 1653"/>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53">
    <w:name w:val="Light Grid - Accent 11653"/>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53">
    <w:name w:val="Light Grid - Accent 5653"/>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53">
    <w:name w:val="Light Grid - Accent 126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53">
    <w:name w:val="Light List - Accent 5653"/>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53">
    <w:name w:val="Light List - Accent 11653"/>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53">
    <w:name w:val="Light Grid - Accent 13653"/>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53">
    <w:name w:val="Medium Grid 1 - Accent 3653"/>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53">
    <w:name w:val="No List1353"/>
    <w:next w:val="NoList"/>
    <w:uiPriority w:val="99"/>
    <w:semiHidden/>
    <w:unhideWhenUsed/>
    <w:rsid w:val="00C64FC7"/>
  </w:style>
  <w:style w:type="numbering" w:customStyle="1" w:styleId="NoList2353">
    <w:name w:val="No List2353"/>
    <w:next w:val="NoList"/>
    <w:uiPriority w:val="99"/>
    <w:semiHidden/>
    <w:unhideWhenUsed/>
    <w:rsid w:val="00C64FC7"/>
  </w:style>
  <w:style w:type="numbering" w:customStyle="1" w:styleId="NoList3353">
    <w:name w:val="No List3353"/>
    <w:next w:val="NoList"/>
    <w:uiPriority w:val="99"/>
    <w:semiHidden/>
    <w:unhideWhenUsed/>
    <w:rsid w:val="00C64FC7"/>
  </w:style>
  <w:style w:type="numbering" w:customStyle="1" w:styleId="NoList202">
    <w:name w:val="No List202"/>
    <w:next w:val="NoList"/>
    <w:uiPriority w:val="99"/>
    <w:semiHidden/>
    <w:unhideWhenUsed/>
    <w:rsid w:val="00C64FC7"/>
  </w:style>
  <w:style w:type="table" w:customStyle="1" w:styleId="TableGrid102">
    <w:name w:val="Table Grid10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82">
    <w:name w:val="Medium Grid 3 - Accent 18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92">
    <w:name w:val="Medium Grid 1 - Accent 119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92">
    <w:name w:val="Light Grid - Accent 1119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92">
    <w:name w:val="Light Grid - Accent 519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92">
    <w:name w:val="Light Grid - Accent 1219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92">
    <w:name w:val="Light List - Accent 519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92">
    <w:name w:val="Light List - Accent 1119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92">
    <w:name w:val="Light Grid - Accent 1319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92">
    <w:name w:val="Medium Grid 1 - Accent 319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102">
    <w:name w:val="No List1102"/>
    <w:next w:val="NoList"/>
    <w:uiPriority w:val="99"/>
    <w:semiHidden/>
    <w:unhideWhenUsed/>
    <w:rsid w:val="00C64FC7"/>
  </w:style>
  <w:style w:type="table" w:customStyle="1" w:styleId="MediumGrid1-Accent11102">
    <w:name w:val="Medium Grid 1 - Accent 1110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02">
    <w:name w:val="Light Grid - Accent 11110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02">
    <w:name w:val="Light Grid - Accent 5110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02">
    <w:name w:val="Light Grid - Accent 12110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02">
    <w:name w:val="Light List - Accent 5110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02">
    <w:name w:val="Light List - Accent 11110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02">
    <w:name w:val="Light Grid - Accent 13110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02">
    <w:name w:val="Medium Grid 1 - Accent 3110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82">
    <w:name w:val="Grid Table 4 - Accent 318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92">
    <w:name w:val="No List292"/>
    <w:next w:val="NoList"/>
    <w:uiPriority w:val="99"/>
    <w:semiHidden/>
    <w:unhideWhenUsed/>
    <w:rsid w:val="00C64FC7"/>
  </w:style>
  <w:style w:type="table" w:customStyle="1" w:styleId="MediumGrid1-Accent1282">
    <w:name w:val="Medium Grid 1 - Accent 128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82">
    <w:name w:val="Light Grid - Accent 1128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82">
    <w:name w:val="Light Grid - Accent 528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82">
    <w:name w:val="Light Grid - Accent 1228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82">
    <w:name w:val="Light List - Accent 528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82">
    <w:name w:val="Light List - Accent 1128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82">
    <w:name w:val="Light Grid - Accent 1328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82">
    <w:name w:val="Medium Grid 1 - Accent 328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82">
    <w:name w:val="Grid Table 4 Accent 318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92">
    <w:name w:val="No List392"/>
    <w:next w:val="NoList"/>
    <w:uiPriority w:val="99"/>
    <w:semiHidden/>
    <w:unhideWhenUsed/>
    <w:rsid w:val="00C64FC7"/>
  </w:style>
  <w:style w:type="table" w:customStyle="1" w:styleId="MediumGrid1-Accent1382">
    <w:name w:val="Medium Grid 1 - Accent 138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82">
    <w:name w:val="Light Grid - Accent 1138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82">
    <w:name w:val="Light Grid - Accent 538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82">
    <w:name w:val="Light Grid - Accent 1238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82">
    <w:name w:val="Light List - Accent 538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82">
    <w:name w:val="Light List - Accent 1138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82">
    <w:name w:val="Light Grid - Accent 1338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82">
    <w:name w:val="Medium Grid 1 - Accent 338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82">
    <w:name w:val="Grid Table 4 Accent 328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82">
    <w:name w:val="Table Grid18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2">
    <w:name w:val="No List462"/>
    <w:next w:val="NoList"/>
    <w:uiPriority w:val="99"/>
    <w:semiHidden/>
    <w:unhideWhenUsed/>
    <w:rsid w:val="00C64FC7"/>
  </w:style>
  <w:style w:type="table" w:customStyle="1" w:styleId="MediumGrid1-Accent1462">
    <w:name w:val="Medium Grid 1 - Accent 146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62">
    <w:name w:val="Light Grid - Accent 1146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62">
    <w:name w:val="Light Grid - Accent 546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62">
    <w:name w:val="Light Grid - Accent 124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62">
    <w:name w:val="Light List - Accent 546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62">
    <w:name w:val="Light List - Accent 1146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62">
    <w:name w:val="Light Grid - Accent 134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62">
    <w:name w:val="Medium Grid 1 - Accent 346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312">
    <w:name w:val="Table Grid3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62">
    <w:name w:val="Medium Grid 3 - Accent 116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62">
    <w:name w:val="No List1162"/>
    <w:next w:val="NoList"/>
    <w:uiPriority w:val="99"/>
    <w:semiHidden/>
    <w:unhideWhenUsed/>
    <w:rsid w:val="00C64FC7"/>
  </w:style>
  <w:style w:type="table" w:customStyle="1" w:styleId="MediumGrid1-Accent11162">
    <w:name w:val="Medium Grid 1 - Accent 1116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62">
    <w:name w:val="Light Grid - Accent 111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62">
    <w:name w:val="Light Grid - Accent 5116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62">
    <w:name w:val="Light Grid - Accent 121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62">
    <w:name w:val="Light List - Accent 5116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62">
    <w:name w:val="Light List - Accent 11116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62">
    <w:name w:val="Light Grid - Accent 131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62">
    <w:name w:val="Medium Grid 1 - Accent 3116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62">
    <w:name w:val="Grid Table 4 - Accent 3116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62">
    <w:name w:val="No List2162"/>
    <w:next w:val="NoList"/>
    <w:uiPriority w:val="99"/>
    <w:semiHidden/>
    <w:unhideWhenUsed/>
    <w:rsid w:val="00C64FC7"/>
  </w:style>
  <w:style w:type="table" w:customStyle="1" w:styleId="MediumGrid1-Accent12162">
    <w:name w:val="Medium Grid 1 - Accent 1216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62">
    <w:name w:val="Light Grid - Accent 11216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62">
    <w:name w:val="Light Grid - Accent 5216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62">
    <w:name w:val="Light Grid - Accent 122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62">
    <w:name w:val="Light List - Accent 5216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62">
    <w:name w:val="Light List - Accent 11216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62">
    <w:name w:val="Light Grid - Accent 132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62">
    <w:name w:val="Medium Grid 1 - Accent 3216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62">
    <w:name w:val="Grid Table 4 Accent 3116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62">
    <w:name w:val="No List3162"/>
    <w:next w:val="NoList"/>
    <w:uiPriority w:val="99"/>
    <w:semiHidden/>
    <w:unhideWhenUsed/>
    <w:rsid w:val="00C64FC7"/>
  </w:style>
  <w:style w:type="table" w:customStyle="1" w:styleId="MediumGrid1-Accent13162">
    <w:name w:val="Medium Grid 1 - Accent 1316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62">
    <w:name w:val="Light Grid - Accent 11316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62">
    <w:name w:val="Light Grid - Accent 5316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62">
    <w:name w:val="Light Grid - Accent 123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62">
    <w:name w:val="Light List - Accent 5316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62">
    <w:name w:val="Light List - Accent 11316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62">
    <w:name w:val="Light Grid - Accent 1331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62">
    <w:name w:val="Medium Grid 1 - Accent 3316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62">
    <w:name w:val="Grid Table 4 Accent 3216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62">
    <w:name w:val="Table Grid116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62">
    <w:name w:val="No List562"/>
    <w:next w:val="NoList"/>
    <w:uiPriority w:val="99"/>
    <w:semiHidden/>
    <w:unhideWhenUsed/>
    <w:rsid w:val="00C64FC7"/>
  </w:style>
  <w:style w:type="table" w:customStyle="1" w:styleId="TableGrid412">
    <w:name w:val="Table Grid412"/>
    <w:basedOn w:val="TableNormal"/>
    <w:next w:val="TableGrid"/>
    <w:uiPriority w:val="5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212">
    <w:name w:val="Medium Grid 3 - Accent 121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562">
    <w:name w:val="Medium Grid 1 - Accent 156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562">
    <w:name w:val="Light Grid - Accent 1156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562">
    <w:name w:val="Light Grid - Accent 556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562">
    <w:name w:val="Light Grid - Accent 1256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562">
    <w:name w:val="Light List - Accent 556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562">
    <w:name w:val="Light List - Accent 1156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562">
    <w:name w:val="Light Grid - Accent 135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562">
    <w:name w:val="Medium Grid 1 - Accent 356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262">
    <w:name w:val="No List1262"/>
    <w:next w:val="NoList"/>
    <w:uiPriority w:val="99"/>
    <w:semiHidden/>
    <w:unhideWhenUsed/>
    <w:rsid w:val="00C64FC7"/>
  </w:style>
  <w:style w:type="table" w:customStyle="1" w:styleId="MediumGrid1-Accent11212">
    <w:name w:val="Medium Grid 1 - Accent 112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212">
    <w:name w:val="Light Grid - Accent 11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212">
    <w:name w:val="Light Grid - Accent 512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212">
    <w:name w:val="Light Grid - Accent 12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212">
    <w:name w:val="Light List - Accent 512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212">
    <w:name w:val="Light List - Accent 1112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212">
    <w:name w:val="Light Grid - Accent 13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212">
    <w:name w:val="Medium Grid 1 - Accent 312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212">
    <w:name w:val="Grid Table 4 - Accent 312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262">
    <w:name w:val="No List2262"/>
    <w:next w:val="NoList"/>
    <w:uiPriority w:val="99"/>
    <w:semiHidden/>
    <w:unhideWhenUsed/>
    <w:rsid w:val="00C64FC7"/>
  </w:style>
  <w:style w:type="table" w:customStyle="1" w:styleId="MediumGrid1-Accent12212">
    <w:name w:val="Medium Grid 1 - Accent 122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212">
    <w:name w:val="Light Grid - Accent 1122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212">
    <w:name w:val="Light Grid - Accent 522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212">
    <w:name w:val="Light Grid - Accent 122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212">
    <w:name w:val="Light List - Accent 522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212">
    <w:name w:val="Light List - Accent 1122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212">
    <w:name w:val="Light Grid - Accent 132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212">
    <w:name w:val="Medium Grid 1 - Accent 322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212">
    <w:name w:val="Grid Table 4 Accent 312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262">
    <w:name w:val="No List3262"/>
    <w:next w:val="NoList"/>
    <w:uiPriority w:val="99"/>
    <w:semiHidden/>
    <w:unhideWhenUsed/>
    <w:rsid w:val="00C64FC7"/>
  </w:style>
  <w:style w:type="table" w:customStyle="1" w:styleId="MediumGrid1-Accent13212">
    <w:name w:val="Medium Grid 1 - Accent 132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212">
    <w:name w:val="Light Grid - Accent 1132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212">
    <w:name w:val="Light Grid - Accent 532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212">
    <w:name w:val="Light Grid - Accent 123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212">
    <w:name w:val="Light List - Accent 532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212">
    <w:name w:val="Light List - Accent 1132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212">
    <w:name w:val="Light Grid - Accent 133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212">
    <w:name w:val="Medium Grid 1 - Accent 332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212">
    <w:name w:val="Grid Table 4 Accent 322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212">
    <w:name w:val="Table Grid121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2">
    <w:name w:val="Table Grid2162"/>
    <w:basedOn w:val="TableNormal"/>
    <w:next w:val="TableGrid"/>
    <w:uiPriority w:val="3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2">
    <w:name w:val="No List662"/>
    <w:next w:val="NoList"/>
    <w:uiPriority w:val="99"/>
    <w:semiHidden/>
    <w:unhideWhenUsed/>
    <w:rsid w:val="00C64FC7"/>
  </w:style>
  <w:style w:type="table" w:customStyle="1" w:styleId="MediumGrid1-Accent1662">
    <w:name w:val="Medium Grid 1 - Accent 166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62">
    <w:name w:val="Light Grid - Accent 1166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62">
    <w:name w:val="Light Grid - Accent 566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62">
    <w:name w:val="Light Grid - Accent 126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62">
    <w:name w:val="Light List - Accent 566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62">
    <w:name w:val="Light List - Accent 1166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62">
    <w:name w:val="Light Grid - Accent 1366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62">
    <w:name w:val="Medium Grid 1 - Accent 366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62">
    <w:name w:val="No List1362"/>
    <w:next w:val="NoList"/>
    <w:uiPriority w:val="99"/>
    <w:semiHidden/>
    <w:unhideWhenUsed/>
    <w:rsid w:val="00C64FC7"/>
  </w:style>
  <w:style w:type="numbering" w:customStyle="1" w:styleId="NoList2362">
    <w:name w:val="No List2362"/>
    <w:next w:val="NoList"/>
    <w:uiPriority w:val="99"/>
    <w:semiHidden/>
    <w:unhideWhenUsed/>
    <w:rsid w:val="00C64FC7"/>
  </w:style>
  <w:style w:type="numbering" w:customStyle="1" w:styleId="NoList3362">
    <w:name w:val="No List3362"/>
    <w:next w:val="NoList"/>
    <w:uiPriority w:val="99"/>
    <w:semiHidden/>
    <w:unhideWhenUsed/>
    <w:rsid w:val="00C64FC7"/>
  </w:style>
  <w:style w:type="numbering" w:customStyle="1" w:styleId="NoList712">
    <w:name w:val="No List712"/>
    <w:next w:val="NoList"/>
    <w:uiPriority w:val="99"/>
    <w:semiHidden/>
    <w:unhideWhenUsed/>
    <w:rsid w:val="00C64FC7"/>
  </w:style>
  <w:style w:type="table" w:customStyle="1" w:styleId="TableGrid512">
    <w:name w:val="Table Grid5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312">
    <w:name w:val="Medium Grid 3 - Accent 131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712">
    <w:name w:val="Medium Grid 1 - Accent 171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712">
    <w:name w:val="Light Grid - Accent 1171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712">
    <w:name w:val="Light Grid - Accent 571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712">
    <w:name w:val="Light Grid - Accent 1271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712">
    <w:name w:val="Light List - Accent 571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712">
    <w:name w:val="Light List - Accent 1171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712">
    <w:name w:val="Light Grid - Accent 137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712">
    <w:name w:val="Medium Grid 1 - Accent 37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412">
    <w:name w:val="No List1412"/>
    <w:next w:val="NoList"/>
    <w:uiPriority w:val="99"/>
    <w:semiHidden/>
    <w:unhideWhenUsed/>
    <w:rsid w:val="00C64FC7"/>
  </w:style>
  <w:style w:type="table" w:customStyle="1" w:styleId="MediumGrid1-Accent11312">
    <w:name w:val="Medium Grid 1 - Accent 113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312">
    <w:name w:val="Light Grid - Accent 11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312">
    <w:name w:val="Light Grid - Accent 513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312">
    <w:name w:val="Light Grid - Accent 12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312">
    <w:name w:val="Light List - Accent 513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312">
    <w:name w:val="Light List - Accent 1113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312">
    <w:name w:val="Light Grid - Accent 13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312">
    <w:name w:val="Medium Grid 1 - Accent 313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312">
    <w:name w:val="Grid Table 4 - Accent 313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412">
    <w:name w:val="No List2412"/>
    <w:next w:val="NoList"/>
    <w:uiPriority w:val="99"/>
    <w:semiHidden/>
    <w:unhideWhenUsed/>
    <w:rsid w:val="00C64FC7"/>
  </w:style>
  <w:style w:type="table" w:customStyle="1" w:styleId="MediumGrid1-Accent12312">
    <w:name w:val="Medium Grid 1 - Accent 123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312">
    <w:name w:val="Light Grid - Accent 1123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312">
    <w:name w:val="Light Grid - Accent 523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312">
    <w:name w:val="Light Grid - Accent 122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312">
    <w:name w:val="Light List - Accent 523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312">
    <w:name w:val="Light List - Accent 1123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312">
    <w:name w:val="Light Grid - Accent 132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312">
    <w:name w:val="Medium Grid 1 - Accent 323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312">
    <w:name w:val="Grid Table 4 Accent 313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412">
    <w:name w:val="No List3412"/>
    <w:next w:val="NoList"/>
    <w:uiPriority w:val="99"/>
    <w:semiHidden/>
    <w:unhideWhenUsed/>
    <w:rsid w:val="00C64FC7"/>
  </w:style>
  <w:style w:type="table" w:customStyle="1" w:styleId="MediumGrid1-Accent13312">
    <w:name w:val="Medium Grid 1 - Accent 133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312">
    <w:name w:val="Light Grid - Accent 1133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312">
    <w:name w:val="Light Grid - Accent 533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312">
    <w:name w:val="Light Grid - Accent 123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312">
    <w:name w:val="Light List - Accent 533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312">
    <w:name w:val="Light List - Accent 1133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312">
    <w:name w:val="Light Grid - Accent 133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312">
    <w:name w:val="Medium Grid 1 - Accent 333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312">
    <w:name w:val="Grid Table 4 Accent 323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312">
    <w:name w:val="Table Grid131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2">
    <w:name w:val="No List4112"/>
    <w:next w:val="NoList"/>
    <w:uiPriority w:val="99"/>
    <w:semiHidden/>
    <w:unhideWhenUsed/>
    <w:rsid w:val="00C64FC7"/>
  </w:style>
  <w:style w:type="table" w:customStyle="1" w:styleId="MediumGrid1-Accent14112">
    <w:name w:val="Medium Grid 1 - Accent 141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112">
    <w:name w:val="Light Grid - Accent 1141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112">
    <w:name w:val="Light Grid - Accent 541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112">
    <w:name w:val="Light Grid - Accent 124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112">
    <w:name w:val="Light List - Accent 541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112">
    <w:name w:val="Light List - Accent 1141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112">
    <w:name w:val="Light Grid - Accent 134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112">
    <w:name w:val="Medium Grid 1 - Accent 341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112">
    <w:name w:val="Table Grid211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112">
    <w:name w:val="Medium Grid 3 - Accent 1111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112">
    <w:name w:val="No List11112"/>
    <w:next w:val="NoList"/>
    <w:uiPriority w:val="99"/>
    <w:semiHidden/>
    <w:unhideWhenUsed/>
    <w:rsid w:val="00C64FC7"/>
  </w:style>
  <w:style w:type="table" w:customStyle="1" w:styleId="MediumGrid1-Accent111112">
    <w:name w:val="Medium Grid 1 - Accent 1111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112">
    <w:name w:val="Light Grid - Accent 111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112">
    <w:name w:val="Light Grid - Accent 5111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112">
    <w:name w:val="Light Grid - Accent 121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112">
    <w:name w:val="Light List - Accent 5111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112">
    <w:name w:val="Light List - Accent 11111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112">
    <w:name w:val="Light Grid - Accent 131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112">
    <w:name w:val="Medium Grid 1 - Accent 3111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112">
    <w:name w:val="Grid Table 4 - Accent 3111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112">
    <w:name w:val="No List21112"/>
    <w:next w:val="NoList"/>
    <w:uiPriority w:val="99"/>
    <w:semiHidden/>
    <w:unhideWhenUsed/>
    <w:rsid w:val="00C64FC7"/>
  </w:style>
  <w:style w:type="table" w:customStyle="1" w:styleId="MediumGrid1-Accent121112">
    <w:name w:val="Medium Grid 1 - Accent 1211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112">
    <w:name w:val="Light Grid - Accent 11211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112">
    <w:name w:val="Light Grid - Accent 5211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112">
    <w:name w:val="Light Grid - Accent 122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112">
    <w:name w:val="Light List - Accent 5211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112">
    <w:name w:val="Light List - Accent 11211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112">
    <w:name w:val="Light Grid - Accent 132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112">
    <w:name w:val="Medium Grid 1 - Accent 3211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112">
    <w:name w:val="Grid Table 4 Accent 3111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112">
    <w:name w:val="No List31112"/>
    <w:next w:val="NoList"/>
    <w:uiPriority w:val="99"/>
    <w:semiHidden/>
    <w:unhideWhenUsed/>
    <w:rsid w:val="00C64FC7"/>
  </w:style>
  <w:style w:type="table" w:customStyle="1" w:styleId="MediumGrid1-Accent131112">
    <w:name w:val="Medium Grid 1 - Accent 1311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112">
    <w:name w:val="Light Grid - Accent 11311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112">
    <w:name w:val="Light Grid - Accent 5311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112">
    <w:name w:val="Light Grid - Accent 123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112">
    <w:name w:val="Light List - Accent 5311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112">
    <w:name w:val="Light List - Accent 11311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112">
    <w:name w:val="Light Grid - Accent 1331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112">
    <w:name w:val="Medium Grid 1 - Accent 3311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112">
    <w:name w:val="Grid Table 4 Accent 3211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112">
    <w:name w:val="Table Grid1111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2">
    <w:name w:val="No List5112"/>
    <w:next w:val="NoList"/>
    <w:uiPriority w:val="99"/>
    <w:semiHidden/>
    <w:unhideWhenUsed/>
    <w:rsid w:val="00C64FC7"/>
  </w:style>
  <w:style w:type="table" w:customStyle="1" w:styleId="MediumGrid1-Accent15112">
    <w:name w:val="Medium Grid 1 - Accent 151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112">
    <w:name w:val="Light Grid - Accent 1151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112">
    <w:name w:val="Light Grid - Accent 551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112">
    <w:name w:val="Light Grid - Accent 125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112">
    <w:name w:val="Light List - Accent 551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112">
    <w:name w:val="Light List - Accent 1151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112">
    <w:name w:val="Light Grid - Accent 135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112">
    <w:name w:val="Medium Grid 1 - Accent 351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112">
    <w:name w:val="No List12112"/>
    <w:next w:val="NoList"/>
    <w:uiPriority w:val="99"/>
    <w:semiHidden/>
    <w:unhideWhenUsed/>
    <w:rsid w:val="00C64FC7"/>
  </w:style>
  <w:style w:type="numbering" w:customStyle="1" w:styleId="NoList22112">
    <w:name w:val="No List22112"/>
    <w:next w:val="NoList"/>
    <w:uiPriority w:val="99"/>
    <w:semiHidden/>
    <w:unhideWhenUsed/>
    <w:rsid w:val="00C64FC7"/>
  </w:style>
  <w:style w:type="numbering" w:customStyle="1" w:styleId="NoList32112">
    <w:name w:val="No List32112"/>
    <w:next w:val="NoList"/>
    <w:uiPriority w:val="99"/>
    <w:semiHidden/>
    <w:unhideWhenUsed/>
    <w:rsid w:val="00C64FC7"/>
  </w:style>
  <w:style w:type="numbering" w:customStyle="1" w:styleId="NoList6112">
    <w:name w:val="No List6112"/>
    <w:next w:val="NoList"/>
    <w:uiPriority w:val="99"/>
    <w:semiHidden/>
    <w:unhideWhenUsed/>
    <w:rsid w:val="00C64FC7"/>
  </w:style>
  <w:style w:type="table" w:customStyle="1" w:styleId="MediumGrid1-Accent16112">
    <w:name w:val="Medium Grid 1 - Accent 161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112">
    <w:name w:val="Light Grid - Accent 1161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112">
    <w:name w:val="Light Grid - Accent 561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112">
    <w:name w:val="Light Grid - Accent 126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112">
    <w:name w:val="Light List - Accent 561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112">
    <w:name w:val="Light List - Accent 1161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112">
    <w:name w:val="Light Grid - Accent 1361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112">
    <w:name w:val="Medium Grid 1 - Accent 361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112">
    <w:name w:val="No List13112"/>
    <w:next w:val="NoList"/>
    <w:uiPriority w:val="99"/>
    <w:semiHidden/>
    <w:unhideWhenUsed/>
    <w:rsid w:val="00C64FC7"/>
  </w:style>
  <w:style w:type="numbering" w:customStyle="1" w:styleId="NoList23112">
    <w:name w:val="No List23112"/>
    <w:next w:val="NoList"/>
    <w:uiPriority w:val="99"/>
    <w:semiHidden/>
    <w:unhideWhenUsed/>
    <w:rsid w:val="00C64FC7"/>
  </w:style>
  <w:style w:type="numbering" w:customStyle="1" w:styleId="NoList33112">
    <w:name w:val="No List33112"/>
    <w:next w:val="NoList"/>
    <w:uiPriority w:val="99"/>
    <w:semiHidden/>
    <w:unhideWhenUsed/>
    <w:rsid w:val="00C64FC7"/>
  </w:style>
  <w:style w:type="numbering" w:customStyle="1" w:styleId="NoList812">
    <w:name w:val="No List812"/>
    <w:next w:val="NoList"/>
    <w:uiPriority w:val="99"/>
    <w:semiHidden/>
    <w:unhideWhenUsed/>
    <w:rsid w:val="00C64FC7"/>
  </w:style>
  <w:style w:type="table" w:customStyle="1" w:styleId="TableGrid612">
    <w:name w:val="Table Grid6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412">
    <w:name w:val="Medium Grid 3 - Accent 141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812">
    <w:name w:val="Medium Grid 1 - Accent 181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812">
    <w:name w:val="Light Grid - Accent 1181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812">
    <w:name w:val="Light Grid - Accent 581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812">
    <w:name w:val="Light Grid - Accent 1281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812">
    <w:name w:val="Light List - Accent 581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812">
    <w:name w:val="Light List - Accent 1181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812">
    <w:name w:val="Light Grid - Accent 138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812">
    <w:name w:val="Medium Grid 1 - Accent 38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512">
    <w:name w:val="No List1512"/>
    <w:next w:val="NoList"/>
    <w:uiPriority w:val="99"/>
    <w:semiHidden/>
    <w:unhideWhenUsed/>
    <w:rsid w:val="00C64FC7"/>
  </w:style>
  <w:style w:type="table" w:customStyle="1" w:styleId="MediumGrid1-Accent11412">
    <w:name w:val="Medium Grid 1 - Accent 114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412">
    <w:name w:val="Light Grid - Accent 111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412">
    <w:name w:val="Light Grid - Accent 514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412">
    <w:name w:val="Light Grid - Accent 121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412">
    <w:name w:val="Light List - Accent 514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412">
    <w:name w:val="Light List - Accent 1114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412">
    <w:name w:val="Light Grid - Accent 131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412">
    <w:name w:val="Medium Grid 1 - Accent 314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412">
    <w:name w:val="Grid Table 4 - Accent 314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512">
    <w:name w:val="No List2512"/>
    <w:next w:val="NoList"/>
    <w:uiPriority w:val="99"/>
    <w:semiHidden/>
    <w:unhideWhenUsed/>
    <w:rsid w:val="00C64FC7"/>
  </w:style>
  <w:style w:type="table" w:customStyle="1" w:styleId="MediumGrid1-Accent12412">
    <w:name w:val="Medium Grid 1 - Accent 124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412">
    <w:name w:val="Light Grid - Accent 1124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412">
    <w:name w:val="Light Grid - Accent 524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412">
    <w:name w:val="Light Grid - Accent 122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412">
    <w:name w:val="Light List - Accent 524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412">
    <w:name w:val="Light List - Accent 1124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412">
    <w:name w:val="Light Grid - Accent 132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412">
    <w:name w:val="Medium Grid 1 - Accent 324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412">
    <w:name w:val="Grid Table 4 Accent 314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512">
    <w:name w:val="No List3512"/>
    <w:next w:val="NoList"/>
    <w:uiPriority w:val="99"/>
    <w:semiHidden/>
    <w:unhideWhenUsed/>
    <w:rsid w:val="00C64FC7"/>
  </w:style>
  <w:style w:type="table" w:customStyle="1" w:styleId="MediumGrid1-Accent13412">
    <w:name w:val="Medium Grid 1 - Accent 134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412">
    <w:name w:val="Light Grid - Accent 1134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412">
    <w:name w:val="Light Grid - Accent 534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412">
    <w:name w:val="Light Grid - Accent 123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412">
    <w:name w:val="Light List - Accent 534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412">
    <w:name w:val="Light List - Accent 1134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412">
    <w:name w:val="Light Grid - Accent 133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412">
    <w:name w:val="Medium Grid 1 - Accent 334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412">
    <w:name w:val="Grid Table 4 Accent 324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412">
    <w:name w:val="Table Grid141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C64FC7"/>
  </w:style>
  <w:style w:type="table" w:customStyle="1" w:styleId="MediumGrid1-Accent14212">
    <w:name w:val="Medium Grid 1 - Accent 142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212">
    <w:name w:val="Light Grid - Accent 1142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212">
    <w:name w:val="Light Grid - Accent 542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212">
    <w:name w:val="Light Grid - Accent 124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212">
    <w:name w:val="Light List - Accent 542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212">
    <w:name w:val="Light List - Accent 1142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212">
    <w:name w:val="Light Grid - Accent 134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212">
    <w:name w:val="Medium Grid 1 - Accent 342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212">
    <w:name w:val="Table Grid212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212">
    <w:name w:val="Medium Grid 3 - Accent 1121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212">
    <w:name w:val="No List11212"/>
    <w:next w:val="NoList"/>
    <w:uiPriority w:val="99"/>
    <w:semiHidden/>
    <w:unhideWhenUsed/>
    <w:rsid w:val="00C64FC7"/>
  </w:style>
  <w:style w:type="table" w:customStyle="1" w:styleId="MediumGrid1-Accent111212">
    <w:name w:val="Medium Grid 1 - Accent 1112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212">
    <w:name w:val="Light Grid - Accent 111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212">
    <w:name w:val="Light Grid - Accent 5112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212">
    <w:name w:val="Light Grid - Accent 121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212">
    <w:name w:val="Light List - Accent 5112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212">
    <w:name w:val="Light List - Accent 11112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212">
    <w:name w:val="Light Grid - Accent 131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212">
    <w:name w:val="Medium Grid 1 - Accent 3112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212">
    <w:name w:val="Grid Table 4 - Accent 3112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212">
    <w:name w:val="No List21212"/>
    <w:next w:val="NoList"/>
    <w:uiPriority w:val="99"/>
    <w:semiHidden/>
    <w:unhideWhenUsed/>
    <w:rsid w:val="00C64FC7"/>
  </w:style>
  <w:style w:type="table" w:customStyle="1" w:styleId="MediumGrid1-Accent121212">
    <w:name w:val="Medium Grid 1 - Accent 1212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212">
    <w:name w:val="Light Grid - Accent 11212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212">
    <w:name w:val="Light Grid - Accent 5212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212">
    <w:name w:val="Light Grid - Accent 122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212">
    <w:name w:val="Light List - Accent 5212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212">
    <w:name w:val="Light List - Accent 11212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212">
    <w:name w:val="Light Grid - Accent 132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212">
    <w:name w:val="Medium Grid 1 - Accent 3212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212">
    <w:name w:val="Grid Table 4 Accent 3112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212">
    <w:name w:val="No List31212"/>
    <w:next w:val="NoList"/>
    <w:uiPriority w:val="99"/>
    <w:semiHidden/>
    <w:unhideWhenUsed/>
    <w:rsid w:val="00C64FC7"/>
  </w:style>
  <w:style w:type="table" w:customStyle="1" w:styleId="MediumGrid1-Accent131212">
    <w:name w:val="Medium Grid 1 - Accent 1312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212">
    <w:name w:val="Light Grid - Accent 11312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212">
    <w:name w:val="Light Grid - Accent 5312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212">
    <w:name w:val="Light Grid - Accent 123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212">
    <w:name w:val="Light List - Accent 5312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212">
    <w:name w:val="Light List - Accent 11312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212">
    <w:name w:val="Light Grid - Accent 1331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212">
    <w:name w:val="Medium Grid 1 - Accent 3312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212">
    <w:name w:val="Grid Table 4 Accent 3212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212">
    <w:name w:val="Table Grid1121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C64FC7"/>
  </w:style>
  <w:style w:type="table" w:customStyle="1" w:styleId="MediumGrid1-Accent15212">
    <w:name w:val="Medium Grid 1 - Accent 152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212">
    <w:name w:val="Light Grid - Accent 1152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212">
    <w:name w:val="Light Grid - Accent 552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212">
    <w:name w:val="Light Grid - Accent 125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212">
    <w:name w:val="Light List - Accent 552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212">
    <w:name w:val="Light List - Accent 1152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212">
    <w:name w:val="Light Grid - Accent 135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212">
    <w:name w:val="Medium Grid 1 - Accent 352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212">
    <w:name w:val="No List12212"/>
    <w:next w:val="NoList"/>
    <w:uiPriority w:val="99"/>
    <w:semiHidden/>
    <w:unhideWhenUsed/>
    <w:rsid w:val="00C64FC7"/>
  </w:style>
  <w:style w:type="numbering" w:customStyle="1" w:styleId="NoList22212">
    <w:name w:val="No List22212"/>
    <w:next w:val="NoList"/>
    <w:uiPriority w:val="99"/>
    <w:semiHidden/>
    <w:unhideWhenUsed/>
    <w:rsid w:val="00C64FC7"/>
  </w:style>
  <w:style w:type="numbering" w:customStyle="1" w:styleId="NoList32212">
    <w:name w:val="No List32212"/>
    <w:next w:val="NoList"/>
    <w:uiPriority w:val="99"/>
    <w:semiHidden/>
    <w:unhideWhenUsed/>
    <w:rsid w:val="00C64FC7"/>
  </w:style>
  <w:style w:type="numbering" w:customStyle="1" w:styleId="NoList6212">
    <w:name w:val="No List6212"/>
    <w:next w:val="NoList"/>
    <w:uiPriority w:val="99"/>
    <w:semiHidden/>
    <w:unhideWhenUsed/>
    <w:rsid w:val="00C64FC7"/>
  </w:style>
  <w:style w:type="table" w:customStyle="1" w:styleId="MediumGrid1-Accent16212">
    <w:name w:val="Medium Grid 1 - Accent 162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212">
    <w:name w:val="Light Grid - Accent 1162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212">
    <w:name w:val="Light Grid - Accent 562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212">
    <w:name w:val="Light Grid - Accent 126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212">
    <w:name w:val="Light List - Accent 562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212">
    <w:name w:val="Light List - Accent 1162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212">
    <w:name w:val="Light Grid - Accent 1362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212">
    <w:name w:val="Medium Grid 1 - Accent 362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212">
    <w:name w:val="No List13212"/>
    <w:next w:val="NoList"/>
    <w:uiPriority w:val="99"/>
    <w:semiHidden/>
    <w:unhideWhenUsed/>
    <w:rsid w:val="00C64FC7"/>
  </w:style>
  <w:style w:type="numbering" w:customStyle="1" w:styleId="NoList23212">
    <w:name w:val="No List23212"/>
    <w:next w:val="NoList"/>
    <w:uiPriority w:val="99"/>
    <w:semiHidden/>
    <w:unhideWhenUsed/>
    <w:rsid w:val="00C64FC7"/>
  </w:style>
  <w:style w:type="numbering" w:customStyle="1" w:styleId="NoList33212">
    <w:name w:val="No List33212"/>
    <w:next w:val="NoList"/>
    <w:uiPriority w:val="99"/>
    <w:semiHidden/>
    <w:unhideWhenUsed/>
    <w:rsid w:val="00C64FC7"/>
  </w:style>
  <w:style w:type="numbering" w:customStyle="1" w:styleId="NoList912">
    <w:name w:val="No List912"/>
    <w:next w:val="NoList"/>
    <w:uiPriority w:val="99"/>
    <w:semiHidden/>
    <w:unhideWhenUsed/>
    <w:rsid w:val="00C64FC7"/>
  </w:style>
  <w:style w:type="table" w:customStyle="1" w:styleId="TableGrid712">
    <w:name w:val="Table Grid7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512">
    <w:name w:val="Medium Grid 3 - Accent 1512"/>
    <w:basedOn w:val="TableNormal"/>
    <w:next w:val="MediumGrid3-Accent1"/>
    <w:uiPriority w:val="69"/>
    <w:locked/>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912">
    <w:name w:val="Medium Grid 1 - Accent 191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912">
    <w:name w:val="Light Grid - Accent 1191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912">
    <w:name w:val="Light Grid - Accent 591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912">
    <w:name w:val="Light Grid - Accent 1291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912">
    <w:name w:val="Light List - Accent 591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912">
    <w:name w:val="Light List - Accent 1191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912">
    <w:name w:val="Light Grid - Accent 139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912">
    <w:name w:val="Medium Grid 1 - Accent 39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612">
    <w:name w:val="No List1612"/>
    <w:next w:val="NoList"/>
    <w:uiPriority w:val="99"/>
    <w:semiHidden/>
    <w:unhideWhenUsed/>
    <w:rsid w:val="00C64FC7"/>
  </w:style>
  <w:style w:type="table" w:customStyle="1" w:styleId="MediumGrid1-Accent11512">
    <w:name w:val="Medium Grid 1 - Accent 115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512">
    <w:name w:val="Light Grid - Accent 1115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512">
    <w:name w:val="Light Grid - Accent 515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512">
    <w:name w:val="Light Grid - Accent 1215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512">
    <w:name w:val="Light List - Accent 515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512">
    <w:name w:val="Light List - Accent 1115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512">
    <w:name w:val="Light Grid - Accent 1315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512">
    <w:name w:val="Medium Grid 1 - Accent 315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512">
    <w:name w:val="Grid Table 4 - Accent 315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612">
    <w:name w:val="No List2612"/>
    <w:next w:val="NoList"/>
    <w:uiPriority w:val="99"/>
    <w:semiHidden/>
    <w:unhideWhenUsed/>
    <w:rsid w:val="00C64FC7"/>
  </w:style>
  <w:style w:type="table" w:customStyle="1" w:styleId="MediumGrid1-Accent12512">
    <w:name w:val="Medium Grid 1 - Accent 125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512">
    <w:name w:val="Light Grid - Accent 1125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512">
    <w:name w:val="Light Grid - Accent 525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512">
    <w:name w:val="Light Grid - Accent 1225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512">
    <w:name w:val="Light List - Accent 525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512">
    <w:name w:val="Light List - Accent 1125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512">
    <w:name w:val="Light Grid - Accent 1325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512">
    <w:name w:val="Medium Grid 1 - Accent 325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512">
    <w:name w:val="Grid Table 4 Accent 315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612">
    <w:name w:val="No List3612"/>
    <w:next w:val="NoList"/>
    <w:uiPriority w:val="99"/>
    <w:semiHidden/>
    <w:unhideWhenUsed/>
    <w:rsid w:val="00C64FC7"/>
  </w:style>
  <w:style w:type="table" w:customStyle="1" w:styleId="MediumGrid1-Accent13512">
    <w:name w:val="Medium Grid 1 - Accent 135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512">
    <w:name w:val="Light Grid - Accent 1135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512">
    <w:name w:val="Light Grid - Accent 535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512">
    <w:name w:val="Light Grid - Accent 1235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512">
    <w:name w:val="Light List - Accent 535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512">
    <w:name w:val="Light List - Accent 1135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512">
    <w:name w:val="Light Grid - Accent 1335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512">
    <w:name w:val="Medium Grid 1 - Accent 335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512">
    <w:name w:val="Grid Table 4 Accent 325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512">
    <w:name w:val="Table Grid151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NoList"/>
    <w:uiPriority w:val="99"/>
    <w:semiHidden/>
    <w:unhideWhenUsed/>
    <w:rsid w:val="00C64FC7"/>
  </w:style>
  <w:style w:type="table" w:customStyle="1" w:styleId="MediumGrid1-Accent14312">
    <w:name w:val="Medium Grid 1 - Accent 143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312">
    <w:name w:val="Light Grid - Accent 1143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312">
    <w:name w:val="Light Grid - Accent 543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312">
    <w:name w:val="Light Grid - Accent 124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312">
    <w:name w:val="Light List - Accent 543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312">
    <w:name w:val="Light List - Accent 1143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312">
    <w:name w:val="Light Grid - Accent 134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312">
    <w:name w:val="Medium Grid 1 - Accent 343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312">
    <w:name w:val="Table Grid213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312">
    <w:name w:val="Medium Grid 3 - Accent 1131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312">
    <w:name w:val="No List11312"/>
    <w:next w:val="NoList"/>
    <w:uiPriority w:val="99"/>
    <w:semiHidden/>
    <w:unhideWhenUsed/>
    <w:rsid w:val="00C64FC7"/>
  </w:style>
  <w:style w:type="table" w:customStyle="1" w:styleId="MediumGrid1-Accent111312">
    <w:name w:val="Medium Grid 1 - Accent 1113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312">
    <w:name w:val="Light Grid - Accent 111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312">
    <w:name w:val="Light Grid - Accent 5113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312">
    <w:name w:val="Light Grid - Accent 121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312">
    <w:name w:val="Light List - Accent 5113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312">
    <w:name w:val="Light List - Accent 11113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312">
    <w:name w:val="Light Grid - Accent 131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312">
    <w:name w:val="Medium Grid 1 - Accent 3113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312">
    <w:name w:val="Grid Table 4 - Accent 3113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312">
    <w:name w:val="No List21312"/>
    <w:next w:val="NoList"/>
    <w:uiPriority w:val="99"/>
    <w:semiHidden/>
    <w:unhideWhenUsed/>
    <w:rsid w:val="00C64FC7"/>
  </w:style>
  <w:style w:type="table" w:customStyle="1" w:styleId="MediumGrid1-Accent121312">
    <w:name w:val="Medium Grid 1 - Accent 1213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312">
    <w:name w:val="Light Grid - Accent 11213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312">
    <w:name w:val="Light Grid - Accent 5213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312">
    <w:name w:val="Light Grid - Accent 122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312">
    <w:name w:val="Light List - Accent 5213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1312">
    <w:name w:val="Light List - Accent 11213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1312">
    <w:name w:val="Light Grid - Accent 132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1312">
    <w:name w:val="Medium Grid 1 - Accent 3213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1312">
    <w:name w:val="Grid Table 4 Accent 3113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1312">
    <w:name w:val="No List31312"/>
    <w:next w:val="NoList"/>
    <w:uiPriority w:val="99"/>
    <w:semiHidden/>
    <w:unhideWhenUsed/>
    <w:rsid w:val="00C64FC7"/>
  </w:style>
  <w:style w:type="table" w:customStyle="1" w:styleId="MediumGrid1-Accent131312">
    <w:name w:val="Medium Grid 1 - Accent 1313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1312">
    <w:name w:val="Light Grid - Accent 11313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1312">
    <w:name w:val="Light Grid - Accent 5313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1312">
    <w:name w:val="Light Grid - Accent 123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1312">
    <w:name w:val="Light List - Accent 5313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1312">
    <w:name w:val="Light List - Accent 11313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1312">
    <w:name w:val="Light Grid - Accent 1331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1312">
    <w:name w:val="Medium Grid 1 - Accent 3313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1312">
    <w:name w:val="Grid Table 4 Accent 3213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1312">
    <w:name w:val="Table Grid1131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2">
    <w:name w:val="No List5312"/>
    <w:next w:val="NoList"/>
    <w:uiPriority w:val="99"/>
    <w:semiHidden/>
    <w:unhideWhenUsed/>
    <w:rsid w:val="00C64FC7"/>
  </w:style>
  <w:style w:type="table" w:customStyle="1" w:styleId="MediumGrid1-Accent15312">
    <w:name w:val="Medium Grid 1 - Accent 153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5312">
    <w:name w:val="Light Grid - Accent 1153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5312">
    <w:name w:val="Light Grid - Accent 553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5312">
    <w:name w:val="Light Grid - Accent 125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5312">
    <w:name w:val="Light List - Accent 553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5312">
    <w:name w:val="Light List - Accent 1153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5312">
    <w:name w:val="Light Grid - Accent 135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5312">
    <w:name w:val="Medium Grid 1 - Accent 353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2312">
    <w:name w:val="No List12312"/>
    <w:next w:val="NoList"/>
    <w:uiPriority w:val="99"/>
    <w:semiHidden/>
    <w:unhideWhenUsed/>
    <w:rsid w:val="00C64FC7"/>
  </w:style>
  <w:style w:type="numbering" w:customStyle="1" w:styleId="NoList22312">
    <w:name w:val="No List22312"/>
    <w:next w:val="NoList"/>
    <w:uiPriority w:val="99"/>
    <w:semiHidden/>
    <w:unhideWhenUsed/>
    <w:rsid w:val="00C64FC7"/>
  </w:style>
  <w:style w:type="numbering" w:customStyle="1" w:styleId="NoList32312">
    <w:name w:val="No List32312"/>
    <w:next w:val="NoList"/>
    <w:uiPriority w:val="99"/>
    <w:semiHidden/>
    <w:unhideWhenUsed/>
    <w:rsid w:val="00C64FC7"/>
  </w:style>
  <w:style w:type="numbering" w:customStyle="1" w:styleId="NoList6312">
    <w:name w:val="No List6312"/>
    <w:next w:val="NoList"/>
    <w:uiPriority w:val="99"/>
    <w:semiHidden/>
    <w:unhideWhenUsed/>
    <w:rsid w:val="00C64FC7"/>
  </w:style>
  <w:style w:type="table" w:customStyle="1" w:styleId="MediumGrid1-Accent16312">
    <w:name w:val="Medium Grid 1 - Accent 163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6312">
    <w:name w:val="Light Grid - Accent 1163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6312">
    <w:name w:val="Light Grid - Accent 563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6312">
    <w:name w:val="Light Grid - Accent 126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6312">
    <w:name w:val="Light List - Accent 563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6312">
    <w:name w:val="Light List - Accent 1163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6312">
    <w:name w:val="Light Grid - Accent 1363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6312">
    <w:name w:val="Medium Grid 1 - Accent 363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numbering" w:customStyle="1" w:styleId="NoList13312">
    <w:name w:val="No List13312"/>
    <w:next w:val="NoList"/>
    <w:uiPriority w:val="99"/>
    <w:semiHidden/>
    <w:unhideWhenUsed/>
    <w:rsid w:val="00C64FC7"/>
  </w:style>
  <w:style w:type="numbering" w:customStyle="1" w:styleId="NoList23312">
    <w:name w:val="No List23312"/>
    <w:next w:val="NoList"/>
    <w:uiPriority w:val="99"/>
    <w:semiHidden/>
    <w:unhideWhenUsed/>
    <w:rsid w:val="00C64FC7"/>
  </w:style>
  <w:style w:type="numbering" w:customStyle="1" w:styleId="NoList33312">
    <w:name w:val="No List33312"/>
    <w:next w:val="NoList"/>
    <w:uiPriority w:val="99"/>
    <w:semiHidden/>
    <w:unhideWhenUsed/>
    <w:rsid w:val="00C64FC7"/>
  </w:style>
  <w:style w:type="numbering" w:customStyle="1" w:styleId="NoList1012">
    <w:name w:val="No List1012"/>
    <w:next w:val="NoList"/>
    <w:uiPriority w:val="99"/>
    <w:semiHidden/>
    <w:unhideWhenUsed/>
    <w:rsid w:val="00C64FC7"/>
  </w:style>
  <w:style w:type="table" w:customStyle="1" w:styleId="TableGrid812">
    <w:name w:val="Table Grid8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612">
    <w:name w:val="Medium Grid 3 - Accent 161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1-Accent11012">
    <w:name w:val="Medium Grid 1 - Accent 11012"/>
    <w:basedOn w:val="TableNormal"/>
    <w:next w:val="MediumGrid1-Accent1"/>
    <w:uiPriority w:val="67"/>
    <w:rsid w:val="00C64FC7"/>
    <w:pPr>
      <w:jc w:val="both"/>
    </w:pPr>
    <w:rPr>
      <w:rFonts w:ascii="Times New Roman" w:eastAsia="Calibri" w:hAnsi="Times New Roman"/>
      <w:lang w:val="en-IN" w:bidi="hi-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012">
    <w:name w:val="Light Grid - Accent 111012"/>
    <w:basedOn w:val="TableNormal"/>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012">
    <w:name w:val="Light Grid - Accent 51012"/>
    <w:basedOn w:val="TableNormal"/>
    <w:next w:val="LightGrid-Accent5"/>
    <w:uiPriority w:val="62"/>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012">
    <w:name w:val="Light Grid - Accent 121012"/>
    <w:basedOn w:val="TableNormal"/>
    <w:uiPriority w:val="62"/>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012">
    <w:name w:val="Light List - Accent 51012"/>
    <w:basedOn w:val="TableNormal"/>
    <w:next w:val="LightList-Accent5"/>
    <w:uiPriority w:val="61"/>
    <w:rsid w:val="00C64FC7"/>
    <w:pPr>
      <w:jc w:val="both"/>
    </w:pPr>
    <w:rPr>
      <w:rFonts w:ascii="Calibri" w:eastAsia="Calibri" w:hAnsi="Calibri"/>
      <w:sz w:val="20"/>
      <w:szCs w:val="20"/>
      <w:lang w:val="en-US" w:bidi="hi-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012">
    <w:name w:val="Light List - Accent 111012"/>
    <w:basedOn w:val="TableNormal"/>
    <w:uiPriority w:val="61"/>
    <w:rsid w:val="00C64FC7"/>
    <w:pPr>
      <w:jc w:val="both"/>
    </w:pPr>
    <w:rPr>
      <w:rFonts w:ascii="Times New Roman" w:eastAsia="Calibri" w:hAnsi="Times New Roman"/>
      <w:lang w:val="en-IN" w:bidi="hi-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012">
    <w:name w:val="Light Grid - Accent 1310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012">
    <w:name w:val="Medium Grid 1 - Accent 310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NoList1712">
    <w:name w:val="No List1712"/>
    <w:next w:val="NoList"/>
    <w:uiPriority w:val="99"/>
    <w:semiHidden/>
    <w:unhideWhenUsed/>
    <w:rsid w:val="00C64FC7"/>
  </w:style>
  <w:style w:type="table" w:customStyle="1" w:styleId="MediumGrid1-Accent11612">
    <w:name w:val="Medium Grid 1 - Accent 116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612">
    <w:name w:val="Light Grid - Accent 1116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612">
    <w:name w:val="Light Grid - Accent 516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612">
    <w:name w:val="Light Grid - Accent 1216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612">
    <w:name w:val="Light List - Accent 516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612">
    <w:name w:val="Light List - Accent 1116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612">
    <w:name w:val="Light Grid - Accent 1316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612">
    <w:name w:val="Medium Grid 1 - Accent 316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612">
    <w:name w:val="Grid Table 4 - Accent 316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712">
    <w:name w:val="No List2712"/>
    <w:next w:val="NoList"/>
    <w:uiPriority w:val="99"/>
    <w:semiHidden/>
    <w:unhideWhenUsed/>
    <w:rsid w:val="00C64FC7"/>
  </w:style>
  <w:style w:type="table" w:customStyle="1" w:styleId="MediumGrid1-Accent12612">
    <w:name w:val="Medium Grid 1 - Accent 126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612">
    <w:name w:val="Light Grid - Accent 1126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612">
    <w:name w:val="Light Grid - Accent 526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612">
    <w:name w:val="Light Grid - Accent 1226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612">
    <w:name w:val="Light List - Accent 526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2612">
    <w:name w:val="Light List - Accent 1126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2612">
    <w:name w:val="Light Grid - Accent 1326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2612">
    <w:name w:val="Medium Grid 1 - Accent 326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1612">
    <w:name w:val="Grid Table 4 Accent 316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3712">
    <w:name w:val="No List3712"/>
    <w:next w:val="NoList"/>
    <w:uiPriority w:val="99"/>
    <w:semiHidden/>
    <w:unhideWhenUsed/>
    <w:rsid w:val="00C64FC7"/>
  </w:style>
  <w:style w:type="table" w:customStyle="1" w:styleId="MediumGrid1-Accent13612">
    <w:name w:val="Medium Grid 1 - Accent 136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3612">
    <w:name w:val="Light Grid - Accent 1136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3612">
    <w:name w:val="Light Grid - Accent 536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3612">
    <w:name w:val="Light Grid - Accent 1236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3612">
    <w:name w:val="Light List - Accent 536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3612">
    <w:name w:val="Light List - Accent 1136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3612">
    <w:name w:val="Light Grid - Accent 1336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3612">
    <w:name w:val="Medium Grid 1 - Accent 336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4Accent32612">
    <w:name w:val="Grid Table 4 Accent 326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612">
    <w:name w:val="Table Grid1612"/>
    <w:basedOn w:val="TableNormal"/>
    <w:next w:val="TableGrid"/>
    <w:uiPriority w:val="39"/>
    <w:rsid w:val="00C64FC7"/>
    <w:rPr>
      <w:rFonts w:ascii="Calibri" w:eastAsia="Calibri" w:hAnsi="Calibri" w:cs="Vrinda"/>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2">
    <w:name w:val="Table Grid2512"/>
    <w:basedOn w:val="TableNormal"/>
    <w:next w:val="TableGrid"/>
    <w:uiPriority w:val="59"/>
    <w:rsid w:val="00C64FC7"/>
    <w:pPr>
      <w:jc w:val="both"/>
    </w:pPr>
    <w:rPr>
      <w:rFonts w:ascii="Calibri" w:eastAsia="Calibri" w:hAnsi="Calibri" w:cs="Mangal"/>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2">
    <w:name w:val="No List4412"/>
    <w:next w:val="NoList"/>
    <w:uiPriority w:val="99"/>
    <w:semiHidden/>
    <w:unhideWhenUsed/>
    <w:rsid w:val="00C64FC7"/>
  </w:style>
  <w:style w:type="table" w:customStyle="1" w:styleId="MediumGrid1-Accent14412">
    <w:name w:val="Medium Grid 1 - Accent 144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4412">
    <w:name w:val="Light Grid - Accent 1144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4412">
    <w:name w:val="Light Grid - Accent 544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4412">
    <w:name w:val="Light Grid - Accent 124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4412">
    <w:name w:val="Light List - Accent 544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114412">
    <w:name w:val="Light List - Accent 1144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Grid-Accent134412">
    <w:name w:val="Light Grid - Accent 134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MediumGrid1-Accent34412">
    <w:name w:val="Medium Grid 1 - Accent 344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108" w:type="dxa"/>
        <w:bottom w:w="0" w:type="dxa"/>
        <w:right w:w="108" w:type="dxa"/>
      </w:tblCellMar>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21412">
    <w:name w:val="Table Grid21412"/>
    <w:basedOn w:val="TableNormal"/>
    <w:next w:val="TableGrid"/>
    <w:uiPriority w:val="39"/>
    <w:rsid w:val="00C64FC7"/>
    <w:rPr>
      <w:rFonts w:ascii="Times New Roman" w:eastAsia="Times New Roman" w:hAnsi="Times New Roman"/>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Accent11412">
    <w:name w:val="Medium Grid 3 - Accent 11412"/>
    <w:basedOn w:val="TableNormal"/>
    <w:next w:val="MediumGrid3-Accent1"/>
    <w:uiPriority w:val="69"/>
    <w:rsid w:val="00C64FC7"/>
    <w:rPr>
      <w:rFonts w:ascii="Times New Roman" w:eastAsia="Calibri" w:hAnsi="Times New Roman"/>
      <w:szCs w:val="20"/>
      <w:lang w:bidi="hi-I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11412">
    <w:name w:val="No List11412"/>
    <w:next w:val="NoList"/>
    <w:uiPriority w:val="99"/>
    <w:semiHidden/>
    <w:unhideWhenUsed/>
    <w:rsid w:val="00C64FC7"/>
  </w:style>
  <w:style w:type="table" w:customStyle="1" w:styleId="MediumGrid1-Accent111412">
    <w:name w:val="Medium Grid 1 - Accent 1114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11412">
    <w:name w:val="Light Grid - Accent 1111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11412">
    <w:name w:val="Light Grid - Accent 511412"/>
    <w:basedOn w:val="TableNormal"/>
    <w:next w:val="LightGrid-Accent5"/>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1211412">
    <w:name w:val="Light Grid - Accent 1211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511412">
    <w:name w:val="Light List - Accent 511412"/>
    <w:basedOn w:val="TableNormal"/>
    <w:next w:val="LightList-Accent5"/>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11412">
    <w:name w:val="Light List - Accent 1111412"/>
    <w:basedOn w:val="TableNormal"/>
    <w:uiPriority w:val="61"/>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11412">
    <w:name w:val="Light Grid - Accent 1311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1-Accent311412">
    <w:name w:val="Medium Grid 1 - Accent 311412"/>
    <w:basedOn w:val="TableNormal"/>
    <w:next w:val="MediumGrid1-Accent3"/>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dTable4-Accent311412">
    <w:name w:val="Grid Table 4 - Accent 311412"/>
    <w:basedOn w:val="TableNormal"/>
    <w:uiPriority w:val="49"/>
    <w:rsid w:val="00C64FC7"/>
    <w:pPr>
      <w:jc w:val="both"/>
    </w:pPr>
    <w:rPr>
      <w:rFonts w:ascii="Times New Roman" w:eastAsia="Calibri" w:hAnsi="Times New Roman"/>
      <w:lang w:val="en-IN"/>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NoList21412">
    <w:name w:val="No List21412"/>
    <w:next w:val="NoList"/>
    <w:uiPriority w:val="99"/>
    <w:semiHidden/>
    <w:unhideWhenUsed/>
    <w:rsid w:val="00C64FC7"/>
  </w:style>
  <w:style w:type="table" w:customStyle="1" w:styleId="MediumGrid1-Accent121412">
    <w:name w:val="Medium Grid 1 - Accent 121412"/>
    <w:basedOn w:val="TableNormal"/>
    <w:next w:val="MediumGrid1-Accent1"/>
    <w:uiPriority w:val="67"/>
    <w:rsid w:val="00C64FC7"/>
    <w:pPr>
      <w:jc w:val="both"/>
    </w:pPr>
    <w:rPr>
      <w:rFonts w:ascii="Times New Roman" w:eastAsia="Calibri" w:hAnsi="Times New Roman"/>
      <w:lang w:val="en-IN"/>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LightGrid-Accent1121412">
    <w:name w:val="Light Grid - Accent 1121412"/>
    <w:basedOn w:val="TableNormal"/>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521412">
    <w:name w:val="Light Grid - Accent 521412"/>
    <w:basedOn w:val="TableNormal"/>
    <w:next w:val="LightGrid-Accent5"/>
    <w:uiPriority w:val="62"/>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Vrind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1221412">
    <w:name w:val="Light Grid - Accent 1221412"/>
    <w:basedOn w:val="TableNormal"/>
    <w:uiPriority w:val="62"/>
    <w:rsid w:val="00C64FC7"/>
    <w:pPr>
      <w:jc w:val="both"/>
    </w:pPr>
    <w:rPr>
      <w:rFonts w:ascii="Times New Roman" w:eastAsia="Calibri" w:hAnsi="Times New Roman"/>
      <w:lang w:val="en-IN"/>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Vrind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Vrind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Vrinda"/>
        <w:b/>
        <w:bCs/>
      </w:rPr>
    </w:tblStylePr>
    <w:tblStylePr w:type="lastCol">
      <w:rPr>
        <w:rFonts w:ascii="Calibri Light" w:eastAsia="Times New Roman" w:hAnsi="Calibri Light" w:cs="Vrind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List-Accent521412">
    <w:name w:val="Light List - Accent 521412"/>
    <w:basedOn w:val="TableNormal"/>
    <w:next w:val="LightList-Accent5"/>
    <w:uiPriority w:val="61"/>
    <w:rsid w:val="00C64FC7"/>
    <w:pPr>
      <w:jc w:val="both"/>
    </w:pPr>
    <w:rPr>
      <w:rFonts w:ascii="Calibri" w:eastAsia="Calibri" w:hAnsi="Calibri" w:cs="Vrinda"/>
      <w:sz w:val="22"/>
      <w:szCs w:val="22"/>
      <w:lang w:val="en-US"/>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5855">
      <w:bodyDiv w:val="1"/>
      <w:marLeft w:val="0"/>
      <w:marRight w:val="0"/>
      <w:marTop w:val="0"/>
      <w:marBottom w:val="0"/>
      <w:divBdr>
        <w:top w:val="none" w:sz="0" w:space="0" w:color="auto"/>
        <w:left w:val="none" w:sz="0" w:space="0" w:color="auto"/>
        <w:bottom w:val="none" w:sz="0" w:space="0" w:color="auto"/>
        <w:right w:val="none" w:sz="0" w:space="0" w:color="auto"/>
      </w:divBdr>
    </w:div>
    <w:div w:id="42826555">
      <w:bodyDiv w:val="1"/>
      <w:marLeft w:val="0"/>
      <w:marRight w:val="0"/>
      <w:marTop w:val="0"/>
      <w:marBottom w:val="0"/>
      <w:divBdr>
        <w:top w:val="none" w:sz="0" w:space="0" w:color="auto"/>
        <w:left w:val="none" w:sz="0" w:space="0" w:color="auto"/>
        <w:bottom w:val="none" w:sz="0" w:space="0" w:color="auto"/>
        <w:right w:val="none" w:sz="0" w:space="0" w:color="auto"/>
      </w:divBdr>
    </w:div>
    <w:div w:id="58673668">
      <w:bodyDiv w:val="1"/>
      <w:marLeft w:val="0"/>
      <w:marRight w:val="0"/>
      <w:marTop w:val="0"/>
      <w:marBottom w:val="0"/>
      <w:divBdr>
        <w:top w:val="none" w:sz="0" w:space="0" w:color="auto"/>
        <w:left w:val="none" w:sz="0" w:space="0" w:color="auto"/>
        <w:bottom w:val="none" w:sz="0" w:space="0" w:color="auto"/>
        <w:right w:val="none" w:sz="0" w:space="0" w:color="auto"/>
      </w:divBdr>
    </w:div>
    <w:div w:id="63068729">
      <w:bodyDiv w:val="1"/>
      <w:marLeft w:val="0"/>
      <w:marRight w:val="0"/>
      <w:marTop w:val="0"/>
      <w:marBottom w:val="0"/>
      <w:divBdr>
        <w:top w:val="none" w:sz="0" w:space="0" w:color="auto"/>
        <w:left w:val="none" w:sz="0" w:space="0" w:color="auto"/>
        <w:bottom w:val="none" w:sz="0" w:space="0" w:color="auto"/>
        <w:right w:val="none" w:sz="0" w:space="0" w:color="auto"/>
      </w:divBdr>
    </w:div>
    <w:div w:id="73279492">
      <w:bodyDiv w:val="1"/>
      <w:marLeft w:val="0"/>
      <w:marRight w:val="0"/>
      <w:marTop w:val="0"/>
      <w:marBottom w:val="0"/>
      <w:divBdr>
        <w:top w:val="none" w:sz="0" w:space="0" w:color="auto"/>
        <w:left w:val="none" w:sz="0" w:space="0" w:color="auto"/>
        <w:bottom w:val="none" w:sz="0" w:space="0" w:color="auto"/>
        <w:right w:val="none" w:sz="0" w:space="0" w:color="auto"/>
      </w:divBdr>
    </w:div>
    <w:div w:id="87847649">
      <w:bodyDiv w:val="1"/>
      <w:marLeft w:val="0"/>
      <w:marRight w:val="0"/>
      <w:marTop w:val="0"/>
      <w:marBottom w:val="0"/>
      <w:divBdr>
        <w:top w:val="none" w:sz="0" w:space="0" w:color="auto"/>
        <w:left w:val="none" w:sz="0" w:space="0" w:color="auto"/>
        <w:bottom w:val="none" w:sz="0" w:space="0" w:color="auto"/>
        <w:right w:val="none" w:sz="0" w:space="0" w:color="auto"/>
      </w:divBdr>
    </w:div>
    <w:div w:id="94207537">
      <w:bodyDiv w:val="1"/>
      <w:marLeft w:val="0"/>
      <w:marRight w:val="0"/>
      <w:marTop w:val="0"/>
      <w:marBottom w:val="0"/>
      <w:divBdr>
        <w:top w:val="none" w:sz="0" w:space="0" w:color="auto"/>
        <w:left w:val="none" w:sz="0" w:space="0" w:color="auto"/>
        <w:bottom w:val="none" w:sz="0" w:space="0" w:color="auto"/>
        <w:right w:val="none" w:sz="0" w:space="0" w:color="auto"/>
      </w:divBdr>
    </w:div>
    <w:div w:id="137772914">
      <w:bodyDiv w:val="1"/>
      <w:marLeft w:val="0"/>
      <w:marRight w:val="0"/>
      <w:marTop w:val="0"/>
      <w:marBottom w:val="0"/>
      <w:divBdr>
        <w:top w:val="none" w:sz="0" w:space="0" w:color="auto"/>
        <w:left w:val="none" w:sz="0" w:space="0" w:color="auto"/>
        <w:bottom w:val="none" w:sz="0" w:space="0" w:color="auto"/>
        <w:right w:val="none" w:sz="0" w:space="0" w:color="auto"/>
      </w:divBdr>
    </w:div>
    <w:div w:id="142619773">
      <w:bodyDiv w:val="1"/>
      <w:marLeft w:val="0"/>
      <w:marRight w:val="0"/>
      <w:marTop w:val="0"/>
      <w:marBottom w:val="0"/>
      <w:divBdr>
        <w:top w:val="none" w:sz="0" w:space="0" w:color="auto"/>
        <w:left w:val="none" w:sz="0" w:space="0" w:color="auto"/>
        <w:bottom w:val="none" w:sz="0" w:space="0" w:color="auto"/>
        <w:right w:val="none" w:sz="0" w:space="0" w:color="auto"/>
      </w:divBdr>
    </w:div>
    <w:div w:id="145169973">
      <w:bodyDiv w:val="1"/>
      <w:marLeft w:val="0"/>
      <w:marRight w:val="0"/>
      <w:marTop w:val="0"/>
      <w:marBottom w:val="0"/>
      <w:divBdr>
        <w:top w:val="none" w:sz="0" w:space="0" w:color="auto"/>
        <w:left w:val="none" w:sz="0" w:space="0" w:color="auto"/>
        <w:bottom w:val="none" w:sz="0" w:space="0" w:color="auto"/>
        <w:right w:val="none" w:sz="0" w:space="0" w:color="auto"/>
      </w:divBdr>
    </w:div>
    <w:div w:id="145899346">
      <w:bodyDiv w:val="1"/>
      <w:marLeft w:val="0"/>
      <w:marRight w:val="0"/>
      <w:marTop w:val="0"/>
      <w:marBottom w:val="0"/>
      <w:divBdr>
        <w:top w:val="none" w:sz="0" w:space="0" w:color="auto"/>
        <w:left w:val="none" w:sz="0" w:space="0" w:color="auto"/>
        <w:bottom w:val="none" w:sz="0" w:space="0" w:color="auto"/>
        <w:right w:val="none" w:sz="0" w:space="0" w:color="auto"/>
      </w:divBdr>
    </w:div>
    <w:div w:id="147285965">
      <w:bodyDiv w:val="1"/>
      <w:marLeft w:val="0"/>
      <w:marRight w:val="0"/>
      <w:marTop w:val="0"/>
      <w:marBottom w:val="0"/>
      <w:divBdr>
        <w:top w:val="none" w:sz="0" w:space="0" w:color="auto"/>
        <w:left w:val="none" w:sz="0" w:space="0" w:color="auto"/>
        <w:bottom w:val="none" w:sz="0" w:space="0" w:color="auto"/>
        <w:right w:val="none" w:sz="0" w:space="0" w:color="auto"/>
      </w:divBdr>
    </w:div>
    <w:div w:id="160778333">
      <w:bodyDiv w:val="1"/>
      <w:marLeft w:val="0"/>
      <w:marRight w:val="0"/>
      <w:marTop w:val="0"/>
      <w:marBottom w:val="0"/>
      <w:divBdr>
        <w:top w:val="none" w:sz="0" w:space="0" w:color="auto"/>
        <w:left w:val="none" w:sz="0" w:space="0" w:color="auto"/>
        <w:bottom w:val="none" w:sz="0" w:space="0" w:color="auto"/>
        <w:right w:val="none" w:sz="0" w:space="0" w:color="auto"/>
      </w:divBdr>
    </w:div>
    <w:div w:id="185217778">
      <w:bodyDiv w:val="1"/>
      <w:marLeft w:val="0"/>
      <w:marRight w:val="0"/>
      <w:marTop w:val="0"/>
      <w:marBottom w:val="0"/>
      <w:divBdr>
        <w:top w:val="none" w:sz="0" w:space="0" w:color="auto"/>
        <w:left w:val="none" w:sz="0" w:space="0" w:color="auto"/>
        <w:bottom w:val="none" w:sz="0" w:space="0" w:color="auto"/>
        <w:right w:val="none" w:sz="0" w:space="0" w:color="auto"/>
      </w:divBdr>
    </w:div>
    <w:div w:id="215050540">
      <w:bodyDiv w:val="1"/>
      <w:marLeft w:val="0"/>
      <w:marRight w:val="0"/>
      <w:marTop w:val="0"/>
      <w:marBottom w:val="0"/>
      <w:divBdr>
        <w:top w:val="none" w:sz="0" w:space="0" w:color="auto"/>
        <w:left w:val="none" w:sz="0" w:space="0" w:color="auto"/>
        <w:bottom w:val="none" w:sz="0" w:space="0" w:color="auto"/>
        <w:right w:val="none" w:sz="0" w:space="0" w:color="auto"/>
      </w:divBdr>
    </w:div>
    <w:div w:id="220485982">
      <w:bodyDiv w:val="1"/>
      <w:marLeft w:val="0"/>
      <w:marRight w:val="0"/>
      <w:marTop w:val="0"/>
      <w:marBottom w:val="0"/>
      <w:divBdr>
        <w:top w:val="none" w:sz="0" w:space="0" w:color="auto"/>
        <w:left w:val="none" w:sz="0" w:space="0" w:color="auto"/>
        <w:bottom w:val="none" w:sz="0" w:space="0" w:color="auto"/>
        <w:right w:val="none" w:sz="0" w:space="0" w:color="auto"/>
      </w:divBdr>
    </w:div>
    <w:div w:id="224611064">
      <w:bodyDiv w:val="1"/>
      <w:marLeft w:val="0"/>
      <w:marRight w:val="0"/>
      <w:marTop w:val="0"/>
      <w:marBottom w:val="0"/>
      <w:divBdr>
        <w:top w:val="none" w:sz="0" w:space="0" w:color="auto"/>
        <w:left w:val="none" w:sz="0" w:space="0" w:color="auto"/>
        <w:bottom w:val="none" w:sz="0" w:space="0" w:color="auto"/>
        <w:right w:val="none" w:sz="0" w:space="0" w:color="auto"/>
      </w:divBdr>
    </w:div>
    <w:div w:id="231279912">
      <w:bodyDiv w:val="1"/>
      <w:marLeft w:val="0"/>
      <w:marRight w:val="0"/>
      <w:marTop w:val="0"/>
      <w:marBottom w:val="0"/>
      <w:divBdr>
        <w:top w:val="none" w:sz="0" w:space="0" w:color="auto"/>
        <w:left w:val="none" w:sz="0" w:space="0" w:color="auto"/>
        <w:bottom w:val="none" w:sz="0" w:space="0" w:color="auto"/>
        <w:right w:val="none" w:sz="0" w:space="0" w:color="auto"/>
      </w:divBdr>
    </w:div>
    <w:div w:id="248513984">
      <w:bodyDiv w:val="1"/>
      <w:marLeft w:val="0"/>
      <w:marRight w:val="0"/>
      <w:marTop w:val="0"/>
      <w:marBottom w:val="0"/>
      <w:divBdr>
        <w:top w:val="none" w:sz="0" w:space="0" w:color="auto"/>
        <w:left w:val="none" w:sz="0" w:space="0" w:color="auto"/>
        <w:bottom w:val="none" w:sz="0" w:space="0" w:color="auto"/>
        <w:right w:val="none" w:sz="0" w:space="0" w:color="auto"/>
      </w:divBdr>
    </w:div>
    <w:div w:id="264073735">
      <w:bodyDiv w:val="1"/>
      <w:marLeft w:val="0"/>
      <w:marRight w:val="0"/>
      <w:marTop w:val="0"/>
      <w:marBottom w:val="0"/>
      <w:divBdr>
        <w:top w:val="none" w:sz="0" w:space="0" w:color="auto"/>
        <w:left w:val="none" w:sz="0" w:space="0" w:color="auto"/>
        <w:bottom w:val="none" w:sz="0" w:space="0" w:color="auto"/>
        <w:right w:val="none" w:sz="0" w:space="0" w:color="auto"/>
      </w:divBdr>
    </w:div>
    <w:div w:id="266618758">
      <w:bodyDiv w:val="1"/>
      <w:marLeft w:val="0"/>
      <w:marRight w:val="0"/>
      <w:marTop w:val="0"/>
      <w:marBottom w:val="0"/>
      <w:divBdr>
        <w:top w:val="none" w:sz="0" w:space="0" w:color="auto"/>
        <w:left w:val="none" w:sz="0" w:space="0" w:color="auto"/>
        <w:bottom w:val="none" w:sz="0" w:space="0" w:color="auto"/>
        <w:right w:val="none" w:sz="0" w:space="0" w:color="auto"/>
      </w:divBdr>
    </w:div>
    <w:div w:id="274681859">
      <w:bodyDiv w:val="1"/>
      <w:marLeft w:val="0"/>
      <w:marRight w:val="0"/>
      <w:marTop w:val="0"/>
      <w:marBottom w:val="0"/>
      <w:divBdr>
        <w:top w:val="none" w:sz="0" w:space="0" w:color="auto"/>
        <w:left w:val="none" w:sz="0" w:space="0" w:color="auto"/>
        <w:bottom w:val="none" w:sz="0" w:space="0" w:color="auto"/>
        <w:right w:val="none" w:sz="0" w:space="0" w:color="auto"/>
      </w:divBdr>
    </w:div>
    <w:div w:id="298387686">
      <w:bodyDiv w:val="1"/>
      <w:marLeft w:val="0"/>
      <w:marRight w:val="0"/>
      <w:marTop w:val="0"/>
      <w:marBottom w:val="0"/>
      <w:divBdr>
        <w:top w:val="none" w:sz="0" w:space="0" w:color="auto"/>
        <w:left w:val="none" w:sz="0" w:space="0" w:color="auto"/>
        <w:bottom w:val="none" w:sz="0" w:space="0" w:color="auto"/>
        <w:right w:val="none" w:sz="0" w:space="0" w:color="auto"/>
      </w:divBdr>
    </w:div>
    <w:div w:id="307367007">
      <w:bodyDiv w:val="1"/>
      <w:marLeft w:val="0"/>
      <w:marRight w:val="0"/>
      <w:marTop w:val="0"/>
      <w:marBottom w:val="0"/>
      <w:divBdr>
        <w:top w:val="none" w:sz="0" w:space="0" w:color="auto"/>
        <w:left w:val="none" w:sz="0" w:space="0" w:color="auto"/>
        <w:bottom w:val="none" w:sz="0" w:space="0" w:color="auto"/>
        <w:right w:val="none" w:sz="0" w:space="0" w:color="auto"/>
      </w:divBdr>
    </w:div>
    <w:div w:id="344987816">
      <w:bodyDiv w:val="1"/>
      <w:marLeft w:val="0"/>
      <w:marRight w:val="0"/>
      <w:marTop w:val="0"/>
      <w:marBottom w:val="0"/>
      <w:divBdr>
        <w:top w:val="none" w:sz="0" w:space="0" w:color="auto"/>
        <w:left w:val="none" w:sz="0" w:space="0" w:color="auto"/>
        <w:bottom w:val="none" w:sz="0" w:space="0" w:color="auto"/>
        <w:right w:val="none" w:sz="0" w:space="0" w:color="auto"/>
      </w:divBdr>
    </w:div>
    <w:div w:id="346058761">
      <w:bodyDiv w:val="1"/>
      <w:marLeft w:val="0"/>
      <w:marRight w:val="0"/>
      <w:marTop w:val="0"/>
      <w:marBottom w:val="0"/>
      <w:divBdr>
        <w:top w:val="none" w:sz="0" w:space="0" w:color="auto"/>
        <w:left w:val="none" w:sz="0" w:space="0" w:color="auto"/>
        <w:bottom w:val="none" w:sz="0" w:space="0" w:color="auto"/>
        <w:right w:val="none" w:sz="0" w:space="0" w:color="auto"/>
      </w:divBdr>
    </w:div>
    <w:div w:id="349963144">
      <w:bodyDiv w:val="1"/>
      <w:marLeft w:val="0"/>
      <w:marRight w:val="0"/>
      <w:marTop w:val="0"/>
      <w:marBottom w:val="0"/>
      <w:divBdr>
        <w:top w:val="none" w:sz="0" w:space="0" w:color="auto"/>
        <w:left w:val="none" w:sz="0" w:space="0" w:color="auto"/>
        <w:bottom w:val="none" w:sz="0" w:space="0" w:color="auto"/>
        <w:right w:val="none" w:sz="0" w:space="0" w:color="auto"/>
      </w:divBdr>
    </w:div>
    <w:div w:id="351305404">
      <w:bodyDiv w:val="1"/>
      <w:marLeft w:val="0"/>
      <w:marRight w:val="0"/>
      <w:marTop w:val="0"/>
      <w:marBottom w:val="0"/>
      <w:divBdr>
        <w:top w:val="none" w:sz="0" w:space="0" w:color="auto"/>
        <w:left w:val="none" w:sz="0" w:space="0" w:color="auto"/>
        <w:bottom w:val="none" w:sz="0" w:space="0" w:color="auto"/>
        <w:right w:val="none" w:sz="0" w:space="0" w:color="auto"/>
      </w:divBdr>
    </w:div>
    <w:div w:id="352074282">
      <w:bodyDiv w:val="1"/>
      <w:marLeft w:val="0"/>
      <w:marRight w:val="0"/>
      <w:marTop w:val="0"/>
      <w:marBottom w:val="0"/>
      <w:divBdr>
        <w:top w:val="none" w:sz="0" w:space="0" w:color="auto"/>
        <w:left w:val="none" w:sz="0" w:space="0" w:color="auto"/>
        <w:bottom w:val="none" w:sz="0" w:space="0" w:color="auto"/>
        <w:right w:val="none" w:sz="0" w:space="0" w:color="auto"/>
      </w:divBdr>
    </w:div>
    <w:div w:id="409546945">
      <w:bodyDiv w:val="1"/>
      <w:marLeft w:val="0"/>
      <w:marRight w:val="0"/>
      <w:marTop w:val="0"/>
      <w:marBottom w:val="0"/>
      <w:divBdr>
        <w:top w:val="none" w:sz="0" w:space="0" w:color="auto"/>
        <w:left w:val="none" w:sz="0" w:space="0" w:color="auto"/>
        <w:bottom w:val="none" w:sz="0" w:space="0" w:color="auto"/>
        <w:right w:val="none" w:sz="0" w:space="0" w:color="auto"/>
      </w:divBdr>
    </w:div>
    <w:div w:id="420764167">
      <w:bodyDiv w:val="1"/>
      <w:marLeft w:val="0"/>
      <w:marRight w:val="0"/>
      <w:marTop w:val="0"/>
      <w:marBottom w:val="0"/>
      <w:divBdr>
        <w:top w:val="none" w:sz="0" w:space="0" w:color="auto"/>
        <w:left w:val="none" w:sz="0" w:space="0" w:color="auto"/>
        <w:bottom w:val="none" w:sz="0" w:space="0" w:color="auto"/>
        <w:right w:val="none" w:sz="0" w:space="0" w:color="auto"/>
      </w:divBdr>
    </w:div>
    <w:div w:id="421146781">
      <w:bodyDiv w:val="1"/>
      <w:marLeft w:val="0"/>
      <w:marRight w:val="0"/>
      <w:marTop w:val="0"/>
      <w:marBottom w:val="0"/>
      <w:divBdr>
        <w:top w:val="none" w:sz="0" w:space="0" w:color="auto"/>
        <w:left w:val="none" w:sz="0" w:space="0" w:color="auto"/>
        <w:bottom w:val="none" w:sz="0" w:space="0" w:color="auto"/>
        <w:right w:val="none" w:sz="0" w:space="0" w:color="auto"/>
      </w:divBdr>
    </w:div>
    <w:div w:id="430200856">
      <w:bodyDiv w:val="1"/>
      <w:marLeft w:val="0"/>
      <w:marRight w:val="0"/>
      <w:marTop w:val="0"/>
      <w:marBottom w:val="0"/>
      <w:divBdr>
        <w:top w:val="none" w:sz="0" w:space="0" w:color="auto"/>
        <w:left w:val="none" w:sz="0" w:space="0" w:color="auto"/>
        <w:bottom w:val="none" w:sz="0" w:space="0" w:color="auto"/>
        <w:right w:val="none" w:sz="0" w:space="0" w:color="auto"/>
      </w:divBdr>
    </w:div>
    <w:div w:id="442653971">
      <w:bodyDiv w:val="1"/>
      <w:marLeft w:val="0"/>
      <w:marRight w:val="0"/>
      <w:marTop w:val="0"/>
      <w:marBottom w:val="0"/>
      <w:divBdr>
        <w:top w:val="none" w:sz="0" w:space="0" w:color="auto"/>
        <w:left w:val="none" w:sz="0" w:space="0" w:color="auto"/>
        <w:bottom w:val="none" w:sz="0" w:space="0" w:color="auto"/>
        <w:right w:val="none" w:sz="0" w:space="0" w:color="auto"/>
      </w:divBdr>
    </w:div>
    <w:div w:id="451706336">
      <w:bodyDiv w:val="1"/>
      <w:marLeft w:val="0"/>
      <w:marRight w:val="0"/>
      <w:marTop w:val="0"/>
      <w:marBottom w:val="0"/>
      <w:divBdr>
        <w:top w:val="none" w:sz="0" w:space="0" w:color="auto"/>
        <w:left w:val="none" w:sz="0" w:space="0" w:color="auto"/>
        <w:bottom w:val="none" w:sz="0" w:space="0" w:color="auto"/>
        <w:right w:val="none" w:sz="0" w:space="0" w:color="auto"/>
      </w:divBdr>
    </w:div>
    <w:div w:id="461582973">
      <w:bodyDiv w:val="1"/>
      <w:marLeft w:val="0"/>
      <w:marRight w:val="0"/>
      <w:marTop w:val="0"/>
      <w:marBottom w:val="0"/>
      <w:divBdr>
        <w:top w:val="none" w:sz="0" w:space="0" w:color="auto"/>
        <w:left w:val="none" w:sz="0" w:space="0" w:color="auto"/>
        <w:bottom w:val="none" w:sz="0" w:space="0" w:color="auto"/>
        <w:right w:val="none" w:sz="0" w:space="0" w:color="auto"/>
      </w:divBdr>
    </w:div>
    <w:div w:id="495465533">
      <w:bodyDiv w:val="1"/>
      <w:marLeft w:val="0"/>
      <w:marRight w:val="0"/>
      <w:marTop w:val="0"/>
      <w:marBottom w:val="0"/>
      <w:divBdr>
        <w:top w:val="none" w:sz="0" w:space="0" w:color="auto"/>
        <w:left w:val="none" w:sz="0" w:space="0" w:color="auto"/>
        <w:bottom w:val="none" w:sz="0" w:space="0" w:color="auto"/>
        <w:right w:val="none" w:sz="0" w:space="0" w:color="auto"/>
      </w:divBdr>
    </w:div>
    <w:div w:id="504059359">
      <w:bodyDiv w:val="1"/>
      <w:marLeft w:val="0"/>
      <w:marRight w:val="0"/>
      <w:marTop w:val="0"/>
      <w:marBottom w:val="0"/>
      <w:divBdr>
        <w:top w:val="none" w:sz="0" w:space="0" w:color="auto"/>
        <w:left w:val="none" w:sz="0" w:space="0" w:color="auto"/>
        <w:bottom w:val="none" w:sz="0" w:space="0" w:color="auto"/>
        <w:right w:val="none" w:sz="0" w:space="0" w:color="auto"/>
      </w:divBdr>
    </w:div>
    <w:div w:id="504367444">
      <w:bodyDiv w:val="1"/>
      <w:marLeft w:val="0"/>
      <w:marRight w:val="0"/>
      <w:marTop w:val="0"/>
      <w:marBottom w:val="0"/>
      <w:divBdr>
        <w:top w:val="none" w:sz="0" w:space="0" w:color="auto"/>
        <w:left w:val="none" w:sz="0" w:space="0" w:color="auto"/>
        <w:bottom w:val="none" w:sz="0" w:space="0" w:color="auto"/>
        <w:right w:val="none" w:sz="0" w:space="0" w:color="auto"/>
      </w:divBdr>
    </w:div>
    <w:div w:id="524442856">
      <w:bodyDiv w:val="1"/>
      <w:marLeft w:val="0"/>
      <w:marRight w:val="0"/>
      <w:marTop w:val="0"/>
      <w:marBottom w:val="0"/>
      <w:divBdr>
        <w:top w:val="none" w:sz="0" w:space="0" w:color="auto"/>
        <w:left w:val="none" w:sz="0" w:space="0" w:color="auto"/>
        <w:bottom w:val="none" w:sz="0" w:space="0" w:color="auto"/>
        <w:right w:val="none" w:sz="0" w:space="0" w:color="auto"/>
      </w:divBdr>
    </w:div>
    <w:div w:id="524902899">
      <w:bodyDiv w:val="1"/>
      <w:marLeft w:val="0"/>
      <w:marRight w:val="0"/>
      <w:marTop w:val="0"/>
      <w:marBottom w:val="0"/>
      <w:divBdr>
        <w:top w:val="none" w:sz="0" w:space="0" w:color="auto"/>
        <w:left w:val="none" w:sz="0" w:space="0" w:color="auto"/>
        <w:bottom w:val="none" w:sz="0" w:space="0" w:color="auto"/>
        <w:right w:val="none" w:sz="0" w:space="0" w:color="auto"/>
      </w:divBdr>
    </w:div>
    <w:div w:id="555899269">
      <w:bodyDiv w:val="1"/>
      <w:marLeft w:val="0"/>
      <w:marRight w:val="0"/>
      <w:marTop w:val="0"/>
      <w:marBottom w:val="0"/>
      <w:divBdr>
        <w:top w:val="none" w:sz="0" w:space="0" w:color="auto"/>
        <w:left w:val="none" w:sz="0" w:space="0" w:color="auto"/>
        <w:bottom w:val="none" w:sz="0" w:space="0" w:color="auto"/>
        <w:right w:val="none" w:sz="0" w:space="0" w:color="auto"/>
      </w:divBdr>
    </w:div>
    <w:div w:id="569537223">
      <w:bodyDiv w:val="1"/>
      <w:marLeft w:val="0"/>
      <w:marRight w:val="0"/>
      <w:marTop w:val="0"/>
      <w:marBottom w:val="0"/>
      <w:divBdr>
        <w:top w:val="none" w:sz="0" w:space="0" w:color="auto"/>
        <w:left w:val="none" w:sz="0" w:space="0" w:color="auto"/>
        <w:bottom w:val="none" w:sz="0" w:space="0" w:color="auto"/>
        <w:right w:val="none" w:sz="0" w:space="0" w:color="auto"/>
      </w:divBdr>
    </w:div>
    <w:div w:id="606885625">
      <w:bodyDiv w:val="1"/>
      <w:marLeft w:val="0"/>
      <w:marRight w:val="0"/>
      <w:marTop w:val="0"/>
      <w:marBottom w:val="0"/>
      <w:divBdr>
        <w:top w:val="none" w:sz="0" w:space="0" w:color="auto"/>
        <w:left w:val="none" w:sz="0" w:space="0" w:color="auto"/>
        <w:bottom w:val="none" w:sz="0" w:space="0" w:color="auto"/>
        <w:right w:val="none" w:sz="0" w:space="0" w:color="auto"/>
      </w:divBdr>
    </w:div>
    <w:div w:id="639186996">
      <w:bodyDiv w:val="1"/>
      <w:marLeft w:val="0"/>
      <w:marRight w:val="0"/>
      <w:marTop w:val="0"/>
      <w:marBottom w:val="0"/>
      <w:divBdr>
        <w:top w:val="none" w:sz="0" w:space="0" w:color="auto"/>
        <w:left w:val="none" w:sz="0" w:space="0" w:color="auto"/>
        <w:bottom w:val="none" w:sz="0" w:space="0" w:color="auto"/>
        <w:right w:val="none" w:sz="0" w:space="0" w:color="auto"/>
      </w:divBdr>
    </w:div>
    <w:div w:id="645476864">
      <w:bodyDiv w:val="1"/>
      <w:marLeft w:val="0"/>
      <w:marRight w:val="0"/>
      <w:marTop w:val="0"/>
      <w:marBottom w:val="0"/>
      <w:divBdr>
        <w:top w:val="none" w:sz="0" w:space="0" w:color="auto"/>
        <w:left w:val="none" w:sz="0" w:space="0" w:color="auto"/>
        <w:bottom w:val="none" w:sz="0" w:space="0" w:color="auto"/>
        <w:right w:val="none" w:sz="0" w:space="0" w:color="auto"/>
      </w:divBdr>
    </w:div>
    <w:div w:id="659115464">
      <w:bodyDiv w:val="1"/>
      <w:marLeft w:val="0"/>
      <w:marRight w:val="0"/>
      <w:marTop w:val="0"/>
      <w:marBottom w:val="0"/>
      <w:divBdr>
        <w:top w:val="none" w:sz="0" w:space="0" w:color="auto"/>
        <w:left w:val="none" w:sz="0" w:space="0" w:color="auto"/>
        <w:bottom w:val="none" w:sz="0" w:space="0" w:color="auto"/>
        <w:right w:val="none" w:sz="0" w:space="0" w:color="auto"/>
      </w:divBdr>
    </w:div>
    <w:div w:id="659892249">
      <w:bodyDiv w:val="1"/>
      <w:marLeft w:val="0"/>
      <w:marRight w:val="0"/>
      <w:marTop w:val="0"/>
      <w:marBottom w:val="0"/>
      <w:divBdr>
        <w:top w:val="none" w:sz="0" w:space="0" w:color="auto"/>
        <w:left w:val="none" w:sz="0" w:space="0" w:color="auto"/>
        <w:bottom w:val="none" w:sz="0" w:space="0" w:color="auto"/>
        <w:right w:val="none" w:sz="0" w:space="0" w:color="auto"/>
      </w:divBdr>
    </w:div>
    <w:div w:id="674649471">
      <w:bodyDiv w:val="1"/>
      <w:marLeft w:val="0"/>
      <w:marRight w:val="0"/>
      <w:marTop w:val="0"/>
      <w:marBottom w:val="0"/>
      <w:divBdr>
        <w:top w:val="none" w:sz="0" w:space="0" w:color="auto"/>
        <w:left w:val="none" w:sz="0" w:space="0" w:color="auto"/>
        <w:bottom w:val="none" w:sz="0" w:space="0" w:color="auto"/>
        <w:right w:val="none" w:sz="0" w:space="0" w:color="auto"/>
      </w:divBdr>
    </w:div>
    <w:div w:id="706030905">
      <w:bodyDiv w:val="1"/>
      <w:marLeft w:val="0"/>
      <w:marRight w:val="0"/>
      <w:marTop w:val="0"/>
      <w:marBottom w:val="0"/>
      <w:divBdr>
        <w:top w:val="none" w:sz="0" w:space="0" w:color="auto"/>
        <w:left w:val="none" w:sz="0" w:space="0" w:color="auto"/>
        <w:bottom w:val="none" w:sz="0" w:space="0" w:color="auto"/>
        <w:right w:val="none" w:sz="0" w:space="0" w:color="auto"/>
      </w:divBdr>
    </w:div>
    <w:div w:id="707218121">
      <w:bodyDiv w:val="1"/>
      <w:marLeft w:val="0"/>
      <w:marRight w:val="0"/>
      <w:marTop w:val="0"/>
      <w:marBottom w:val="0"/>
      <w:divBdr>
        <w:top w:val="none" w:sz="0" w:space="0" w:color="auto"/>
        <w:left w:val="none" w:sz="0" w:space="0" w:color="auto"/>
        <w:bottom w:val="none" w:sz="0" w:space="0" w:color="auto"/>
        <w:right w:val="none" w:sz="0" w:space="0" w:color="auto"/>
      </w:divBdr>
    </w:div>
    <w:div w:id="717624940">
      <w:bodyDiv w:val="1"/>
      <w:marLeft w:val="0"/>
      <w:marRight w:val="0"/>
      <w:marTop w:val="0"/>
      <w:marBottom w:val="0"/>
      <w:divBdr>
        <w:top w:val="none" w:sz="0" w:space="0" w:color="auto"/>
        <w:left w:val="none" w:sz="0" w:space="0" w:color="auto"/>
        <w:bottom w:val="none" w:sz="0" w:space="0" w:color="auto"/>
        <w:right w:val="none" w:sz="0" w:space="0" w:color="auto"/>
      </w:divBdr>
    </w:div>
    <w:div w:id="730620667">
      <w:bodyDiv w:val="1"/>
      <w:marLeft w:val="0"/>
      <w:marRight w:val="0"/>
      <w:marTop w:val="0"/>
      <w:marBottom w:val="0"/>
      <w:divBdr>
        <w:top w:val="none" w:sz="0" w:space="0" w:color="auto"/>
        <w:left w:val="none" w:sz="0" w:space="0" w:color="auto"/>
        <w:bottom w:val="none" w:sz="0" w:space="0" w:color="auto"/>
        <w:right w:val="none" w:sz="0" w:space="0" w:color="auto"/>
      </w:divBdr>
    </w:div>
    <w:div w:id="734937478">
      <w:bodyDiv w:val="1"/>
      <w:marLeft w:val="0"/>
      <w:marRight w:val="0"/>
      <w:marTop w:val="0"/>
      <w:marBottom w:val="0"/>
      <w:divBdr>
        <w:top w:val="none" w:sz="0" w:space="0" w:color="auto"/>
        <w:left w:val="none" w:sz="0" w:space="0" w:color="auto"/>
        <w:bottom w:val="none" w:sz="0" w:space="0" w:color="auto"/>
        <w:right w:val="none" w:sz="0" w:space="0" w:color="auto"/>
      </w:divBdr>
    </w:div>
    <w:div w:id="738556995">
      <w:bodyDiv w:val="1"/>
      <w:marLeft w:val="0"/>
      <w:marRight w:val="0"/>
      <w:marTop w:val="0"/>
      <w:marBottom w:val="0"/>
      <w:divBdr>
        <w:top w:val="none" w:sz="0" w:space="0" w:color="auto"/>
        <w:left w:val="none" w:sz="0" w:space="0" w:color="auto"/>
        <w:bottom w:val="none" w:sz="0" w:space="0" w:color="auto"/>
        <w:right w:val="none" w:sz="0" w:space="0" w:color="auto"/>
      </w:divBdr>
    </w:div>
    <w:div w:id="755397206">
      <w:bodyDiv w:val="1"/>
      <w:marLeft w:val="0"/>
      <w:marRight w:val="0"/>
      <w:marTop w:val="0"/>
      <w:marBottom w:val="0"/>
      <w:divBdr>
        <w:top w:val="none" w:sz="0" w:space="0" w:color="auto"/>
        <w:left w:val="none" w:sz="0" w:space="0" w:color="auto"/>
        <w:bottom w:val="none" w:sz="0" w:space="0" w:color="auto"/>
        <w:right w:val="none" w:sz="0" w:space="0" w:color="auto"/>
      </w:divBdr>
    </w:div>
    <w:div w:id="756708376">
      <w:bodyDiv w:val="1"/>
      <w:marLeft w:val="0"/>
      <w:marRight w:val="0"/>
      <w:marTop w:val="0"/>
      <w:marBottom w:val="0"/>
      <w:divBdr>
        <w:top w:val="none" w:sz="0" w:space="0" w:color="auto"/>
        <w:left w:val="none" w:sz="0" w:space="0" w:color="auto"/>
        <w:bottom w:val="none" w:sz="0" w:space="0" w:color="auto"/>
        <w:right w:val="none" w:sz="0" w:space="0" w:color="auto"/>
      </w:divBdr>
    </w:div>
    <w:div w:id="761607278">
      <w:bodyDiv w:val="1"/>
      <w:marLeft w:val="0"/>
      <w:marRight w:val="0"/>
      <w:marTop w:val="0"/>
      <w:marBottom w:val="0"/>
      <w:divBdr>
        <w:top w:val="none" w:sz="0" w:space="0" w:color="auto"/>
        <w:left w:val="none" w:sz="0" w:space="0" w:color="auto"/>
        <w:bottom w:val="none" w:sz="0" w:space="0" w:color="auto"/>
        <w:right w:val="none" w:sz="0" w:space="0" w:color="auto"/>
      </w:divBdr>
    </w:div>
    <w:div w:id="791435958">
      <w:bodyDiv w:val="1"/>
      <w:marLeft w:val="0"/>
      <w:marRight w:val="0"/>
      <w:marTop w:val="0"/>
      <w:marBottom w:val="0"/>
      <w:divBdr>
        <w:top w:val="none" w:sz="0" w:space="0" w:color="auto"/>
        <w:left w:val="none" w:sz="0" w:space="0" w:color="auto"/>
        <w:bottom w:val="none" w:sz="0" w:space="0" w:color="auto"/>
        <w:right w:val="none" w:sz="0" w:space="0" w:color="auto"/>
      </w:divBdr>
    </w:div>
    <w:div w:id="791435976">
      <w:bodyDiv w:val="1"/>
      <w:marLeft w:val="0"/>
      <w:marRight w:val="0"/>
      <w:marTop w:val="0"/>
      <w:marBottom w:val="0"/>
      <w:divBdr>
        <w:top w:val="none" w:sz="0" w:space="0" w:color="auto"/>
        <w:left w:val="none" w:sz="0" w:space="0" w:color="auto"/>
        <w:bottom w:val="none" w:sz="0" w:space="0" w:color="auto"/>
        <w:right w:val="none" w:sz="0" w:space="0" w:color="auto"/>
      </w:divBdr>
    </w:div>
    <w:div w:id="792988688">
      <w:bodyDiv w:val="1"/>
      <w:marLeft w:val="0"/>
      <w:marRight w:val="0"/>
      <w:marTop w:val="0"/>
      <w:marBottom w:val="0"/>
      <w:divBdr>
        <w:top w:val="none" w:sz="0" w:space="0" w:color="auto"/>
        <w:left w:val="none" w:sz="0" w:space="0" w:color="auto"/>
        <w:bottom w:val="none" w:sz="0" w:space="0" w:color="auto"/>
        <w:right w:val="none" w:sz="0" w:space="0" w:color="auto"/>
      </w:divBdr>
    </w:div>
    <w:div w:id="803543195">
      <w:bodyDiv w:val="1"/>
      <w:marLeft w:val="0"/>
      <w:marRight w:val="0"/>
      <w:marTop w:val="0"/>
      <w:marBottom w:val="0"/>
      <w:divBdr>
        <w:top w:val="none" w:sz="0" w:space="0" w:color="auto"/>
        <w:left w:val="none" w:sz="0" w:space="0" w:color="auto"/>
        <w:bottom w:val="none" w:sz="0" w:space="0" w:color="auto"/>
        <w:right w:val="none" w:sz="0" w:space="0" w:color="auto"/>
      </w:divBdr>
    </w:div>
    <w:div w:id="809638191">
      <w:bodyDiv w:val="1"/>
      <w:marLeft w:val="0"/>
      <w:marRight w:val="0"/>
      <w:marTop w:val="0"/>
      <w:marBottom w:val="0"/>
      <w:divBdr>
        <w:top w:val="none" w:sz="0" w:space="0" w:color="auto"/>
        <w:left w:val="none" w:sz="0" w:space="0" w:color="auto"/>
        <w:bottom w:val="none" w:sz="0" w:space="0" w:color="auto"/>
        <w:right w:val="none" w:sz="0" w:space="0" w:color="auto"/>
      </w:divBdr>
    </w:div>
    <w:div w:id="814370379">
      <w:bodyDiv w:val="1"/>
      <w:marLeft w:val="0"/>
      <w:marRight w:val="0"/>
      <w:marTop w:val="0"/>
      <w:marBottom w:val="0"/>
      <w:divBdr>
        <w:top w:val="none" w:sz="0" w:space="0" w:color="auto"/>
        <w:left w:val="none" w:sz="0" w:space="0" w:color="auto"/>
        <w:bottom w:val="none" w:sz="0" w:space="0" w:color="auto"/>
        <w:right w:val="none" w:sz="0" w:space="0" w:color="auto"/>
      </w:divBdr>
    </w:div>
    <w:div w:id="815225476">
      <w:bodyDiv w:val="1"/>
      <w:marLeft w:val="0"/>
      <w:marRight w:val="0"/>
      <w:marTop w:val="0"/>
      <w:marBottom w:val="0"/>
      <w:divBdr>
        <w:top w:val="none" w:sz="0" w:space="0" w:color="auto"/>
        <w:left w:val="none" w:sz="0" w:space="0" w:color="auto"/>
        <w:bottom w:val="none" w:sz="0" w:space="0" w:color="auto"/>
        <w:right w:val="none" w:sz="0" w:space="0" w:color="auto"/>
      </w:divBdr>
    </w:div>
    <w:div w:id="831868704">
      <w:bodyDiv w:val="1"/>
      <w:marLeft w:val="0"/>
      <w:marRight w:val="0"/>
      <w:marTop w:val="0"/>
      <w:marBottom w:val="0"/>
      <w:divBdr>
        <w:top w:val="none" w:sz="0" w:space="0" w:color="auto"/>
        <w:left w:val="none" w:sz="0" w:space="0" w:color="auto"/>
        <w:bottom w:val="none" w:sz="0" w:space="0" w:color="auto"/>
        <w:right w:val="none" w:sz="0" w:space="0" w:color="auto"/>
      </w:divBdr>
    </w:div>
    <w:div w:id="851797191">
      <w:bodyDiv w:val="1"/>
      <w:marLeft w:val="0"/>
      <w:marRight w:val="0"/>
      <w:marTop w:val="0"/>
      <w:marBottom w:val="0"/>
      <w:divBdr>
        <w:top w:val="none" w:sz="0" w:space="0" w:color="auto"/>
        <w:left w:val="none" w:sz="0" w:space="0" w:color="auto"/>
        <w:bottom w:val="none" w:sz="0" w:space="0" w:color="auto"/>
        <w:right w:val="none" w:sz="0" w:space="0" w:color="auto"/>
      </w:divBdr>
    </w:div>
    <w:div w:id="878932605">
      <w:bodyDiv w:val="1"/>
      <w:marLeft w:val="0"/>
      <w:marRight w:val="0"/>
      <w:marTop w:val="0"/>
      <w:marBottom w:val="0"/>
      <w:divBdr>
        <w:top w:val="none" w:sz="0" w:space="0" w:color="auto"/>
        <w:left w:val="none" w:sz="0" w:space="0" w:color="auto"/>
        <w:bottom w:val="none" w:sz="0" w:space="0" w:color="auto"/>
        <w:right w:val="none" w:sz="0" w:space="0" w:color="auto"/>
      </w:divBdr>
    </w:div>
    <w:div w:id="879559486">
      <w:bodyDiv w:val="1"/>
      <w:marLeft w:val="0"/>
      <w:marRight w:val="0"/>
      <w:marTop w:val="0"/>
      <w:marBottom w:val="0"/>
      <w:divBdr>
        <w:top w:val="none" w:sz="0" w:space="0" w:color="auto"/>
        <w:left w:val="none" w:sz="0" w:space="0" w:color="auto"/>
        <w:bottom w:val="none" w:sz="0" w:space="0" w:color="auto"/>
        <w:right w:val="none" w:sz="0" w:space="0" w:color="auto"/>
      </w:divBdr>
    </w:div>
    <w:div w:id="898325921">
      <w:bodyDiv w:val="1"/>
      <w:marLeft w:val="0"/>
      <w:marRight w:val="0"/>
      <w:marTop w:val="0"/>
      <w:marBottom w:val="0"/>
      <w:divBdr>
        <w:top w:val="none" w:sz="0" w:space="0" w:color="auto"/>
        <w:left w:val="none" w:sz="0" w:space="0" w:color="auto"/>
        <w:bottom w:val="none" w:sz="0" w:space="0" w:color="auto"/>
        <w:right w:val="none" w:sz="0" w:space="0" w:color="auto"/>
      </w:divBdr>
    </w:div>
    <w:div w:id="909199116">
      <w:bodyDiv w:val="1"/>
      <w:marLeft w:val="0"/>
      <w:marRight w:val="0"/>
      <w:marTop w:val="0"/>
      <w:marBottom w:val="0"/>
      <w:divBdr>
        <w:top w:val="none" w:sz="0" w:space="0" w:color="auto"/>
        <w:left w:val="none" w:sz="0" w:space="0" w:color="auto"/>
        <w:bottom w:val="none" w:sz="0" w:space="0" w:color="auto"/>
        <w:right w:val="none" w:sz="0" w:space="0" w:color="auto"/>
      </w:divBdr>
    </w:div>
    <w:div w:id="925073245">
      <w:bodyDiv w:val="1"/>
      <w:marLeft w:val="0"/>
      <w:marRight w:val="0"/>
      <w:marTop w:val="0"/>
      <w:marBottom w:val="0"/>
      <w:divBdr>
        <w:top w:val="none" w:sz="0" w:space="0" w:color="auto"/>
        <w:left w:val="none" w:sz="0" w:space="0" w:color="auto"/>
        <w:bottom w:val="none" w:sz="0" w:space="0" w:color="auto"/>
        <w:right w:val="none" w:sz="0" w:space="0" w:color="auto"/>
      </w:divBdr>
    </w:div>
    <w:div w:id="935017892">
      <w:bodyDiv w:val="1"/>
      <w:marLeft w:val="0"/>
      <w:marRight w:val="0"/>
      <w:marTop w:val="0"/>
      <w:marBottom w:val="0"/>
      <w:divBdr>
        <w:top w:val="none" w:sz="0" w:space="0" w:color="auto"/>
        <w:left w:val="none" w:sz="0" w:space="0" w:color="auto"/>
        <w:bottom w:val="none" w:sz="0" w:space="0" w:color="auto"/>
        <w:right w:val="none" w:sz="0" w:space="0" w:color="auto"/>
      </w:divBdr>
    </w:div>
    <w:div w:id="941570607">
      <w:bodyDiv w:val="1"/>
      <w:marLeft w:val="0"/>
      <w:marRight w:val="0"/>
      <w:marTop w:val="0"/>
      <w:marBottom w:val="0"/>
      <w:divBdr>
        <w:top w:val="none" w:sz="0" w:space="0" w:color="auto"/>
        <w:left w:val="none" w:sz="0" w:space="0" w:color="auto"/>
        <w:bottom w:val="none" w:sz="0" w:space="0" w:color="auto"/>
        <w:right w:val="none" w:sz="0" w:space="0" w:color="auto"/>
      </w:divBdr>
    </w:div>
    <w:div w:id="981811464">
      <w:bodyDiv w:val="1"/>
      <w:marLeft w:val="0"/>
      <w:marRight w:val="0"/>
      <w:marTop w:val="0"/>
      <w:marBottom w:val="0"/>
      <w:divBdr>
        <w:top w:val="none" w:sz="0" w:space="0" w:color="auto"/>
        <w:left w:val="none" w:sz="0" w:space="0" w:color="auto"/>
        <w:bottom w:val="none" w:sz="0" w:space="0" w:color="auto"/>
        <w:right w:val="none" w:sz="0" w:space="0" w:color="auto"/>
      </w:divBdr>
    </w:div>
    <w:div w:id="986206602">
      <w:bodyDiv w:val="1"/>
      <w:marLeft w:val="0"/>
      <w:marRight w:val="0"/>
      <w:marTop w:val="0"/>
      <w:marBottom w:val="0"/>
      <w:divBdr>
        <w:top w:val="none" w:sz="0" w:space="0" w:color="auto"/>
        <w:left w:val="none" w:sz="0" w:space="0" w:color="auto"/>
        <w:bottom w:val="none" w:sz="0" w:space="0" w:color="auto"/>
        <w:right w:val="none" w:sz="0" w:space="0" w:color="auto"/>
      </w:divBdr>
    </w:div>
    <w:div w:id="996610851">
      <w:bodyDiv w:val="1"/>
      <w:marLeft w:val="0"/>
      <w:marRight w:val="0"/>
      <w:marTop w:val="0"/>
      <w:marBottom w:val="0"/>
      <w:divBdr>
        <w:top w:val="none" w:sz="0" w:space="0" w:color="auto"/>
        <w:left w:val="none" w:sz="0" w:space="0" w:color="auto"/>
        <w:bottom w:val="none" w:sz="0" w:space="0" w:color="auto"/>
        <w:right w:val="none" w:sz="0" w:space="0" w:color="auto"/>
      </w:divBdr>
    </w:div>
    <w:div w:id="1017196046">
      <w:bodyDiv w:val="1"/>
      <w:marLeft w:val="0"/>
      <w:marRight w:val="0"/>
      <w:marTop w:val="0"/>
      <w:marBottom w:val="0"/>
      <w:divBdr>
        <w:top w:val="none" w:sz="0" w:space="0" w:color="auto"/>
        <w:left w:val="none" w:sz="0" w:space="0" w:color="auto"/>
        <w:bottom w:val="none" w:sz="0" w:space="0" w:color="auto"/>
        <w:right w:val="none" w:sz="0" w:space="0" w:color="auto"/>
      </w:divBdr>
    </w:div>
    <w:div w:id="1018700594">
      <w:bodyDiv w:val="1"/>
      <w:marLeft w:val="0"/>
      <w:marRight w:val="0"/>
      <w:marTop w:val="0"/>
      <w:marBottom w:val="0"/>
      <w:divBdr>
        <w:top w:val="none" w:sz="0" w:space="0" w:color="auto"/>
        <w:left w:val="none" w:sz="0" w:space="0" w:color="auto"/>
        <w:bottom w:val="none" w:sz="0" w:space="0" w:color="auto"/>
        <w:right w:val="none" w:sz="0" w:space="0" w:color="auto"/>
      </w:divBdr>
    </w:div>
    <w:div w:id="1028873105">
      <w:bodyDiv w:val="1"/>
      <w:marLeft w:val="0"/>
      <w:marRight w:val="0"/>
      <w:marTop w:val="0"/>
      <w:marBottom w:val="0"/>
      <w:divBdr>
        <w:top w:val="none" w:sz="0" w:space="0" w:color="auto"/>
        <w:left w:val="none" w:sz="0" w:space="0" w:color="auto"/>
        <w:bottom w:val="none" w:sz="0" w:space="0" w:color="auto"/>
        <w:right w:val="none" w:sz="0" w:space="0" w:color="auto"/>
      </w:divBdr>
    </w:div>
    <w:div w:id="1034691123">
      <w:bodyDiv w:val="1"/>
      <w:marLeft w:val="0"/>
      <w:marRight w:val="0"/>
      <w:marTop w:val="0"/>
      <w:marBottom w:val="0"/>
      <w:divBdr>
        <w:top w:val="none" w:sz="0" w:space="0" w:color="auto"/>
        <w:left w:val="none" w:sz="0" w:space="0" w:color="auto"/>
        <w:bottom w:val="none" w:sz="0" w:space="0" w:color="auto"/>
        <w:right w:val="none" w:sz="0" w:space="0" w:color="auto"/>
      </w:divBdr>
    </w:div>
    <w:div w:id="1047801778">
      <w:bodyDiv w:val="1"/>
      <w:marLeft w:val="0"/>
      <w:marRight w:val="0"/>
      <w:marTop w:val="0"/>
      <w:marBottom w:val="0"/>
      <w:divBdr>
        <w:top w:val="none" w:sz="0" w:space="0" w:color="auto"/>
        <w:left w:val="none" w:sz="0" w:space="0" w:color="auto"/>
        <w:bottom w:val="none" w:sz="0" w:space="0" w:color="auto"/>
        <w:right w:val="none" w:sz="0" w:space="0" w:color="auto"/>
      </w:divBdr>
    </w:div>
    <w:div w:id="1064568611">
      <w:bodyDiv w:val="1"/>
      <w:marLeft w:val="0"/>
      <w:marRight w:val="0"/>
      <w:marTop w:val="0"/>
      <w:marBottom w:val="0"/>
      <w:divBdr>
        <w:top w:val="none" w:sz="0" w:space="0" w:color="auto"/>
        <w:left w:val="none" w:sz="0" w:space="0" w:color="auto"/>
        <w:bottom w:val="none" w:sz="0" w:space="0" w:color="auto"/>
        <w:right w:val="none" w:sz="0" w:space="0" w:color="auto"/>
      </w:divBdr>
    </w:div>
    <w:div w:id="1070227417">
      <w:bodyDiv w:val="1"/>
      <w:marLeft w:val="0"/>
      <w:marRight w:val="0"/>
      <w:marTop w:val="0"/>
      <w:marBottom w:val="0"/>
      <w:divBdr>
        <w:top w:val="none" w:sz="0" w:space="0" w:color="auto"/>
        <w:left w:val="none" w:sz="0" w:space="0" w:color="auto"/>
        <w:bottom w:val="none" w:sz="0" w:space="0" w:color="auto"/>
        <w:right w:val="none" w:sz="0" w:space="0" w:color="auto"/>
      </w:divBdr>
    </w:div>
    <w:div w:id="1081290222">
      <w:bodyDiv w:val="1"/>
      <w:marLeft w:val="0"/>
      <w:marRight w:val="0"/>
      <w:marTop w:val="0"/>
      <w:marBottom w:val="0"/>
      <w:divBdr>
        <w:top w:val="none" w:sz="0" w:space="0" w:color="auto"/>
        <w:left w:val="none" w:sz="0" w:space="0" w:color="auto"/>
        <w:bottom w:val="none" w:sz="0" w:space="0" w:color="auto"/>
        <w:right w:val="none" w:sz="0" w:space="0" w:color="auto"/>
      </w:divBdr>
    </w:div>
    <w:div w:id="1086657837">
      <w:bodyDiv w:val="1"/>
      <w:marLeft w:val="0"/>
      <w:marRight w:val="0"/>
      <w:marTop w:val="0"/>
      <w:marBottom w:val="0"/>
      <w:divBdr>
        <w:top w:val="none" w:sz="0" w:space="0" w:color="auto"/>
        <w:left w:val="none" w:sz="0" w:space="0" w:color="auto"/>
        <w:bottom w:val="none" w:sz="0" w:space="0" w:color="auto"/>
        <w:right w:val="none" w:sz="0" w:space="0" w:color="auto"/>
      </w:divBdr>
    </w:div>
    <w:div w:id="1105424592">
      <w:bodyDiv w:val="1"/>
      <w:marLeft w:val="0"/>
      <w:marRight w:val="0"/>
      <w:marTop w:val="0"/>
      <w:marBottom w:val="0"/>
      <w:divBdr>
        <w:top w:val="none" w:sz="0" w:space="0" w:color="auto"/>
        <w:left w:val="none" w:sz="0" w:space="0" w:color="auto"/>
        <w:bottom w:val="none" w:sz="0" w:space="0" w:color="auto"/>
        <w:right w:val="none" w:sz="0" w:space="0" w:color="auto"/>
      </w:divBdr>
    </w:div>
    <w:div w:id="1108893308">
      <w:bodyDiv w:val="1"/>
      <w:marLeft w:val="0"/>
      <w:marRight w:val="0"/>
      <w:marTop w:val="0"/>
      <w:marBottom w:val="0"/>
      <w:divBdr>
        <w:top w:val="none" w:sz="0" w:space="0" w:color="auto"/>
        <w:left w:val="none" w:sz="0" w:space="0" w:color="auto"/>
        <w:bottom w:val="none" w:sz="0" w:space="0" w:color="auto"/>
        <w:right w:val="none" w:sz="0" w:space="0" w:color="auto"/>
      </w:divBdr>
    </w:div>
    <w:div w:id="1109200885">
      <w:bodyDiv w:val="1"/>
      <w:marLeft w:val="0"/>
      <w:marRight w:val="0"/>
      <w:marTop w:val="0"/>
      <w:marBottom w:val="0"/>
      <w:divBdr>
        <w:top w:val="none" w:sz="0" w:space="0" w:color="auto"/>
        <w:left w:val="none" w:sz="0" w:space="0" w:color="auto"/>
        <w:bottom w:val="none" w:sz="0" w:space="0" w:color="auto"/>
        <w:right w:val="none" w:sz="0" w:space="0" w:color="auto"/>
      </w:divBdr>
    </w:div>
    <w:div w:id="1136215433">
      <w:bodyDiv w:val="1"/>
      <w:marLeft w:val="0"/>
      <w:marRight w:val="0"/>
      <w:marTop w:val="0"/>
      <w:marBottom w:val="0"/>
      <w:divBdr>
        <w:top w:val="none" w:sz="0" w:space="0" w:color="auto"/>
        <w:left w:val="none" w:sz="0" w:space="0" w:color="auto"/>
        <w:bottom w:val="none" w:sz="0" w:space="0" w:color="auto"/>
        <w:right w:val="none" w:sz="0" w:space="0" w:color="auto"/>
      </w:divBdr>
    </w:div>
    <w:div w:id="1141773032">
      <w:bodyDiv w:val="1"/>
      <w:marLeft w:val="0"/>
      <w:marRight w:val="0"/>
      <w:marTop w:val="0"/>
      <w:marBottom w:val="0"/>
      <w:divBdr>
        <w:top w:val="none" w:sz="0" w:space="0" w:color="auto"/>
        <w:left w:val="none" w:sz="0" w:space="0" w:color="auto"/>
        <w:bottom w:val="none" w:sz="0" w:space="0" w:color="auto"/>
        <w:right w:val="none" w:sz="0" w:space="0" w:color="auto"/>
      </w:divBdr>
    </w:div>
    <w:div w:id="1150101932">
      <w:bodyDiv w:val="1"/>
      <w:marLeft w:val="0"/>
      <w:marRight w:val="0"/>
      <w:marTop w:val="0"/>
      <w:marBottom w:val="0"/>
      <w:divBdr>
        <w:top w:val="none" w:sz="0" w:space="0" w:color="auto"/>
        <w:left w:val="none" w:sz="0" w:space="0" w:color="auto"/>
        <w:bottom w:val="none" w:sz="0" w:space="0" w:color="auto"/>
        <w:right w:val="none" w:sz="0" w:space="0" w:color="auto"/>
      </w:divBdr>
    </w:div>
    <w:div w:id="1155682133">
      <w:bodyDiv w:val="1"/>
      <w:marLeft w:val="0"/>
      <w:marRight w:val="0"/>
      <w:marTop w:val="0"/>
      <w:marBottom w:val="0"/>
      <w:divBdr>
        <w:top w:val="none" w:sz="0" w:space="0" w:color="auto"/>
        <w:left w:val="none" w:sz="0" w:space="0" w:color="auto"/>
        <w:bottom w:val="none" w:sz="0" w:space="0" w:color="auto"/>
        <w:right w:val="none" w:sz="0" w:space="0" w:color="auto"/>
      </w:divBdr>
    </w:div>
    <w:div w:id="1170563825">
      <w:bodyDiv w:val="1"/>
      <w:marLeft w:val="0"/>
      <w:marRight w:val="0"/>
      <w:marTop w:val="0"/>
      <w:marBottom w:val="0"/>
      <w:divBdr>
        <w:top w:val="none" w:sz="0" w:space="0" w:color="auto"/>
        <w:left w:val="none" w:sz="0" w:space="0" w:color="auto"/>
        <w:bottom w:val="none" w:sz="0" w:space="0" w:color="auto"/>
        <w:right w:val="none" w:sz="0" w:space="0" w:color="auto"/>
      </w:divBdr>
    </w:div>
    <w:div w:id="1174609209">
      <w:bodyDiv w:val="1"/>
      <w:marLeft w:val="0"/>
      <w:marRight w:val="0"/>
      <w:marTop w:val="0"/>
      <w:marBottom w:val="0"/>
      <w:divBdr>
        <w:top w:val="none" w:sz="0" w:space="0" w:color="auto"/>
        <w:left w:val="none" w:sz="0" w:space="0" w:color="auto"/>
        <w:bottom w:val="none" w:sz="0" w:space="0" w:color="auto"/>
        <w:right w:val="none" w:sz="0" w:space="0" w:color="auto"/>
      </w:divBdr>
    </w:div>
    <w:div w:id="1182474760">
      <w:bodyDiv w:val="1"/>
      <w:marLeft w:val="0"/>
      <w:marRight w:val="0"/>
      <w:marTop w:val="0"/>
      <w:marBottom w:val="0"/>
      <w:divBdr>
        <w:top w:val="none" w:sz="0" w:space="0" w:color="auto"/>
        <w:left w:val="none" w:sz="0" w:space="0" w:color="auto"/>
        <w:bottom w:val="none" w:sz="0" w:space="0" w:color="auto"/>
        <w:right w:val="none" w:sz="0" w:space="0" w:color="auto"/>
      </w:divBdr>
    </w:div>
    <w:div w:id="1185051828">
      <w:bodyDiv w:val="1"/>
      <w:marLeft w:val="0"/>
      <w:marRight w:val="0"/>
      <w:marTop w:val="0"/>
      <w:marBottom w:val="0"/>
      <w:divBdr>
        <w:top w:val="none" w:sz="0" w:space="0" w:color="auto"/>
        <w:left w:val="none" w:sz="0" w:space="0" w:color="auto"/>
        <w:bottom w:val="none" w:sz="0" w:space="0" w:color="auto"/>
        <w:right w:val="none" w:sz="0" w:space="0" w:color="auto"/>
      </w:divBdr>
    </w:div>
    <w:div w:id="1193300954">
      <w:bodyDiv w:val="1"/>
      <w:marLeft w:val="0"/>
      <w:marRight w:val="0"/>
      <w:marTop w:val="0"/>
      <w:marBottom w:val="0"/>
      <w:divBdr>
        <w:top w:val="none" w:sz="0" w:space="0" w:color="auto"/>
        <w:left w:val="none" w:sz="0" w:space="0" w:color="auto"/>
        <w:bottom w:val="none" w:sz="0" w:space="0" w:color="auto"/>
        <w:right w:val="none" w:sz="0" w:space="0" w:color="auto"/>
      </w:divBdr>
    </w:div>
    <w:div w:id="1217548027">
      <w:bodyDiv w:val="1"/>
      <w:marLeft w:val="0"/>
      <w:marRight w:val="0"/>
      <w:marTop w:val="0"/>
      <w:marBottom w:val="0"/>
      <w:divBdr>
        <w:top w:val="none" w:sz="0" w:space="0" w:color="auto"/>
        <w:left w:val="none" w:sz="0" w:space="0" w:color="auto"/>
        <w:bottom w:val="none" w:sz="0" w:space="0" w:color="auto"/>
        <w:right w:val="none" w:sz="0" w:space="0" w:color="auto"/>
      </w:divBdr>
    </w:div>
    <w:div w:id="1227833732">
      <w:bodyDiv w:val="1"/>
      <w:marLeft w:val="0"/>
      <w:marRight w:val="0"/>
      <w:marTop w:val="0"/>
      <w:marBottom w:val="0"/>
      <w:divBdr>
        <w:top w:val="none" w:sz="0" w:space="0" w:color="auto"/>
        <w:left w:val="none" w:sz="0" w:space="0" w:color="auto"/>
        <w:bottom w:val="none" w:sz="0" w:space="0" w:color="auto"/>
        <w:right w:val="none" w:sz="0" w:space="0" w:color="auto"/>
      </w:divBdr>
    </w:div>
    <w:div w:id="1243878386">
      <w:bodyDiv w:val="1"/>
      <w:marLeft w:val="0"/>
      <w:marRight w:val="0"/>
      <w:marTop w:val="0"/>
      <w:marBottom w:val="0"/>
      <w:divBdr>
        <w:top w:val="none" w:sz="0" w:space="0" w:color="auto"/>
        <w:left w:val="none" w:sz="0" w:space="0" w:color="auto"/>
        <w:bottom w:val="none" w:sz="0" w:space="0" w:color="auto"/>
        <w:right w:val="none" w:sz="0" w:space="0" w:color="auto"/>
      </w:divBdr>
    </w:div>
    <w:div w:id="1257711609">
      <w:bodyDiv w:val="1"/>
      <w:marLeft w:val="0"/>
      <w:marRight w:val="0"/>
      <w:marTop w:val="0"/>
      <w:marBottom w:val="0"/>
      <w:divBdr>
        <w:top w:val="none" w:sz="0" w:space="0" w:color="auto"/>
        <w:left w:val="none" w:sz="0" w:space="0" w:color="auto"/>
        <w:bottom w:val="none" w:sz="0" w:space="0" w:color="auto"/>
        <w:right w:val="none" w:sz="0" w:space="0" w:color="auto"/>
      </w:divBdr>
    </w:div>
    <w:div w:id="1281105026">
      <w:bodyDiv w:val="1"/>
      <w:marLeft w:val="0"/>
      <w:marRight w:val="0"/>
      <w:marTop w:val="0"/>
      <w:marBottom w:val="0"/>
      <w:divBdr>
        <w:top w:val="none" w:sz="0" w:space="0" w:color="auto"/>
        <w:left w:val="none" w:sz="0" w:space="0" w:color="auto"/>
        <w:bottom w:val="none" w:sz="0" w:space="0" w:color="auto"/>
        <w:right w:val="none" w:sz="0" w:space="0" w:color="auto"/>
      </w:divBdr>
    </w:div>
    <w:div w:id="1299187523">
      <w:bodyDiv w:val="1"/>
      <w:marLeft w:val="0"/>
      <w:marRight w:val="0"/>
      <w:marTop w:val="0"/>
      <w:marBottom w:val="0"/>
      <w:divBdr>
        <w:top w:val="none" w:sz="0" w:space="0" w:color="auto"/>
        <w:left w:val="none" w:sz="0" w:space="0" w:color="auto"/>
        <w:bottom w:val="none" w:sz="0" w:space="0" w:color="auto"/>
        <w:right w:val="none" w:sz="0" w:space="0" w:color="auto"/>
      </w:divBdr>
    </w:div>
    <w:div w:id="1302348120">
      <w:bodyDiv w:val="1"/>
      <w:marLeft w:val="0"/>
      <w:marRight w:val="0"/>
      <w:marTop w:val="0"/>
      <w:marBottom w:val="0"/>
      <w:divBdr>
        <w:top w:val="none" w:sz="0" w:space="0" w:color="auto"/>
        <w:left w:val="none" w:sz="0" w:space="0" w:color="auto"/>
        <w:bottom w:val="none" w:sz="0" w:space="0" w:color="auto"/>
        <w:right w:val="none" w:sz="0" w:space="0" w:color="auto"/>
      </w:divBdr>
    </w:div>
    <w:div w:id="1315836325">
      <w:bodyDiv w:val="1"/>
      <w:marLeft w:val="0"/>
      <w:marRight w:val="0"/>
      <w:marTop w:val="0"/>
      <w:marBottom w:val="0"/>
      <w:divBdr>
        <w:top w:val="none" w:sz="0" w:space="0" w:color="auto"/>
        <w:left w:val="none" w:sz="0" w:space="0" w:color="auto"/>
        <w:bottom w:val="none" w:sz="0" w:space="0" w:color="auto"/>
        <w:right w:val="none" w:sz="0" w:space="0" w:color="auto"/>
      </w:divBdr>
    </w:div>
    <w:div w:id="1331760012">
      <w:bodyDiv w:val="1"/>
      <w:marLeft w:val="0"/>
      <w:marRight w:val="0"/>
      <w:marTop w:val="0"/>
      <w:marBottom w:val="0"/>
      <w:divBdr>
        <w:top w:val="none" w:sz="0" w:space="0" w:color="auto"/>
        <w:left w:val="none" w:sz="0" w:space="0" w:color="auto"/>
        <w:bottom w:val="none" w:sz="0" w:space="0" w:color="auto"/>
        <w:right w:val="none" w:sz="0" w:space="0" w:color="auto"/>
      </w:divBdr>
    </w:div>
    <w:div w:id="133714794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6806228">
      <w:bodyDiv w:val="1"/>
      <w:marLeft w:val="0"/>
      <w:marRight w:val="0"/>
      <w:marTop w:val="0"/>
      <w:marBottom w:val="0"/>
      <w:divBdr>
        <w:top w:val="none" w:sz="0" w:space="0" w:color="auto"/>
        <w:left w:val="none" w:sz="0" w:space="0" w:color="auto"/>
        <w:bottom w:val="none" w:sz="0" w:space="0" w:color="auto"/>
        <w:right w:val="none" w:sz="0" w:space="0" w:color="auto"/>
      </w:divBdr>
    </w:div>
    <w:div w:id="1382050756">
      <w:bodyDiv w:val="1"/>
      <w:marLeft w:val="0"/>
      <w:marRight w:val="0"/>
      <w:marTop w:val="0"/>
      <w:marBottom w:val="0"/>
      <w:divBdr>
        <w:top w:val="none" w:sz="0" w:space="0" w:color="auto"/>
        <w:left w:val="none" w:sz="0" w:space="0" w:color="auto"/>
        <w:bottom w:val="none" w:sz="0" w:space="0" w:color="auto"/>
        <w:right w:val="none" w:sz="0" w:space="0" w:color="auto"/>
      </w:divBdr>
    </w:div>
    <w:div w:id="1383939140">
      <w:bodyDiv w:val="1"/>
      <w:marLeft w:val="0"/>
      <w:marRight w:val="0"/>
      <w:marTop w:val="0"/>
      <w:marBottom w:val="0"/>
      <w:divBdr>
        <w:top w:val="none" w:sz="0" w:space="0" w:color="auto"/>
        <w:left w:val="none" w:sz="0" w:space="0" w:color="auto"/>
        <w:bottom w:val="none" w:sz="0" w:space="0" w:color="auto"/>
        <w:right w:val="none" w:sz="0" w:space="0" w:color="auto"/>
      </w:divBdr>
    </w:div>
    <w:div w:id="1394432408">
      <w:bodyDiv w:val="1"/>
      <w:marLeft w:val="0"/>
      <w:marRight w:val="0"/>
      <w:marTop w:val="0"/>
      <w:marBottom w:val="0"/>
      <w:divBdr>
        <w:top w:val="none" w:sz="0" w:space="0" w:color="auto"/>
        <w:left w:val="none" w:sz="0" w:space="0" w:color="auto"/>
        <w:bottom w:val="none" w:sz="0" w:space="0" w:color="auto"/>
        <w:right w:val="none" w:sz="0" w:space="0" w:color="auto"/>
      </w:divBdr>
    </w:div>
    <w:div w:id="1414931231">
      <w:bodyDiv w:val="1"/>
      <w:marLeft w:val="0"/>
      <w:marRight w:val="0"/>
      <w:marTop w:val="0"/>
      <w:marBottom w:val="0"/>
      <w:divBdr>
        <w:top w:val="none" w:sz="0" w:space="0" w:color="auto"/>
        <w:left w:val="none" w:sz="0" w:space="0" w:color="auto"/>
        <w:bottom w:val="none" w:sz="0" w:space="0" w:color="auto"/>
        <w:right w:val="none" w:sz="0" w:space="0" w:color="auto"/>
      </w:divBdr>
    </w:div>
    <w:div w:id="1428691285">
      <w:bodyDiv w:val="1"/>
      <w:marLeft w:val="0"/>
      <w:marRight w:val="0"/>
      <w:marTop w:val="0"/>
      <w:marBottom w:val="0"/>
      <w:divBdr>
        <w:top w:val="none" w:sz="0" w:space="0" w:color="auto"/>
        <w:left w:val="none" w:sz="0" w:space="0" w:color="auto"/>
        <w:bottom w:val="none" w:sz="0" w:space="0" w:color="auto"/>
        <w:right w:val="none" w:sz="0" w:space="0" w:color="auto"/>
      </w:divBdr>
    </w:div>
    <w:div w:id="1444030198">
      <w:bodyDiv w:val="1"/>
      <w:marLeft w:val="0"/>
      <w:marRight w:val="0"/>
      <w:marTop w:val="0"/>
      <w:marBottom w:val="0"/>
      <w:divBdr>
        <w:top w:val="none" w:sz="0" w:space="0" w:color="auto"/>
        <w:left w:val="none" w:sz="0" w:space="0" w:color="auto"/>
        <w:bottom w:val="none" w:sz="0" w:space="0" w:color="auto"/>
        <w:right w:val="none" w:sz="0" w:space="0" w:color="auto"/>
      </w:divBdr>
    </w:div>
    <w:div w:id="1451972041">
      <w:bodyDiv w:val="1"/>
      <w:marLeft w:val="0"/>
      <w:marRight w:val="0"/>
      <w:marTop w:val="0"/>
      <w:marBottom w:val="0"/>
      <w:divBdr>
        <w:top w:val="none" w:sz="0" w:space="0" w:color="auto"/>
        <w:left w:val="none" w:sz="0" w:space="0" w:color="auto"/>
        <w:bottom w:val="none" w:sz="0" w:space="0" w:color="auto"/>
        <w:right w:val="none" w:sz="0" w:space="0" w:color="auto"/>
      </w:divBdr>
    </w:div>
    <w:div w:id="1468233376">
      <w:bodyDiv w:val="1"/>
      <w:marLeft w:val="0"/>
      <w:marRight w:val="0"/>
      <w:marTop w:val="0"/>
      <w:marBottom w:val="0"/>
      <w:divBdr>
        <w:top w:val="none" w:sz="0" w:space="0" w:color="auto"/>
        <w:left w:val="none" w:sz="0" w:space="0" w:color="auto"/>
        <w:bottom w:val="none" w:sz="0" w:space="0" w:color="auto"/>
        <w:right w:val="none" w:sz="0" w:space="0" w:color="auto"/>
      </w:divBdr>
    </w:div>
    <w:div w:id="1539048623">
      <w:bodyDiv w:val="1"/>
      <w:marLeft w:val="0"/>
      <w:marRight w:val="0"/>
      <w:marTop w:val="0"/>
      <w:marBottom w:val="0"/>
      <w:divBdr>
        <w:top w:val="none" w:sz="0" w:space="0" w:color="auto"/>
        <w:left w:val="none" w:sz="0" w:space="0" w:color="auto"/>
        <w:bottom w:val="none" w:sz="0" w:space="0" w:color="auto"/>
        <w:right w:val="none" w:sz="0" w:space="0" w:color="auto"/>
      </w:divBdr>
    </w:div>
    <w:div w:id="1550920032">
      <w:bodyDiv w:val="1"/>
      <w:marLeft w:val="0"/>
      <w:marRight w:val="0"/>
      <w:marTop w:val="0"/>
      <w:marBottom w:val="0"/>
      <w:divBdr>
        <w:top w:val="none" w:sz="0" w:space="0" w:color="auto"/>
        <w:left w:val="none" w:sz="0" w:space="0" w:color="auto"/>
        <w:bottom w:val="none" w:sz="0" w:space="0" w:color="auto"/>
        <w:right w:val="none" w:sz="0" w:space="0" w:color="auto"/>
      </w:divBdr>
    </w:div>
    <w:div w:id="1553301254">
      <w:bodyDiv w:val="1"/>
      <w:marLeft w:val="0"/>
      <w:marRight w:val="0"/>
      <w:marTop w:val="0"/>
      <w:marBottom w:val="0"/>
      <w:divBdr>
        <w:top w:val="none" w:sz="0" w:space="0" w:color="auto"/>
        <w:left w:val="none" w:sz="0" w:space="0" w:color="auto"/>
        <w:bottom w:val="none" w:sz="0" w:space="0" w:color="auto"/>
        <w:right w:val="none" w:sz="0" w:space="0" w:color="auto"/>
      </w:divBdr>
    </w:div>
    <w:div w:id="1593467049">
      <w:bodyDiv w:val="1"/>
      <w:marLeft w:val="0"/>
      <w:marRight w:val="0"/>
      <w:marTop w:val="0"/>
      <w:marBottom w:val="0"/>
      <w:divBdr>
        <w:top w:val="none" w:sz="0" w:space="0" w:color="auto"/>
        <w:left w:val="none" w:sz="0" w:space="0" w:color="auto"/>
        <w:bottom w:val="none" w:sz="0" w:space="0" w:color="auto"/>
        <w:right w:val="none" w:sz="0" w:space="0" w:color="auto"/>
      </w:divBdr>
    </w:div>
    <w:div w:id="1605070389">
      <w:bodyDiv w:val="1"/>
      <w:marLeft w:val="0"/>
      <w:marRight w:val="0"/>
      <w:marTop w:val="0"/>
      <w:marBottom w:val="0"/>
      <w:divBdr>
        <w:top w:val="none" w:sz="0" w:space="0" w:color="auto"/>
        <w:left w:val="none" w:sz="0" w:space="0" w:color="auto"/>
        <w:bottom w:val="none" w:sz="0" w:space="0" w:color="auto"/>
        <w:right w:val="none" w:sz="0" w:space="0" w:color="auto"/>
      </w:divBdr>
    </w:div>
    <w:div w:id="1612735678">
      <w:bodyDiv w:val="1"/>
      <w:marLeft w:val="0"/>
      <w:marRight w:val="0"/>
      <w:marTop w:val="0"/>
      <w:marBottom w:val="0"/>
      <w:divBdr>
        <w:top w:val="none" w:sz="0" w:space="0" w:color="auto"/>
        <w:left w:val="none" w:sz="0" w:space="0" w:color="auto"/>
        <w:bottom w:val="none" w:sz="0" w:space="0" w:color="auto"/>
        <w:right w:val="none" w:sz="0" w:space="0" w:color="auto"/>
      </w:divBdr>
    </w:div>
    <w:div w:id="1620911216">
      <w:bodyDiv w:val="1"/>
      <w:marLeft w:val="0"/>
      <w:marRight w:val="0"/>
      <w:marTop w:val="0"/>
      <w:marBottom w:val="0"/>
      <w:divBdr>
        <w:top w:val="none" w:sz="0" w:space="0" w:color="auto"/>
        <w:left w:val="none" w:sz="0" w:space="0" w:color="auto"/>
        <w:bottom w:val="none" w:sz="0" w:space="0" w:color="auto"/>
        <w:right w:val="none" w:sz="0" w:space="0" w:color="auto"/>
      </w:divBdr>
    </w:div>
    <w:div w:id="1629965741">
      <w:bodyDiv w:val="1"/>
      <w:marLeft w:val="0"/>
      <w:marRight w:val="0"/>
      <w:marTop w:val="0"/>
      <w:marBottom w:val="0"/>
      <w:divBdr>
        <w:top w:val="none" w:sz="0" w:space="0" w:color="auto"/>
        <w:left w:val="none" w:sz="0" w:space="0" w:color="auto"/>
        <w:bottom w:val="none" w:sz="0" w:space="0" w:color="auto"/>
        <w:right w:val="none" w:sz="0" w:space="0" w:color="auto"/>
      </w:divBdr>
    </w:div>
    <w:div w:id="1645310051">
      <w:bodyDiv w:val="1"/>
      <w:marLeft w:val="0"/>
      <w:marRight w:val="0"/>
      <w:marTop w:val="0"/>
      <w:marBottom w:val="0"/>
      <w:divBdr>
        <w:top w:val="none" w:sz="0" w:space="0" w:color="auto"/>
        <w:left w:val="none" w:sz="0" w:space="0" w:color="auto"/>
        <w:bottom w:val="none" w:sz="0" w:space="0" w:color="auto"/>
        <w:right w:val="none" w:sz="0" w:space="0" w:color="auto"/>
      </w:divBdr>
    </w:div>
    <w:div w:id="1649092599">
      <w:bodyDiv w:val="1"/>
      <w:marLeft w:val="0"/>
      <w:marRight w:val="0"/>
      <w:marTop w:val="0"/>
      <w:marBottom w:val="0"/>
      <w:divBdr>
        <w:top w:val="none" w:sz="0" w:space="0" w:color="auto"/>
        <w:left w:val="none" w:sz="0" w:space="0" w:color="auto"/>
        <w:bottom w:val="none" w:sz="0" w:space="0" w:color="auto"/>
        <w:right w:val="none" w:sz="0" w:space="0" w:color="auto"/>
      </w:divBdr>
    </w:div>
    <w:div w:id="1656254737">
      <w:bodyDiv w:val="1"/>
      <w:marLeft w:val="0"/>
      <w:marRight w:val="0"/>
      <w:marTop w:val="0"/>
      <w:marBottom w:val="0"/>
      <w:divBdr>
        <w:top w:val="none" w:sz="0" w:space="0" w:color="auto"/>
        <w:left w:val="none" w:sz="0" w:space="0" w:color="auto"/>
        <w:bottom w:val="none" w:sz="0" w:space="0" w:color="auto"/>
        <w:right w:val="none" w:sz="0" w:space="0" w:color="auto"/>
      </w:divBdr>
    </w:div>
    <w:div w:id="1675646917">
      <w:bodyDiv w:val="1"/>
      <w:marLeft w:val="0"/>
      <w:marRight w:val="0"/>
      <w:marTop w:val="0"/>
      <w:marBottom w:val="0"/>
      <w:divBdr>
        <w:top w:val="none" w:sz="0" w:space="0" w:color="auto"/>
        <w:left w:val="none" w:sz="0" w:space="0" w:color="auto"/>
        <w:bottom w:val="none" w:sz="0" w:space="0" w:color="auto"/>
        <w:right w:val="none" w:sz="0" w:space="0" w:color="auto"/>
      </w:divBdr>
    </w:div>
    <w:div w:id="1690183054">
      <w:bodyDiv w:val="1"/>
      <w:marLeft w:val="0"/>
      <w:marRight w:val="0"/>
      <w:marTop w:val="0"/>
      <w:marBottom w:val="0"/>
      <w:divBdr>
        <w:top w:val="none" w:sz="0" w:space="0" w:color="auto"/>
        <w:left w:val="none" w:sz="0" w:space="0" w:color="auto"/>
        <w:bottom w:val="none" w:sz="0" w:space="0" w:color="auto"/>
        <w:right w:val="none" w:sz="0" w:space="0" w:color="auto"/>
      </w:divBdr>
    </w:div>
    <w:div w:id="1695811543">
      <w:bodyDiv w:val="1"/>
      <w:marLeft w:val="0"/>
      <w:marRight w:val="0"/>
      <w:marTop w:val="0"/>
      <w:marBottom w:val="0"/>
      <w:divBdr>
        <w:top w:val="none" w:sz="0" w:space="0" w:color="auto"/>
        <w:left w:val="none" w:sz="0" w:space="0" w:color="auto"/>
        <w:bottom w:val="none" w:sz="0" w:space="0" w:color="auto"/>
        <w:right w:val="none" w:sz="0" w:space="0" w:color="auto"/>
      </w:divBdr>
    </w:div>
    <w:div w:id="1718316672">
      <w:bodyDiv w:val="1"/>
      <w:marLeft w:val="0"/>
      <w:marRight w:val="0"/>
      <w:marTop w:val="0"/>
      <w:marBottom w:val="0"/>
      <w:divBdr>
        <w:top w:val="none" w:sz="0" w:space="0" w:color="auto"/>
        <w:left w:val="none" w:sz="0" w:space="0" w:color="auto"/>
        <w:bottom w:val="none" w:sz="0" w:space="0" w:color="auto"/>
        <w:right w:val="none" w:sz="0" w:space="0" w:color="auto"/>
      </w:divBdr>
    </w:div>
    <w:div w:id="1729769021">
      <w:bodyDiv w:val="1"/>
      <w:marLeft w:val="0"/>
      <w:marRight w:val="0"/>
      <w:marTop w:val="0"/>
      <w:marBottom w:val="0"/>
      <w:divBdr>
        <w:top w:val="none" w:sz="0" w:space="0" w:color="auto"/>
        <w:left w:val="none" w:sz="0" w:space="0" w:color="auto"/>
        <w:bottom w:val="none" w:sz="0" w:space="0" w:color="auto"/>
        <w:right w:val="none" w:sz="0" w:space="0" w:color="auto"/>
      </w:divBdr>
    </w:div>
    <w:div w:id="1739985167">
      <w:bodyDiv w:val="1"/>
      <w:marLeft w:val="0"/>
      <w:marRight w:val="0"/>
      <w:marTop w:val="0"/>
      <w:marBottom w:val="0"/>
      <w:divBdr>
        <w:top w:val="none" w:sz="0" w:space="0" w:color="auto"/>
        <w:left w:val="none" w:sz="0" w:space="0" w:color="auto"/>
        <w:bottom w:val="none" w:sz="0" w:space="0" w:color="auto"/>
        <w:right w:val="none" w:sz="0" w:space="0" w:color="auto"/>
      </w:divBdr>
    </w:div>
    <w:div w:id="1744789389">
      <w:bodyDiv w:val="1"/>
      <w:marLeft w:val="0"/>
      <w:marRight w:val="0"/>
      <w:marTop w:val="0"/>
      <w:marBottom w:val="0"/>
      <w:divBdr>
        <w:top w:val="none" w:sz="0" w:space="0" w:color="auto"/>
        <w:left w:val="none" w:sz="0" w:space="0" w:color="auto"/>
        <w:bottom w:val="none" w:sz="0" w:space="0" w:color="auto"/>
        <w:right w:val="none" w:sz="0" w:space="0" w:color="auto"/>
      </w:divBdr>
    </w:div>
    <w:div w:id="1750344870">
      <w:bodyDiv w:val="1"/>
      <w:marLeft w:val="0"/>
      <w:marRight w:val="0"/>
      <w:marTop w:val="0"/>
      <w:marBottom w:val="0"/>
      <w:divBdr>
        <w:top w:val="none" w:sz="0" w:space="0" w:color="auto"/>
        <w:left w:val="none" w:sz="0" w:space="0" w:color="auto"/>
        <w:bottom w:val="none" w:sz="0" w:space="0" w:color="auto"/>
        <w:right w:val="none" w:sz="0" w:space="0" w:color="auto"/>
      </w:divBdr>
    </w:div>
    <w:div w:id="1774396582">
      <w:bodyDiv w:val="1"/>
      <w:marLeft w:val="0"/>
      <w:marRight w:val="0"/>
      <w:marTop w:val="0"/>
      <w:marBottom w:val="0"/>
      <w:divBdr>
        <w:top w:val="none" w:sz="0" w:space="0" w:color="auto"/>
        <w:left w:val="none" w:sz="0" w:space="0" w:color="auto"/>
        <w:bottom w:val="none" w:sz="0" w:space="0" w:color="auto"/>
        <w:right w:val="none" w:sz="0" w:space="0" w:color="auto"/>
      </w:divBdr>
    </w:div>
    <w:div w:id="1786734254">
      <w:bodyDiv w:val="1"/>
      <w:marLeft w:val="0"/>
      <w:marRight w:val="0"/>
      <w:marTop w:val="0"/>
      <w:marBottom w:val="0"/>
      <w:divBdr>
        <w:top w:val="none" w:sz="0" w:space="0" w:color="auto"/>
        <w:left w:val="none" w:sz="0" w:space="0" w:color="auto"/>
        <w:bottom w:val="none" w:sz="0" w:space="0" w:color="auto"/>
        <w:right w:val="none" w:sz="0" w:space="0" w:color="auto"/>
      </w:divBdr>
    </w:div>
    <w:div w:id="1793553738">
      <w:bodyDiv w:val="1"/>
      <w:marLeft w:val="0"/>
      <w:marRight w:val="0"/>
      <w:marTop w:val="0"/>
      <w:marBottom w:val="0"/>
      <w:divBdr>
        <w:top w:val="none" w:sz="0" w:space="0" w:color="auto"/>
        <w:left w:val="none" w:sz="0" w:space="0" w:color="auto"/>
        <w:bottom w:val="none" w:sz="0" w:space="0" w:color="auto"/>
        <w:right w:val="none" w:sz="0" w:space="0" w:color="auto"/>
      </w:divBdr>
    </w:div>
    <w:div w:id="1797065029">
      <w:bodyDiv w:val="1"/>
      <w:marLeft w:val="0"/>
      <w:marRight w:val="0"/>
      <w:marTop w:val="0"/>
      <w:marBottom w:val="0"/>
      <w:divBdr>
        <w:top w:val="none" w:sz="0" w:space="0" w:color="auto"/>
        <w:left w:val="none" w:sz="0" w:space="0" w:color="auto"/>
        <w:bottom w:val="none" w:sz="0" w:space="0" w:color="auto"/>
        <w:right w:val="none" w:sz="0" w:space="0" w:color="auto"/>
      </w:divBdr>
    </w:div>
    <w:div w:id="1838612711">
      <w:bodyDiv w:val="1"/>
      <w:marLeft w:val="0"/>
      <w:marRight w:val="0"/>
      <w:marTop w:val="0"/>
      <w:marBottom w:val="0"/>
      <w:divBdr>
        <w:top w:val="none" w:sz="0" w:space="0" w:color="auto"/>
        <w:left w:val="none" w:sz="0" w:space="0" w:color="auto"/>
        <w:bottom w:val="none" w:sz="0" w:space="0" w:color="auto"/>
        <w:right w:val="none" w:sz="0" w:space="0" w:color="auto"/>
      </w:divBdr>
    </w:div>
    <w:div w:id="1846243081">
      <w:bodyDiv w:val="1"/>
      <w:marLeft w:val="0"/>
      <w:marRight w:val="0"/>
      <w:marTop w:val="0"/>
      <w:marBottom w:val="0"/>
      <w:divBdr>
        <w:top w:val="none" w:sz="0" w:space="0" w:color="auto"/>
        <w:left w:val="none" w:sz="0" w:space="0" w:color="auto"/>
        <w:bottom w:val="none" w:sz="0" w:space="0" w:color="auto"/>
        <w:right w:val="none" w:sz="0" w:space="0" w:color="auto"/>
      </w:divBdr>
    </w:div>
    <w:div w:id="1856263302">
      <w:bodyDiv w:val="1"/>
      <w:marLeft w:val="0"/>
      <w:marRight w:val="0"/>
      <w:marTop w:val="0"/>
      <w:marBottom w:val="0"/>
      <w:divBdr>
        <w:top w:val="none" w:sz="0" w:space="0" w:color="auto"/>
        <w:left w:val="none" w:sz="0" w:space="0" w:color="auto"/>
        <w:bottom w:val="none" w:sz="0" w:space="0" w:color="auto"/>
        <w:right w:val="none" w:sz="0" w:space="0" w:color="auto"/>
      </w:divBdr>
    </w:div>
    <w:div w:id="1871528885">
      <w:bodyDiv w:val="1"/>
      <w:marLeft w:val="0"/>
      <w:marRight w:val="0"/>
      <w:marTop w:val="0"/>
      <w:marBottom w:val="0"/>
      <w:divBdr>
        <w:top w:val="none" w:sz="0" w:space="0" w:color="auto"/>
        <w:left w:val="none" w:sz="0" w:space="0" w:color="auto"/>
        <w:bottom w:val="none" w:sz="0" w:space="0" w:color="auto"/>
        <w:right w:val="none" w:sz="0" w:space="0" w:color="auto"/>
      </w:divBdr>
    </w:div>
    <w:div w:id="1878854638">
      <w:bodyDiv w:val="1"/>
      <w:marLeft w:val="0"/>
      <w:marRight w:val="0"/>
      <w:marTop w:val="0"/>
      <w:marBottom w:val="0"/>
      <w:divBdr>
        <w:top w:val="none" w:sz="0" w:space="0" w:color="auto"/>
        <w:left w:val="none" w:sz="0" w:space="0" w:color="auto"/>
        <w:bottom w:val="none" w:sz="0" w:space="0" w:color="auto"/>
        <w:right w:val="none" w:sz="0" w:space="0" w:color="auto"/>
      </w:divBdr>
    </w:div>
    <w:div w:id="1883008102">
      <w:bodyDiv w:val="1"/>
      <w:marLeft w:val="0"/>
      <w:marRight w:val="0"/>
      <w:marTop w:val="0"/>
      <w:marBottom w:val="0"/>
      <w:divBdr>
        <w:top w:val="none" w:sz="0" w:space="0" w:color="auto"/>
        <w:left w:val="none" w:sz="0" w:space="0" w:color="auto"/>
        <w:bottom w:val="none" w:sz="0" w:space="0" w:color="auto"/>
        <w:right w:val="none" w:sz="0" w:space="0" w:color="auto"/>
      </w:divBdr>
    </w:div>
    <w:div w:id="1883054559">
      <w:bodyDiv w:val="1"/>
      <w:marLeft w:val="0"/>
      <w:marRight w:val="0"/>
      <w:marTop w:val="0"/>
      <w:marBottom w:val="0"/>
      <w:divBdr>
        <w:top w:val="none" w:sz="0" w:space="0" w:color="auto"/>
        <w:left w:val="none" w:sz="0" w:space="0" w:color="auto"/>
        <w:bottom w:val="none" w:sz="0" w:space="0" w:color="auto"/>
        <w:right w:val="none" w:sz="0" w:space="0" w:color="auto"/>
      </w:divBdr>
    </w:div>
    <w:div w:id="1889102623">
      <w:bodyDiv w:val="1"/>
      <w:marLeft w:val="0"/>
      <w:marRight w:val="0"/>
      <w:marTop w:val="0"/>
      <w:marBottom w:val="0"/>
      <w:divBdr>
        <w:top w:val="none" w:sz="0" w:space="0" w:color="auto"/>
        <w:left w:val="none" w:sz="0" w:space="0" w:color="auto"/>
        <w:bottom w:val="none" w:sz="0" w:space="0" w:color="auto"/>
        <w:right w:val="none" w:sz="0" w:space="0" w:color="auto"/>
      </w:divBdr>
    </w:div>
    <w:div w:id="1903828986">
      <w:bodyDiv w:val="1"/>
      <w:marLeft w:val="0"/>
      <w:marRight w:val="0"/>
      <w:marTop w:val="0"/>
      <w:marBottom w:val="0"/>
      <w:divBdr>
        <w:top w:val="none" w:sz="0" w:space="0" w:color="auto"/>
        <w:left w:val="none" w:sz="0" w:space="0" w:color="auto"/>
        <w:bottom w:val="none" w:sz="0" w:space="0" w:color="auto"/>
        <w:right w:val="none" w:sz="0" w:space="0" w:color="auto"/>
      </w:divBdr>
    </w:div>
    <w:div w:id="1905531075">
      <w:bodyDiv w:val="1"/>
      <w:marLeft w:val="0"/>
      <w:marRight w:val="0"/>
      <w:marTop w:val="0"/>
      <w:marBottom w:val="0"/>
      <w:divBdr>
        <w:top w:val="none" w:sz="0" w:space="0" w:color="auto"/>
        <w:left w:val="none" w:sz="0" w:space="0" w:color="auto"/>
        <w:bottom w:val="none" w:sz="0" w:space="0" w:color="auto"/>
        <w:right w:val="none" w:sz="0" w:space="0" w:color="auto"/>
      </w:divBdr>
    </w:div>
    <w:div w:id="1958835196">
      <w:bodyDiv w:val="1"/>
      <w:marLeft w:val="0"/>
      <w:marRight w:val="0"/>
      <w:marTop w:val="0"/>
      <w:marBottom w:val="0"/>
      <w:divBdr>
        <w:top w:val="none" w:sz="0" w:space="0" w:color="auto"/>
        <w:left w:val="none" w:sz="0" w:space="0" w:color="auto"/>
        <w:bottom w:val="none" w:sz="0" w:space="0" w:color="auto"/>
        <w:right w:val="none" w:sz="0" w:space="0" w:color="auto"/>
      </w:divBdr>
    </w:div>
    <w:div w:id="1960405510">
      <w:bodyDiv w:val="1"/>
      <w:marLeft w:val="0"/>
      <w:marRight w:val="0"/>
      <w:marTop w:val="0"/>
      <w:marBottom w:val="0"/>
      <w:divBdr>
        <w:top w:val="none" w:sz="0" w:space="0" w:color="auto"/>
        <w:left w:val="none" w:sz="0" w:space="0" w:color="auto"/>
        <w:bottom w:val="none" w:sz="0" w:space="0" w:color="auto"/>
        <w:right w:val="none" w:sz="0" w:space="0" w:color="auto"/>
      </w:divBdr>
    </w:div>
    <w:div w:id="1960721356">
      <w:bodyDiv w:val="1"/>
      <w:marLeft w:val="0"/>
      <w:marRight w:val="0"/>
      <w:marTop w:val="0"/>
      <w:marBottom w:val="0"/>
      <w:divBdr>
        <w:top w:val="none" w:sz="0" w:space="0" w:color="auto"/>
        <w:left w:val="none" w:sz="0" w:space="0" w:color="auto"/>
        <w:bottom w:val="none" w:sz="0" w:space="0" w:color="auto"/>
        <w:right w:val="none" w:sz="0" w:space="0" w:color="auto"/>
      </w:divBdr>
    </w:div>
    <w:div w:id="1962764648">
      <w:bodyDiv w:val="1"/>
      <w:marLeft w:val="0"/>
      <w:marRight w:val="0"/>
      <w:marTop w:val="0"/>
      <w:marBottom w:val="0"/>
      <w:divBdr>
        <w:top w:val="none" w:sz="0" w:space="0" w:color="auto"/>
        <w:left w:val="none" w:sz="0" w:space="0" w:color="auto"/>
        <w:bottom w:val="none" w:sz="0" w:space="0" w:color="auto"/>
        <w:right w:val="none" w:sz="0" w:space="0" w:color="auto"/>
      </w:divBdr>
    </w:div>
    <w:div w:id="1963225551">
      <w:bodyDiv w:val="1"/>
      <w:marLeft w:val="0"/>
      <w:marRight w:val="0"/>
      <w:marTop w:val="0"/>
      <w:marBottom w:val="0"/>
      <w:divBdr>
        <w:top w:val="none" w:sz="0" w:space="0" w:color="auto"/>
        <w:left w:val="none" w:sz="0" w:space="0" w:color="auto"/>
        <w:bottom w:val="none" w:sz="0" w:space="0" w:color="auto"/>
        <w:right w:val="none" w:sz="0" w:space="0" w:color="auto"/>
      </w:divBdr>
    </w:div>
    <w:div w:id="1963730804">
      <w:bodyDiv w:val="1"/>
      <w:marLeft w:val="0"/>
      <w:marRight w:val="0"/>
      <w:marTop w:val="0"/>
      <w:marBottom w:val="0"/>
      <w:divBdr>
        <w:top w:val="none" w:sz="0" w:space="0" w:color="auto"/>
        <w:left w:val="none" w:sz="0" w:space="0" w:color="auto"/>
        <w:bottom w:val="none" w:sz="0" w:space="0" w:color="auto"/>
        <w:right w:val="none" w:sz="0" w:space="0" w:color="auto"/>
      </w:divBdr>
    </w:div>
    <w:div w:id="1964654061">
      <w:bodyDiv w:val="1"/>
      <w:marLeft w:val="0"/>
      <w:marRight w:val="0"/>
      <w:marTop w:val="0"/>
      <w:marBottom w:val="0"/>
      <w:divBdr>
        <w:top w:val="none" w:sz="0" w:space="0" w:color="auto"/>
        <w:left w:val="none" w:sz="0" w:space="0" w:color="auto"/>
        <w:bottom w:val="none" w:sz="0" w:space="0" w:color="auto"/>
        <w:right w:val="none" w:sz="0" w:space="0" w:color="auto"/>
      </w:divBdr>
    </w:div>
    <w:div w:id="1971354086">
      <w:bodyDiv w:val="1"/>
      <w:marLeft w:val="0"/>
      <w:marRight w:val="0"/>
      <w:marTop w:val="0"/>
      <w:marBottom w:val="0"/>
      <w:divBdr>
        <w:top w:val="none" w:sz="0" w:space="0" w:color="auto"/>
        <w:left w:val="none" w:sz="0" w:space="0" w:color="auto"/>
        <w:bottom w:val="none" w:sz="0" w:space="0" w:color="auto"/>
        <w:right w:val="none" w:sz="0" w:space="0" w:color="auto"/>
      </w:divBdr>
    </w:div>
    <w:div w:id="1974289720">
      <w:bodyDiv w:val="1"/>
      <w:marLeft w:val="0"/>
      <w:marRight w:val="0"/>
      <w:marTop w:val="0"/>
      <w:marBottom w:val="0"/>
      <w:divBdr>
        <w:top w:val="none" w:sz="0" w:space="0" w:color="auto"/>
        <w:left w:val="none" w:sz="0" w:space="0" w:color="auto"/>
        <w:bottom w:val="none" w:sz="0" w:space="0" w:color="auto"/>
        <w:right w:val="none" w:sz="0" w:space="0" w:color="auto"/>
      </w:divBdr>
    </w:div>
    <w:div w:id="1997220649">
      <w:bodyDiv w:val="1"/>
      <w:marLeft w:val="0"/>
      <w:marRight w:val="0"/>
      <w:marTop w:val="0"/>
      <w:marBottom w:val="0"/>
      <w:divBdr>
        <w:top w:val="none" w:sz="0" w:space="0" w:color="auto"/>
        <w:left w:val="none" w:sz="0" w:space="0" w:color="auto"/>
        <w:bottom w:val="none" w:sz="0" w:space="0" w:color="auto"/>
        <w:right w:val="none" w:sz="0" w:space="0" w:color="auto"/>
      </w:divBdr>
    </w:div>
    <w:div w:id="2002387561">
      <w:bodyDiv w:val="1"/>
      <w:marLeft w:val="0"/>
      <w:marRight w:val="0"/>
      <w:marTop w:val="0"/>
      <w:marBottom w:val="0"/>
      <w:divBdr>
        <w:top w:val="none" w:sz="0" w:space="0" w:color="auto"/>
        <w:left w:val="none" w:sz="0" w:space="0" w:color="auto"/>
        <w:bottom w:val="none" w:sz="0" w:space="0" w:color="auto"/>
        <w:right w:val="none" w:sz="0" w:space="0" w:color="auto"/>
      </w:divBdr>
    </w:div>
    <w:div w:id="2002387651">
      <w:bodyDiv w:val="1"/>
      <w:marLeft w:val="0"/>
      <w:marRight w:val="0"/>
      <w:marTop w:val="0"/>
      <w:marBottom w:val="0"/>
      <w:divBdr>
        <w:top w:val="none" w:sz="0" w:space="0" w:color="auto"/>
        <w:left w:val="none" w:sz="0" w:space="0" w:color="auto"/>
        <w:bottom w:val="none" w:sz="0" w:space="0" w:color="auto"/>
        <w:right w:val="none" w:sz="0" w:space="0" w:color="auto"/>
      </w:divBdr>
    </w:div>
    <w:div w:id="2012946098">
      <w:bodyDiv w:val="1"/>
      <w:marLeft w:val="0"/>
      <w:marRight w:val="0"/>
      <w:marTop w:val="0"/>
      <w:marBottom w:val="0"/>
      <w:divBdr>
        <w:top w:val="none" w:sz="0" w:space="0" w:color="auto"/>
        <w:left w:val="none" w:sz="0" w:space="0" w:color="auto"/>
        <w:bottom w:val="none" w:sz="0" w:space="0" w:color="auto"/>
        <w:right w:val="none" w:sz="0" w:space="0" w:color="auto"/>
      </w:divBdr>
    </w:div>
    <w:div w:id="2034304686">
      <w:bodyDiv w:val="1"/>
      <w:marLeft w:val="0"/>
      <w:marRight w:val="0"/>
      <w:marTop w:val="0"/>
      <w:marBottom w:val="0"/>
      <w:divBdr>
        <w:top w:val="none" w:sz="0" w:space="0" w:color="auto"/>
        <w:left w:val="none" w:sz="0" w:space="0" w:color="auto"/>
        <w:bottom w:val="none" w:sz="0" w:space="0" w:color="auto"/>
        <w:right w:val="none" w:sz="0" w:space="0" w:color="auto"/>
      </w:divBdr>
    </w:div>
    <w:div w:id="2039618744">
      <w:bodyDiv w:val="1"/>
      <w:marLeft w:val="0"/>
      <w:marRight w:val="0"/>
      <w:marTop w:val="0"/>
      <w:marBottom w:val="0"/>
      <w:divBdr>
        <w:top w:val="none" w:sz="0" w:space="0" w:color="auto"/>
        <w:left w:val="none" w:sz="0" w:space="0" w:color="auto"/>
        <w:bottom w:val="none" w:sz="0" w:space="0" w:color="auto"/>
        <w:right w:val="none" w:sz="0" w:space="0" w:color="auto"/>
      </w:divBdr>
    </w:div>
    <w:div w:id="2039621000">
      <w:bodyDiv w:val="1"/>
      <w:marLeft w:val="0"/>
      <w:marRight w:val="0"/>
      <w:marTop w:val="0"/>
      <w:marBottom w:val="0"/>
      <w:divBdr>
        <w:top w:val="none" w:sz="0" w:space="0" w:color="auto"/>
        <w:left w:val="none" w:sz="0" w:space="0" w:color="auto"/>
        <w:bottom w:val="none" w:sz="0" w:space="0" w:color="auto"/>
        <w:right w:val="none" w:sz="0" w:space="0" w:color="auto"/>
      </w:divBdr>
    </w:div>
    <w:div w:id="2052873079">
      <w:bodyDiv w:val="1"/>
      <w:marLeft w:val="0"/>
      <w:marRight w:val="0"/>
      <w:marTop w:val="0"/>
      <w:marBottom w:val="0"/>
      <w:divBdr>
        <w:top w:val="none" w:sz="0" w:space="0" w:color="auto"/>
        <w:left w:val="none" w:sz="0" w:space="0" w:color="auto"/>
        <w:bottom w:val="none" w:sz="0" w:space="0" w:color="auto"/>
        <w:right w:val="none" w:sz="0" w:space="0" w:color="auto"/>
      </w:divBdr>
    </w:div>
    <w:div w:id="2068064551">
      <w:bodyDiv w:val="1"/>
      <w:marLeft w:val="0"/>
      <w:marRight w:val="0"/>
      <w:marTop w:val="0"/>
      <w:marBottom w:val="0"/>
      <w:divBdr>
        <w:top w:val="none" w:sz="0" w:space="0" w:color="auto"/>
        <w:left w:val="none" w:sz="0" w:space="0" w:color="auto"/>
        <w:bottom w:val="none" w:sz="0" w:space="0" w:color="auto"/>
        <w:right w:val="none" w:sz="0" w:space="0" w:color="auto"/>
      </w:divBdr>
    </w:div>
    <w:div w:id="2076394623">
      <w:bodyDiv w:val="1"/>
      <w:marLeft w:val="0"/>
      <w:marRight w:val="0"/>
      <w:marTop w:val="0"/>
      <w:marBottom w:val="0"/>
      <w:divBdr>
        <w:top w:val="none" w:sz="0" w:space="0" w:color="auto"/>
        <w:left w:val="none" w:sz="0" w:space="0" w:color="auto"/>
        <w:bottom w:val="none" w:sz="0" w:space="0" w:color="auto"/>
        <w:right w:val="none" w:sz="0" w:space="0" w:color="auto"/>
      </w:divBdr>
    </w:div>
    <w:div w:id="2086418472">
      <w:bodyDiv w:val="1"/>
      <w:marLeft w:val="0"/>
      <w:marRight w:val="0"/>
      <w:marTop w:val="0"/>
      <w:marBottom w:val="0"/>
      <w:divBdr>
        <w:top w:val="none" w:sz="0" w:space="0" w:color="auto"/>
        <w:left w:val="none" w:sz="0" w:space="0" w:color="auto"/>
        <w:bottom w:val="none" w:sz="0" w:space="0" w:color="auto"/>
        <w:right w:val="none" w:sz="0" w:space="0" w:color="auto"/>
      </w:divBdr>
    </w:div>
    <w:div w:id="2092576419">
      <w:bodyDiv w:val="1"/>
      <w:marLeft w:val="0"/>
      <w:marRight w:val="0"/>
      <w:marTop w:val="0"/>
      <w:marBottom w:val="0"/>
      <w:divBdr>
        <w:top w:val="none" w:sz="0" w:space="0" w:color="auto"/>
        <w:left w:val="none" w:sz="0" w:space="0" w:color="auto"/>
        <w:bottom w:val="none" w:sz="0" w:space="0" w:color="auto"/>
        <w:right w:val="none" w:sz="0" w:space="0" w:color="auto"/>
      </w:divBdr>
    </w:div>
    <w:div w:id="2116055131">
      <w:bodyDiv w:val="1"/>
      <w:marLeft w:val="0"/>
      <w:marRight w:val="0"/>
      <w:marTop w:val="0"/>
      <w:marBottom w:val="0"/>
      <w:divBdr>
        <w:top w:val="none" w:sz="0" w:space="0" w:color="auto"/>
        <w:left w:val="none" w:sz="0" w:space="0" w:color="auto"/>
        <w:bottom w:val="none" w:sz="0" w:space="0" w:color="auto"/>
        <w:right w:val="none" w:sz="0" w:space="0" w:color="auto"/>
      </w:divBdr>
    </w:div>
    <w:div w:id="2120877809">
      <w:bodyDiv w:val="1"/>
      <w:marLeft w:val="0"/>
      <w:marRight w:val="0"/>
      <w:marTop w:val="0"/>
      <w:marBottom w:val="0"/>
      <w:divBdr>
        <w:top w:val="none" w:sz="0" w:space="0" w:color="auto"/>
        <w:left w:val="none" w:sz="0" w:space="0" w:color="auto"/>
        <w:bottom w:val="none" w:sz="0" w:space="0" w:color="auto"/>
        <w:right w:val="none" w:sz="0" w:space="0" w:color="auto"/>
      </w:divBdr>
    </w:div>
    <w:div w:id="2136680993">
      <w:bodyDiv w:val="1"/>
      <w:marLeft w:val="0"/>
      <w:marRight w:val="0"/>
      <w:marTop w:val="0"/>
      <w:marBottom w:val="0"/>
      <w:divBdr>
        <w:top w:val="none" w:sz="0" w:space="0" w:color="auto"/>
        <w:left w:val="none" w:sz="0" w:space="0" w:color="auto"/>
        <w:bottom w:val="none" w:sz="0" w:space="0" w:color="auto"/>
        <w:right w:val="none" w:sz="0" w:space="0" w:color="auto"/>
      </w:divBdr>
    </w:div>
    <w:div w:id="21467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hyperlink" Target="https://www.esma.europa.eu/press-news/esma-news/esma-monitors-volatility-in-financial-markets" TargetMode="Externa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hyperlink" Target="https://www.esma.europa.eu/press-news/esma-news/esma-consults-stress-testing-rules-money-market-funds" TargetMode="External"/><Relationship Id="rId47" Type="http://schemas.openxmlformats.org/officeDocument/2006/relationships/hyperlink" Target="http://www.mas.gov.sg/News-and-Publications/Media-Releases/2018/MAS-consults-on-measures-to-strengthen-cyber-resilience-of-financial-institutions.aspx" TargetMode="External"/><Relationship Id="rId50" Type="http://schemas.openxmlformats.org/officeDocument/2006/relationships/hyperlink" Target="http://www.mas.gov.sg/News-and-Publications/Media-Releases/2018/MAS-Outlines-Enforcement-Approach-to-Deter-Detect-and-Investigate-Breaches-of-Rules-and-Regulations.aspx" TargetMode="External"/><Relationship Id="rId55" Type="http://schemas.openxmlformats.org/officeDocument/2006/relationships/hyperlink" Target="http://egazette.nic.in/WriteReadData/2018/184469.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hyperlink" Target="https://www.esma.europa.eu/press-news/esma-news/esma-finds-high-level-diversity-in-national-markets-structured-retail-products" TargetMode="External"/><Relationship Id="rId54" Type="http://schemas.openxmlformats.org/officeDocument/2006/relationships/hyperlink" Target="http://egazette.nic.in/WriteReadData/2018/184469.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hyperlink" Target="https://www.esma.europa.eu/press-news/esma-news/esma-finds-deterioration-in-liquidity-in-stressed-financial-markets-both" TargetMode="External"/><Relationship Id="rId40" Type="http://schemas.openxmlformats.org/officeDocument/2006/relationships/hyperlink" Target="https://www.esma.europa.eu/sites/default/files/library/esma_50-165-632_report_on_trends_risks_and_vulnerabilities_no.2_2018.pdf" TargetMode="External"/><Relationship Id="rId45" Type="http://schemas.openxmlformats.org/officeDocument/2006/relationships/hyperlink" Target="https://www.asic.gov.au/about-asic/news-centre/find-a-media-release/2018-releases/18-273mr-asic-reports-on-climate-risk-disclosure-by-australia-s-listed-companies/" TargetMode="External"/><Relationship Id="rId53" Type="http://schemas.openxmlformats.org/officeDocument/2006/relationships/hyperlink" Target="https://www.sebi.gov.in/legal/circulars/sep-2018/eligibility-conditions-for-foreign-portfolio-investors-fpis-_40409.html" TargetMode="External"/><Relationship Id="rId58" Type="http://schemas.openxmlformats.org/officeDocument/2006/relationships/hyperlink" Target="https://www.sebi.gov.in/legal/circulars/sep-2018/applicability-of-circulars-issued-for-commodity-derivatives-markets_40515.html"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hyperlink" Target="http://www.iosco.org/news/pdf/IOSCONEWS511.pdf" TargetMode="External"/><Relationship Id="rId49" Type="http://schemas.openxmlformats.org/officeDocument/2006/relationships/hyperlink" Target="http://www.mas.gov.sg/News-and-Publications/Media-Releases/2018/Worlds-First-Cross-Border-Open-Architecture-Platform-to-Improve-Financial-Inclusion.aspx" TargetMode="External"/><Relationship Id="rId57" Type="http://schemas.openxmlformats.org/officeDocument/2006/relationships/hyperlink" Target="http://egazette.nic.in/WriteReadData/2018/184469.pdf" TargetMode="External"/><Relationship Id="rId61" Type="http://schemas.openxmlformats.org/officeDocument/2006/relationships/fontTable" Target="fontTable.xml"/><Relationship Id="rId10" Type="http://schemas.openxmlformats.org/officeDocument/2006/relationships/hyperlink" Target="mailto:bulletin@sebi.gov.in"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hyperlink" Target="https://www.world-exchanges.org/home/index.php/news/world-exchange-news/the-world-federation-of-exchanges-calls-for-global-reform-of-leverage-ratio" TargetMode="External"/><Relationship Id="rId52" Type="http://schemas.openxmlformats.org/officeDocument/2006/relationships/hyperlink" Target="https://www.sebi.gov.in/legal/circulars/sep-2018/know-your-client-requirements-for-foreign-portfolio-investors-fpis-_40408.htm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bi.gov.in"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yperlink" Target="http://www.iosco.org/news/pdf/IOSCONEWS510.pdf" TargetMode="External"/><Relationship Id="rId43" Type="http://schemas.openxmlformats.org/officeDocument/2006/relationships/hyperlink" Target="http://www.fsb.org/wp-content/uploads/P070818.pdf" TargetMode="External"/><Relationship Id="rId48" Type="http://schemas.openxmlformats.org/officeDocument/2006/relationships/hyperlink" Target="http://www.mas.gov.sg/News-and-Publications/Media-Releases/2018/MAS-introduces-new-corporate-structure-to-enhance-fund-ecosystem-in-Singapore.aspx" TargetMode="External"/><Relationship Id="rId56" Type="http://schemas.openxmlformats.org/officeDocument/2006/relationships/hyperlink" Target="http://egazette.nic.in/WriteReadData/2018/184469.pdf" TargetMode="External"/><Relationship Id="rId8" Type="http://schemas.openxmlformats.org/officeDocument/2006/relationships/hyperlink" Target="mailto:bulletin@sebi.gov.in" TargetMode="External"/><Relationship Id="rId51" Type="http://schemas.openxmlformats.org/officeDocument/2006/relationships/hyperlink" Target="https://www.sebi.gov.in/legal/circulars/sep-2018/amendment-to-sebi-credit-rating-agencies-regulations-1999-and-modification-to-sebi-circular-dated-may-30-2018_40366.html"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hyperlink" Target="https://www.esma.europa.eu/sites/default/files/library/esma_50-165-632_report_on_trends_risks_and_vulnerabilities_no.2_2018.pdf" TargetMode="External"/><Relationship Id="rId46" Type="http://schemas.openxmlformats.org/officeDocument/2006/relationships/hyperlink" Target="https://www.asic.gov.au/about-asic/news-centre/find-a-media-release/2018-releases/18-264mr-asic-reports-on-review-of-asx-group-s-technology-governance-and-operational-risk-management-standards/" TargetMode="External"/><Relationship Id="rId59" Type="http://schemas.openxmlformats.org/officeDocument/2006/relationships/hyperlink" Target="http://www.sebi.gov.in/enforcement/order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2004\Desktop\SEBI%20Bulletin\2018\October\Capital%20Market%20Review%20-%20Oct%202018.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Users\2201\Desktop\Month-wise%20Bulletin\Bulletins%20Jan.%202018%20to%20Dec.%202018\Sept.%202018\Graph%20data%20for%20Comm%20%20review%20%20Sept.%20%2018.xlsx" TargetMode="External"/><Relationship Id="rId2" Type="http://schemas.microsoft.com/office/2011/relationships/chartColorStyle" Target="colors3.xml"/><Relationship Id="rId1" Type="http://schemas.microsoft.com/office/2011/relationships/chartStyle" Target="style3.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2201\Desktop\Month-wise%20Bulletin\Bulletins%20Jan.%202018%20to%20Dec.%202018\Sept.%202018\Graph%20data%20for%20Comm%20%20review%20%20Sept.%20%2018.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2201\Desktop\Month-wise%20Bulletin\Bulletins%20Jan.%202018%20to%20Dec.%202018\Sept.%202018\Graph%20data%20for%20Comm%20%20review%20%20Sept.%20%2018.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2201\Desktop\Month-wise%20Bulletin\Bulletins%20Jan.%202018%20to%20Dec.%202018\Sept.%202018\Graph%20data%20for%20Comm%20%20review%20%20Sept.%20%2018.xlsx" TargetMode="External"/><Relationship Id="rId2" Type="http://schemas.microsoft.com/office/2011/relationships/chartColorStyle" Target="colors5.xml"/><Relationship Id="rId1" Type="http://schemas.microsoft.com/office/2011/relationships/chartStyle" Target="style5.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2201\Desktop\Monthly%20Report\Monthly%20Report%20-2018\Excel%20file%20for%20Monthly%20report.xlsx" TargetMode="External"/><Relationship Id="rId2" Type="http://schemas.microsoft.com/office/2011/relationships/chartColorStyle" Target="colors6.xml"/><Relationship Id="rId1" Type="http://schemas.microsoft.com/office/2011/relationships/chartStyle" Target="style6.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2004\AppData\Local\Microsoft\Windows\Temporary%20Internet%20Files\Content.Outlook\CVT08PXE\Capital%20Market%20Review%20-%20Oct%202018_Akt_Graph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2004\AppData\Local\Microsoft\Windows\Temporary%20Internet%20Files\Content.Outlook\CVT08PXE\Capital%20Market%20Review%20-%20Oct%202018_Akt_Graphs.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C:\Users\2004\AppData\Local\Microsoft\Windows\Temporary%20Internet%20Files\Content.Outlook\CVT08PXE\Capital%20Market%20Review%20-%20Oct%202018_Akt_Graphs.xlsx" TargetMode="External"/><Relationship Id="rId2" Type="http://schemas.microsoft.com/office/2011/relationships/chartColorStyle" Target="colors7.xml"/><Relationship Id="rId1" Type="http://schemas.microsoft.com/office/2011/relationships/chartStyle" Target="style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2004\Desktop\SEBI%20Bulletin\2018\October\Capital%20Market%20Review%20-%20Oct%202018.xlsx" TargetMode="External"/><Relationship Id="rId2" Type="http://schemas.microsoft.com/office/2011/relationships/chartColorStyle" Target="colors8.xml"/><Relationship Id="rId1" Type="http://schemas.microsoft.com/office/2011/relationships/chartStyle" Target="style8.xml"/></Relationships>
</file>

<file path=word/charts/_rels/chart19.xml.rels><?xml version="1.0" encoding="UTF-8" standalone="yes"?>
<Relationships xmlns="http://schemas.openxmlformats.org/package/2006/relationships"><Relationship Id="rId3" Type="http://schemas.openxmlformats.org/officeDocument/2006/relationships/oleObject" Target="file:///D:\BULLETIN\Monthly%20Global%20Review\2018-19\Master%20File%20for%20Global%20Review.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2004\Desktop\SEBI%20Bulletin\2018\October\Capital%20Market%20Review%20-%20Oct%202018.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D:\BULLETIN\Monthly%20Global%20Review\2018-19\Master%20File%20for%20Global%20Review.xlsx" TargetMode="External"/><Relationship Id="rId2" Type="http://schemas.microsoft.com/office/2011/relationships/chartColorStyle" Target="colors10.xml"/><Relationship Id="rId1" Type="http://schemas.microsoft.com/office/2011/relationships/chartStyle" Target="style10.xml"/></Relationships>
</file>

<file path=word/charts/_rels/chart21.xml.rels><?xml version="1.0" encoding="UTF-8" standalone="yes"?>
<Relationships xmlns="http://schemas.openxmlformats.org/package/2006/relationships"><Relationship Id="rId3" Type="http://schemas.openxmlformats.org/officeDocument/2006/relationships/oleObject" Target="file:///D:\BULLETIN\Monthly%20Global%20Review\2018-19\Master%20File%20for%20Global%20Review.xlsx" TargetMode="External"/><Relationship Id="rId2" Type="http://schemas.microsoft.com/office/2011/relationships/chartColorStyle" Target="colors11.xml"/><Relationship Id="rId1" Type="http://schemas.microsoft.com/office/2011/relationships/chartStyle" Target="style11.xml"/></Relationships>
</file>

<file path=word/charts/_rels/chart22.xml.rels><?xml version="1.0" encoding="UTF-8" standalone="yes"?>
<Relationships xmlns="http://schemas.openxmlformats.org/package/2006/relationships"><Relationship Id="rId3" Type="http://schemas.openxmlformats.org/officeDocument/2006/relationships/oleObject" Target="file:///D:\BULLETIN\Monthly%20Global%20Review\2018-19\Master%20File%20for%20Global%20Review.xlsx" TargetMode="External"/><Relationship Id="rId2" Type="http://schemas.microsoft.com/office/2011/relationships/chartColorStyle" Target="colors12.xml"/><Relationship Id="rId1" Type="http://schemas.microsoft.com/office/2011/relationships/chartStyle" Target="style12.xml"/></Relationships>
</file>

<file path=word/charts/_rels/chart23.xml.rels><?xml version="1.0" encoding="UTF-8" standalone="yes"?>
<Relationships xmlns="http://schemas.openxmlformats.org/package/2006/relationships"><Relationship Id="rId3" Type="http://schemas.openxmlformats.org/officeDocument/2006/relationships/oleObject" Target="file:///D:\BULLETIN\Monthly%20Global%20Review\2018-19\Master%20File%20for%20Global%20Review.xlsx" TargetMode="External"/><Relationship Id="rId2" Type="http://schemas.microsoft.com/office/2011/relationships/chartColorStyle" Target="colors13.xml"/><Relationship Id="rId1" Type="http://schemas.microsoft.com/office/2011/relationships/chartStyle" Target="style13.xml"/></Relationships>
</file>

<file path=word/charts/_rels/chart24.xml.rels><?xml version="1.0" encoding="UTF-8" standalone="yes"?>
<Relationships xmlns="http://schemas.openxmlformats.org/package/2006/relationships"><Relationship Id="rId3" Type="http://schemas.openxmlformats.org/officeDocument/2006/relationships/oleObject" Target="file:///D:\BULLETIN\Monthly%20Global%20Review\2018-19\Master%20File%20for%20Global%20Review.xlsx" TargetMode="External"/><Relationship Id="rId2" Type="http://schemas.microsoft.com/office/2011/relationships/chartColorStyle" Target="colors14.xml"/><Relationship Id="rId1" Type="http://schemas.microsoft.com/office/2011/relationships/chartStyle" Target="style14.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2004\Desktop\SEBI%20Bulletin\2018\October\Capital%20Market%20Review%20-%20Oct%202018.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2004\Desktop\SEBI%20Bulletin\2018\October\Capital%20Market%20Review%20-%20Oct%202018.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2004\Desktop\SEBI%20Bulletin\2018\October\Capital%20Market%20Review%20-%20Oct%202018.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2001\Desktop\Capital%20Market%20Review%20-%20Oct%202018.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2004\Desktop\SEBI%20Bulletin\2018\October\Capital%20Market%20Review%20-%20Oct%2012,%202018.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2004\Desktop\SEBI%20Bulletin\2018\October\Capital%20Market%20Review%20-%20Oct%20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2004\Desktop\SEBI%20Bulletin\2018\October\Capital%20Market%20Review%20-%20Oct%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78551817844014"/>
          <c:y val="4.9725721827884102E-2"/>
          <c:w val="0.76008327803796716"/>
          <c:h val="0.56980476755474063"/>
        </c:manualLayout>
      </c:layout>
      <c:lineChart>
        <c:grouping val="standard"/>
        <c:varyColors val="0"/>
        <c:ser>
          <c:idx val="0"/>
          <c:order val="0"/>
          <c:tx>
            <c:strRef>
              <c:f>'F1'!$B$1</c:f>
              <c:strCache>
                <c:ptCount val="1"/>
                <c:pt idx="0">
                  <c:v>Sensex (LHS)</c:v>
                </c:pt>
              </c:strCache>
            </c:strRef>
          </c:tx>
          <c:marker>
            <c:symbol val="none"/>
          </c:marker>
          <c:cat>
            <c:numRef>
              <c:f>'F1'!$A$23:$A$269</c:f>
              <c:numCache>
                <c:formatCode>[$-409]mmm\-yy;@</c:formatCode>
                <c:ptCount val="247"/>
                <c:pt idx="0">
                  <c:v>43011</c:v>
                </c:pt>
                <c:pt idx="1">
                  <c:v>43012</c:v>
                </c:pt>
                <c:pt idx="2">
                  <c:v>43013</c:v>
                </c:pt>
                <c:pt idx="3">
                  <c:v>43014</c:v>
                </c:pt>
                <c:pt idx="4">
                  <c:v>43017</c:v>
                </c:pt>
                <c:pt idx="5">
                  <c:v>43018</c:v>
                </c:pt>
                <c:pt idx="6">
                  <c:v>43019</c:v>
                </c:pt>
                <c:pt idx="7">
                  <c:v>43020</c:v>
                </c:pt>
                <c:pt idx="8">
                  <c:v>43021</c:v>
                </c:pt>
                <c:pt idx="9">
                  <c:v>43024</c:v>
                </c:pt>
                <c:pt idx="10">
                  <c:v>43025</c:v>
                </c:pt>
                <c:pt idx="11">
                  <c:v>43026</c:v>
                </c:pt>
                <c:pt idx="12">
                  <c:v>43027</c:v>
                </c:pt>
                <c:pt idx="13">
                  <c:v>43031</c:v>
                </c:pt>
                <c:pt idx="14">
                  <c:v>43032</c:v>
                </c:pt>
                <c:pt idx="15">
                  <c:v>43033</c:v>
                </c:pt>
                <c:pt idx="16">
                  <c:v>43034</c:v>
                </c:pt>
                <c:pt idx="17">
                  <c:v>43035</c:v>
                </c:pt>
                <c:pt idx="18">
                  <c:v>43038</c:v>
                </c:pt>
                <c:pt idx="19">
                  <c:v>43039</c:v>
                </c:pt>
                <c:pt idx="20">
                  <c:v>43040</c:v>
                </c:pt>
                <c:pt idx="21">
                  <c:v>43041</c:v>
                </c:pt>
                <c:pt idx="22">
                  <c:v>43042</c:v>
                </c:pt>
                <c:pt idx="23">
                  <c:v>43045</c:v>
                </c:pt>
                <c:pt idx="24">
                  <c:v>43046</c:v>
                </c:pt>
                <c:pt idx="25">
                  <c:v>43047</c:v>
                </c:pt>
                <c:pt idx="26">
                  <c:v>43048</c:v>
                </c:pt>
                <c:pt idx="27">
                  <c:v>43049</c:v>
                </c:pt>
                <c:pt idx="28">
                  <c:v>43052</c:v>
                </c:pt>
                <c:pt idx="29">
                  <c:v>43053</c:v>
                </c:pt>
                <c:pt idx="30">
                  <c:v>43054</c:v>
                </c:pt>
                <c:pt idx="31">
                  <c:v>43055</c:v>
                </c:pt>
                <c:pt idx="32">
                  <c:v>43056</c:v>
                </c:pt>
                <c:pt idx="33">
                  <c:v>43059</c:v>
                </c:pt>
                <c:pt idx="34">
                  <c:v>43060</c:v>
                </c:pt>
                <c:pt idx="35">
                  <c:v>43061</c:v>
                </c:pt>
                <c:pt idx="36">
                  <c:v>43062</c:v>
                </c:pt>
                <c:pt idx="37">
                  <c:v>43063</c:v>
                </c:pt>
                <c:pt idx="38">
                  <c:v>43066</c:v>
                </c:pt>
                <c:pt idx="39">
                  <c:v>43067</c:v>
                </c:pt>
                <c:pt idx="40">
                  <c:v>43068</c:v>
                </c:pt>
                <c:pt idx="41">
                  <c:v>43069</c:v>
                </c:pt>
                <c:pt idx="42">
                  <c:v>43070</c:v>
                </c:pt>
                <c:pt idx="43">
                  <c:v>43073</c:v>
                </c:pt>
                <c:pt idx="44">
                  <c:v>43074</c:v>
                </c:pt>
                <c:pt idx="45">
                  <c:v>43075</c:v>
                </c:pt>
                <c:pt idx="46">
                  <c:v>43076</c:v>
                </c:pt>
                <c:pt idx="47">
                  <c:v>43077</c:v>
                </c:pt>
                <c:pt idx="48">
                  <c:v>43080</c:v>
                </c:pt>
                <c:pt idx="49">
                  <c:v>43081</c:v>
                </c:pt>
                <c:pt idx="50">
                  <c:v>43082</c:v>
                </c:pt>
                <c:pt idx="51">
                  <c:v>43083</c:v>
                </c:pt>
                <c:pt idx="52">
                  <c:v>43084</c:v>
                </c:pt>
                <c:pt idx="53">
                  <c:v>43087</c:v>
                </c:pt>
                <c:pt idx="54">
                  <c:v>43088</c:v>
                </c:pt>
                <c:pt idx="55">
                  <c:v>43089</c:v>
                </c:pt>
                <c:pt idx="56">
                  <c:v>43090</c:v>
                </c:pt>
                <c:pt idx="57">
                  <c:v>43091</c:v>
                </c:pt>
                <c:pt idx="58">
                  <c:v>43095</c:v>
                </c:pt>
                <c:pt idx="59">
                  <c:v>43096</c:v>
                </c:pt>
                <c:pt idx="60">
                  <c:v>43097</c:v>
                </c:pt>
                <c:pt idx="61">
                  <c:v>43098</c:v>
                </c:pt>
                <c:pt idx="62">
                  <c:v>43101</c:v>
                </c:pt>
                <c:pt idx="63">
                  <c:v>43102</c:v>
                </c:pt>
                <c:pt idx="64">
                  <c:v>43103</c:v>
                </c:pt>
                <c:pt idx="65">
                  <c:v>43104</c:v>
                </c:pt>
                <c:pt idx="66">
                  <c:v>43105</c:v>
                </c:pt>
                <c:pt idx="67">
                  <c:v>43108</c:v>
                </c:pt>
                <c:pt idx="68">
                  <c:v>43109</c:v>
                </c:pt>
                <c:pt idx="69">
                  <c:v>43110</c:v>
                </c:pt>
                <c:pt idx="70">
                  <c:v>43111</c:v>
                </c:pt>
                <c:pt idx="71">
                  <c:v>43112</c:v>
                </c:pt>
                <c:pt idx="72">
                  <c:v>43115</c:v>
                </c:pt>
                <c:pt idx="73">
                  <c:v>43116</c:v>
                </c:pt>
                <c:pt idx="74">
                  <c:v>43117</c:v>
                </c:pt>
                <c:pt idx="75">
                  <c:v>43118</c:v>
                </c:pt>
                <c:pt idx="76">
                  <c:v>43119</c:v>
                </c:pt>
                <c:pt idx="77">
                  <c:v>43122</c:v>
                </c:pt>
                <c:pt idx="78">
                  <c:v>43123</c:v>
                </c:pt>
                <c:pt idx="79">
                  <c:v>43124</c:v>
                </c:pt>
                <c:pt idx="80">
                  <c:v>43125</c:v>
                </c:pt>
                <c:pt idx="81">
                  <c:v>43129</c:v>
                </c:pt>
                <c:pt idx="82">
                  <c:v>43130</c:v>
                </c:pt>
                <c:pt idx="83">
                  <c:v>43131</c:v>
                </c:pt>
                <c:pt idx="84">
                  <c:v>43132</c:v>
                </c:pt>
                <c:pt idx="85">
                  <c:v>43133</c:v>
                </c:pt>
                <c:pt idx="86">
                  <c:v>43136</c:v>
                </c:pt>
                <c:pt idx="87">
                  <c:v>43137</c:v>
                </c:pt>
                <c:pt idx="88">
                  <c:v>43138</c:v>
                </c:pt>
                <c:pt idx="89">
                  <c:v>43139</c:v>
                </c:pt>
                <c:pt idx="90">
                  <c:v>43140</c:v>
                </c:pt>
                <c:pt idx="91">
                  <c:v>43143</c:v>
                </c:pt>
                <c:pt idx="92">
                  <c:v>43145</c:v>
                </c:pt>
                <c:pt idx="93">
                  <c:v>43146</c:v>
                </c:pt>
                <c:pt idx="94">
                  <c:v>43147</c:v>
                </c:pt>
                <c:pt idx="95">
                  <c:v>43150</c:v>
                </c:pt>
                <c:pt idx="96">
                  <c:v>43151</c:v>
                </c:pt>
                <c:pt idx="97">
                  <c:v>43152</c:v>
                </c:pt>
                <c:pt idx="98">
                  <c:v>43153</c:v>
                </c:pt>
                <c:pt idx="99">
                  <c:v>43154</c:v>
                </c:pt>
                <c:pt idx="100">
                  <c:v>43157</c:v>
                </c:pt>
                <c:pt idx="101">
                  <c:v>43158</c:v>
                </c:pt>
                <c:pt idx="102">
                  <c:v>43159</c:v>
                </c:pt>
                <c:pt idx="103">
                  <c:v>43160</c:v>
                </c:pt>
                <c:pt idx="104">
                  <c:v>43164</c:v>
                </c:pt>
                <c:pt idx="105">
                  <c:v>43165</c:v>
                </c:pt>
                <c:pt idx="106">
                  <c:v>43166</c:v>
                </c:pt>
                <c:pt idx="107">
                  <c:v>43167</c:v>
                </c:pt>
                <c:pt idx="108">
                  <c:v>43168</c:v>
                </c:pt>
                <c:pt idx="109">
                  <c:v>43171</c:v>
                </c:pt>
                <c:pt idx="110">
                  <c:v>43172</c:v>
                </c:pt>
                <c:pt idx="111">
                  <c:v>43173</c:v>
                </c:pt>
                <c:pt idx="112">
                  <c:v>43174</c:v>
                </c:pt>
                <c:pt idx="113">
                  <c:v>43175</c:v>
                </c:pt>
                <c:pt idx="114">
                  <c:v>43178</c:v>
                </c:pt>
                <c:pt idx="115">
                  <c:v>43179</c:v>
                </c:pt>
                <c:pt idx="116">
                  <c:v>43180</c:v>
                </c:pt>
                <c:pt idx="117">
                  <c:v>43181</c:v>
                </c:pt>
                <c:pt idx="118">
                  <c:v>43182</c:v>
                </c:pt>
                <c:pt idx="119">
                  <c:v>43185</c:v>
                </c:pt>
                <c:pt idx="120">
                  <c:v>43186</c:v>
                </c:pt>
                <c:pt idx="121">
                  <c:v>43187</c:v>
                </c:pt>
                <c:pt idx="122">
                  <c:v>43192</c:v>
                </c:pt>
                <c:pt idx="123">
                  <c:v>43193</c:v>
                </c:pt>
                <c:pt idx="124">
                  <c:v>43194</c:v>
                </c:pt>
                <c:pt idx="125">
                  <c:v>43195</c:v>
                </c:pt>
                <c:pt idx="126">
                  <c:v>43196</c:v>
                </c:pt>
                <c:pt idx="127">
                  <c:v>43199</c:v>
                </c:pt>
                <c:pt idx="128">
                  <c:v>43200</c:v>
                </c:pt>
                <c:pt idx="129">
                  <c:v>43201</c:v>
                </c:pt>
                <c:pt idx="130">
                  <c:v>43202</c:v>
                </c:pt>
                <c:pt idx="131">
                  <c:v>43203</c:v>
                </c:pt>
                <c:pt idx="132">
                  <c:v>43206</c:v>
                </c:pt>
                <c:pt idx="133">
                  <c:v>43207</c:v>
                </c:pt>
                <c:pt idx="134">
                  <c:v>43208</c:v>
                </c:pt>
                <c:pt idx="135">
                  <c:v>43209</c:v>
                </c:pt>
                <c:pt idx="136">
                  <c:v>43210</c:v>
                </c:pt>
                <c:pt idx="137">
                  <c:v>43213</c:v>
                </c:pt>
                <c:pt idx="138">
                  <c:v>43214</c:v>
                </c:pt>
                <c:pt idx="139">
                  <c:v>43215</c:v>
                </c:pt>
                <c:pt idx="140">
                  <c:v>43216</c:v>
                </c:pt>
                <c:pt idx="141">
                  <c:v>43217</c:v>
                </c:pt>
                <c:pt idx="142">
                  <c:v>43220</c:v>
                </c:pt>
                <c:pt idx="143">
                  <c:v>43222</c:v>
                </c:pt>
                <c:pt idx="144">
                  <c:v>43223</c:v>
                </c:pt>
                <c:pt idx="145">
                  <c:v>43224</c:v>
                </c:pt>
                <c:pt idx="146">
                  <c:v>43227</c:v>
                </c:pt>
                <c:pt idx="147">
                  <c:v>43228</c:v>
                </c:pt>
                <c:pt idx="148">
                  <c:v>43229</c:v>
                </c:pt>
                <c:pt idx="149">
                  <c:v>43230</c:v>
                </c:pt>
                <c:pt idx="150">
                  <c:v>43231</c:v>
                </c:pt>
                <c:pt idx="151">
                  <c:v>43234</c:v>
                </c:pt>
                <c:pt idx="152">
                  <c:v>43235</c:v>
                </c:pt>
                <c:pt idx="153">
                  <c:v>43236</c:v>
                </c:pt>
                <c:pt idx="154">
                  <c:v>43237</c:v>
                </c:pt>
                <c:pt idx="155">
                  <c:v>43238</c:v>
                </c:pt>
                <c:pt idx="156">
                  <c:v>43241</c:v>
                </c:pt>
                <c:pt idx="157">
                  <c:v>43242</c:v>
                </c:pt>
                <c:pt idx="158">
                  <c:v>43243</c:v>
                </c:pt>
                <c:pt idx="159">
                  <c:v>43244</c:v>
                </c:pt>
                <c:pt idx="160">
                  <c:v>43245</c:v>
                </c:pt>
                <c:pt idx="161">
                  <c:v>43248</c:v>
                </c:pt>
                <c:pt idx="162">
                  <c:v>43249</c:v>
                </c:pt>
                <c:pt idx="163">
                  <c:v>43250</c:v>
                </c:pt>
                <c:pt idx="164">
                  <c:v>43251</c:v>
                </c:pt>
                <c:pt idx="165">
                  <c:v>43252</c:v>
                </c:pt>
                <c:pt idx="166">
                  <c:v>43255</c:v>
                </c:pt>
                <c:pt idx="167">
                  <c:v>43256</c:v>
                </c:pt>
                <c:pt idx="168">
                  <c:v>43257</c:v>
                </c:pt>
                <c:pt idx="169">
                  <c:v>43258</c:v>
                </c:pt>
                <c:pt idx="170">
                  <c:v>43259</c:v>
                </c:pt>
                <c:pt idx="171">
                  <c:v>43262</c:v>
                </c:pt>
                <c:pt idx="172">
                  <c:v>43263</c:v>
                </c:pt>
                <c:pt idx="173">
                  <c:v>43264</c:v>
                </c:pt>
                <c:pt idx="174">
                  <c:v>43265</c:v>
                </c:pt>
                <c:pt idx="175">
                  <c:v>43266</c:v>
                </c:pt>
                <c:pt idx="176">
                  <c:v>43269</c:v>
                </c:pt>
                <c:pt idx="177">
                  <c:v>43270</c:v>
                </c:pt>
                <c:pt idx="178">
                  <c:v>43271</c:v>
                </c:pt>
                <c:pt idx="179">
                  <c:v>43272</c:v>
                </c:pt>
                <c:pt idx="180">
                  <c:v>43273</c:v>
                </c:pt>
                <c:pt idx="181">
                  <c:v>43276</c:v>
                </c:pt>
                <c:pt idx="182">
                  <c:v>43277</c:v>
                </c:pt>
                <c:pt idx="183">
                  <c:v>43278</c:v>
                </c:pt>
                <c:pt idx="184">
                  <c:v>43279</c:v>
                </c:pt>
                <c:pt idx="185">
                  <c:v>43280</c:v>
                </c:pt>
                <c:pt idx="186">
                  <c:v>43283</c:v>
                </c:pt>
                <c:pt idx="187">
                  <c:v>43284</c:v>
                </c:pt>
                <c:pt idx="188">
                  <c:v>43285</c:v>
                </c:pt>
                <c:pt idx="189">
                  <c:v>43286</c:v>
                </c:pt>
                <c:pt idx="190">
                  <c:v>43287</c:v>
                </c:pt>
                <c:pt idx="191">
                  <c:v>43290</c:v>
                </c:pt>
                <c:pt idx="192">
                  <c:v>43291</c:v>
                </c:pt>
                <c:pt idx="193">
                  <c:v>43292</c:v>
                </c:pt>
                <c:pt idx="194">
                  <c:v>43293</c:v>
                </c:pt>
                <c:pt idx="195">
                  <c:v>43294</c:v>
                </c:pt>
                <c:pt idx="196">
                  <c:v>43297</c:v>
                </c:pt>
                <c:pt idx="197">
                  <c:v>43298</c:v>
                </c:pt>
                <c:pt idx="198">
                  <c:v>43299</c:v>
                </c:pt>
                <c:pt idx="199">
                  <c:v>43300</c:v>
                </c:pt>
                <c:pt idx="200">
                  <c:v>43301</c:v>
                </c:pt>
                <c:pt idx="201">
                  <c:v>43304</c:v>
                </c:pt>
                <c:pt idx="202">
                  <c:v>43305</c:v>
                </c:pt>
                <c:pt idx="203">
                  <c:v>43306</c:v>
                </c:pt>
                <c:pt idx="204">
                  <c:v>43307</c:v>
                </c:pt>
                <c:pt idx="205">
                  <c:v>43308</c:v>
                </c:pt>
                <c:pt idx="206">
                  <c:v>43311</c:v>
                </c:pt>
                <c:pt idx="207">
                  <c:v>43312</c:v>
                </c:pt>
                <c:pt idx="208">
                  <c:v>43313</c:v>
                </c:pt>
                <c:pt idx="209">
                  <c:v>43314</c:v>
                </c:pt>
                <c:pt idx="210">
                  <c:v>43315</c:v>
                </c:pt>
                <c:pt idx="211">
                  <c:v>43318</c:v>
                </c:pt>
                <c:pt idx="212">
                  <c:v>43319</c:v>
                </c:pt>
                <c:pt idx="213">
                  <c:v>43320</c:v>
                </c:pt>
                <c:pt idx="214">
                  <c:v>43321</c:v>
                </c:pt>
                <c:pt idx="215">
                  <c:v>43322</c:v>
                </c:pt>
                <c:pt idx="216">
                  <c:v>43325</c:v>
                </c:pt>
                <c:pt idx="217">
                  <c:v>43326</c:v>
                </c:pt>
                <c:pt idx="218">
                  <c:v>43328</c:v>
                </c:pt>
                <c:pt idx="219">
                  <c:v>43329</c:v>
                </c:pt>
                <c:pt idx="220">
                  <c:v>43332</c:v>
                </c:pt>
                <c:pt idx="221">
                  <c:v>43333</c:v>
                </c:pt>
                <c:pt idx="222">
                  <c:v>43335</c:v>
                </c:pt>
                <c:pt idx="223">
                  <c:v>43336</c:v>
                </c:pt>
                <c:pt idx="224">
                  <c:v>43339</c:v>
                </c:pt>
                <c:pt idx="225">
                  <c:v>43340</c:v>
                </c:pt>
                <c:pt idx="226">
                  <c:v>43341</c:v>
                </c:pt>
                <c:pt idx="227">
                  <c:v>43342</c:v>
                </c:pt>
                <c:pt idx="228">
                  <c:v>43343</c:v>
                </c:pt>
                <c:pt idx="229">
                  <c:v>43346</c:v>
                </c:pt>
                <c:pt idx="230">
                  <c:v>43347</c:v>
                </c:pt>
                <c:pt idx="231">
                  <c:v>43348</c:v>
                </c:pt>
                <c:pt idx="232">
                  <c:v>43349</c:v>
                </c:pt>
                <c:pt idx="233">
                  <c:v>43350</c:v>
                </c:pt>
                <c:pt idx="234">
                  <c:v>43353</c:v>
                </c:pt>
                <c:pt idx="235">
                  <c:v>43354</c:v>
                </c:pt>
                <c:pt idx="236">
                  <c:v>43355</c:v>
                </c:pt>
                <c:pt idx="237">
                  <c:v>43357</c:v>
                </c:pt>
                <c:pt idx="238">
                  <c:v>43360</c:v>
                </c:pt>
                <c:pt idx="239">
                  <c:v>43361</c:v>
                </c:pt>
                <c:pt idx="240">
                  <c:v>43362</c:v>
                </c:pt>
                <c:pt idx="241">
                  <c:v>43364</c:v>
                </c:pt>
                <c:pt idx="242">
                  <c:v>43367</c:v>
                </c:pt>
                <c:pt idx="243">
                  <c:v>43368</c:v>
                </c:pt>
                <c:pt idx="244">
                  <c:v>43369</c:v>
                </c:pt>
                <c:pt idx="245">
                  <c:v>43370</c:v>
                </c:pt>
                <c:pt idx="246">
                  <c:v>43371</c:v>
                </c:pt>
              </c:numCache>
            </c:numRef>
          </c:cat>
          <c:val>
            <c:numRef>
              <c:f>'F1'!$B$23:$B$269</c:f>
              <c:numCache>
                <c:formatCode>0</c:formatCode>
                <c:ptCount val="247"/>
                <c:pt idx="0">
                  <c:v>31497.38</c:v>
                </c:pt>
                <c:pt idx="1">
                  <c:v>31671.71</c:v>
                </c:pt>
                <c:pt idx="2">
                  <c:v>31592.03</c:v>
                </c:pt>
                <c:pt idx="3">
                  <c:v>31814.22</c:v>
                </c:pt>
                <c:pt idx="4">
                  <c:v>31846.89</c:v>
                </c:pt>
                <c:pt idx="5">
                  <c:v>31924.41</c:v>
                </c:pt>
                <c:pt idx="6">
                  <c:v>31833.99</c:v>
                </c:pt>
                <c:pt idx="7">
                  <c:v>32182.22</c:v>
                </c:pt>
                <c:pt idx="8">
                  <c:v>32432.69</c:v>
                </c:pt>
                <c:pt idx="9">
                  <c:v>32633.64</c:v>
                </c:pt>
                <c:pt idx="10">
                  <c:v>32609.16</c:v>
                </c:pt>
                <c:pt idx="11">
                  <c:v>32584.35</c:v>
                </c:pt>
                <c:pt idx="12">
                  <c:v>32389.96</c:v>
                </c:pt>
                <c:pt idx="13">
                  <c:v>32506.720000000001</c:v>
                </c:pt>
                <c:pt idx="14">
                  <c:v>32607.34</c:v>
                </c:pt>
                <c:pt idx="15">
                  <c:v>33042.5</c:v>
                </c:pt>
                <c:pt idx="16">
                  <c:v>33147.129999999997</c:v>
                </c:pt>
                <c:pt idx="17">
                  <c:v>33157.22</c:v>
                </c:pt>
                <c:pt idx="18">
                  <c:v>33266.160000000003</c:v>
                </c:pt>
                <c:pt idx="19">
                  <c:v>33213.129999999997</c:v>
                </c:pt>
                <c:pt idx="20">
                  <c:v>33600.269999999997</c:v>
                </c:pt>
                <c:pt idx="21">
                  <c:v>33573.22</c:v>
                </c:pt>
                <c:pt idx="22">
                  <c:v>33685.56</c:v>
                </c:pt>
                <c:pt idx="23">
                  <c:v>33731.19</c:v>
                </c:pt>
                <c:pt idx="24">
                  <c:v>33370.76</c:v>
                </c:pt>
                <c:pt idx="25">
                  <c:v>33218.81</c:v>
                </c:pt>
                <c:pt idx="26">
                  <c:v>33250.93</c:v>
                </c:pt>
                <c:pt idx="27">
                  <c:v>33314.559999999998</c:v>
                </c:pt>
                <c:pt idx="28">
                  <c:v>33033.56</c:v>
                </c:pt>
                <c:pt idx="29">
                  <c:v>32941.870000000003</c:v>
                </c:pt>
                <c:pt idx="30">
                  <c:v>32760.44</c:v>
                </c:pt>
                <c:pt idx="31">
                  <c:v>33106.82</c:v>
                </c:pt>
                <c:pt idx="32">
                  <c:v>33342.800000000003</c:v>
                </c:pt>
                <c:pt idx="33">
                  <c:v>33359.9</c:v>
                </c:pt>
                <c:pt idx="34">
                  <c:v>33478.35</c:v>
                </c:pt>
                <c:pt idx="35">
                  <c:v>33561.550000000003</c:v>
                </c:pt>
                <c:pt idx="36">
                  <c:v>33588.080000000002</c:v>
                </c:pt>
                <c:pt idx="37">
                  <c:v>33679.24</c:v>
                </c:pt>
                <c:pt idx="38">
                  <c:v>33724.44</c:v>
                </c:pt>
                <c:pt idx="39">
                  <c:v>33618.589999999997</c:v>
                </c:pt>
                <c:pt idx="40">
                  <c:v>33602.76</c:v>
                </c:pt>
                <c:pt idx="41">
                  <c:v>33149.35</c:v>
                </c:pt>
                <c:pt idx="42">
                  <c:v>32832.94</c:v>
                </c:pt>
                <c:pt idx="43">
                  <c:v>32869.72</c:v>
                </c:pt>
                <c:pt idx="44">
                  <c:v>32802.44</c:v>
                </c:pt>
                <c:pt idx="45">
                  <c:v>32597.18</c:v>
                </c:pt>
                <c:pt idx="46">
                  <c:v>32949.21</c:v>
                </c:pt>
                <c:pt idx="47">
                  <c:v>33250.300000000003</c:v>
                </c:pt>
                <c:pt idx="48">
                  <c:v>33455.79</c:v>
                </c:pt>
                <c:pt idx="49">
                  <c:v>33227.99</c:v>
                </c:pt>
                <c:pt idx="50">
                  <c:v>33053.040000000001</c:v>
                </c:pt>
                <c:pt idx="51">
                  <c:v>33246.699999999997</c:v>
                </c:pt>
                <c:pt idx="52">
                  <c:v>33462.97</c:v>
                </c:pt>
                <c:pt idx="53">
                  <c:v>33601.68</c:v>
                </c:pt>
                <c:pt idx="54">
                  <c:v>33836.74</c:v>
                </c:pt>
                <c:pt idx="55">
                  <c:v>33777.379999999997</c:v>
                </c:pt>
                <c:pt idx="56">
                  <c:v>33756.28</c:v>
                </c:pt>
                <c:pt idx="57">
                  <c:v>33940.300000000003</c:v>
                </c:pt>
                <c:pt idx="58">
                  <c:v>34010.61</c:v>
                </c:pt>
                <c:pt idx="59">
                  <c:v>33911.81</c:v>
                </c:pt>
                <c:pt idx="60">
                  <c:v>33848.03</c:v>
                </c:pt>
                <c:pt idx="61">
                  <c:v>34056.83</c:v>
                </c:pt>
                <c:pt idx="62">
                  <c:v>33812.75</c:v>
                </c:pt>
                <c:pt idx="63">
                  <c:v>33812.26</c:v>
                </c:pt>
                <c:pt idx="64">
                  <c:v>33793.379999999997</c:v>
                </c:pt>
                <c:pt idx="65">
                  <c:v>33969.64</c:v>
                </c:pt>
                <c:pt idx="66">
                  <c:v>34153.85</c:v>
                </c:pt>
                <c:pt idx="67">
                  <c:v>34352.79</c:v>
                </c:pt>
                <c:pt idx="68">
                  <c:v>34443.19</c:v>
                </c:pt>
                <c:pt idx="69">
                  <c:v>34433.07</c:v>
                </c:pt>
                <c:pt idx="70">
                  <c:v>34503.49</c:v>
                </c:pt>
                <c:pt idx="71">
                  <c:v>34592.39</c:v>
                </c:pt>
                <c:pt idx="72">
                  <c:v>34843.51</c:v>
                </c:pt>
                <c:pt idx="73">
                  <c:v>34771.050000000003</c:v>
                </c:pt>
                <c:pt idx="74">
                  <c:v>35081.82</c:v>
                </c:pt>
                <c:pt idx="75">
                  <c:v>35260.29</c:v>
                </c:pt>
                <c:pt idx="76">
                  <c:v>35511.58</c:v>
                </c:pt>
                <c:pt idx="77">
                  <c:v>35798.01</c:v>
                </c:pt>
                <c:pt idx="78">
                  <c:v>36139.980000000003</c:v>
                </c:pt>
                <c:pt idx="79">
                  <c:v>36161.64</c:v>
                </c:pt>
                <c:pt idx="80">
                  <c:v>36050.44</c:v>
                </c:pt>
                <c:pt idx="81">
                  <c:v>36283.25</c:v>
                </c:pt>
                <c:pt idx="82">
                  <c:v>36033.730000000003</c:v>
                </c:pt>
                <c:pt idx="83">
                  <c:v>35965.019999999997</c:v>
                </c:pt>
                <c:pt idx="84">
                  <c:v>35906.660000000003</c:v>
                </c:pt>
                <c:pt idx="85">
                  <c:v>35066.75</c:v>
                </c:pt>
                <c:pt idx="86">
                  <c:v>34757.160000000003</c:v>
                </c:pt>
                <c:pt idx="87">
                  <c:v>34195.94</c:v>
                </c:pt>
                <c:pt idx="88">
                  <c:v>34082.71</c:v>
                </c:pt>
                <c:pt idx="89">
                  <c:v>34413.160000000003</c:v>
                </c:pt>
                <c:pt idx="90">
                  <c:v>34005.760000000002</c:v>
                </c:pt>
                <c:pt idx="91">
                  <c:v>34300.47</c:v>
                </c:pt>
                <c:pt idx="92">
                  <c:v>34155.949999999997</c:v>
                </c:pt>
                <c:pt idx="93">
                  <c:v>34297.47</c:v>
                </c:pt>
                <c:pt idx="94">
                  <c:v>34010.76</c:v>
                </c:pt>
                <c:pt idx="95">
                  <c:v>33774.660000000003</c:v>
                </c:pt>
                <c:pt idx="96">
                  <c:v>33703.589999999997</c:v>
                </c:pt>
                <c:pt idx="97">
                  <c:v>33844.86</c:v>
                </c:pt>
                <c:pt idx="98">
                  <c:v>33819.5</c:v>
                </c:pt>
                <c:pt idx="99">
                  <c:v>34142.15</c:v>
                </c:pt>
                <c:pt idx="100">
                  <c:v>34445.75</c:v>
                </c:pt>
                <c:pt idx="101">
                  <c:v>34346.39</c:v>
                </c:pt>
                <c:pt idx="102">
                  <c:v>34184.04</c:v>
                </c:pt>
                <c:pt idx="103">
                  <c:v>34046.94</c:v>
                </c:pt>
                <c:pt idx="104">
                  <c:v>33746.78</c:v>
                </c:pt>
                <c:pt idx="105">
                  <c:v>33317.199999999997</c:v>
                </c:pt>
                <c:pt idx="106">
                  <c:v>33033.089999999997</c:v>
                </c:pt>
                <c:pt idx="107">
                  <c:v>33351.57</c:v>
                </c:pt>
                <c:pt idx="108">
                  <c:v>33307.14</c:v>
                </c:pt>
                <c:pt idx="109">
                  <c:v>33917.94</c:v>
                </c:pt>
                <c:pt idx="110">
                  <c:v>33856.78</c:v>
                </c:pt>
                <c:pt idx="111">
                  <c:v>33835.74</c:v>
                </c:pt>
                <c:pt idx="112">
                  <c:v>33685.54</c:v>
                </c:pt>
                <c:pt idx="113">
                  <c:v>33176</c:v>
                </c:pt>
                <c:pt idx="114">
                  <c:v>32923.120000000003</c:v>
                </c:pt>
                <c:pt idx="115">
                  <c:v>32996.76</c:v>
                </c:pt>
                <c:pt idx="116">
                  <c:v>33136.18</c:v>
                </c:pt>
                <c:pt idx="117">
                  <c:v>33006.269999999997</c:v>
                </c:pt>
                <c:pt idx="118">
                  <c:v>32596.54</c:v>
                </c:pt>
                <c:pt idx="119">
                  <c:v>33066.410000000003</c:v>
                </c:pt>
                <c:pt idx="120">
                  <c:v>33174.39</c:v>
                </c:pt>
                <c:pt idx="121">
                  <c:v>32968.68</c:v>
                </c:pt>
                <c:pt idx="122">
                  <c:v>33255.360000000001</c:v>
                </c:pt>
                <c:pt idx="123">
                  <c:v>33370.629999999997</c:v>
                </c:pt>
                <c:pt idx="124">
                  <c:v>33019.07</c:v>
                </c:pt>
                <c:pt idx="125">
                  <c:v>33596.800000000003</c:v>
                </c:pt>
                <c:pt idx="126">
                  <c:v>33626.97</c:v>
                </c:pt>
                <c:pt idx="127">
                  <c:v>33788.54</c:v>
                </c:pt>
                <c:pt idx="128">
                  <c:v>33880.25</c:v>
                </c:pt>
                <c:pt idx="129">
                  <c:v>33940.44</c:v>
                </c:pt>
                <c:pt idx="130">
                  <c:v>34101.129999999997</c:v>
                </c:pt>
                <c:pt idx="131">
                  <c:v>34192.65</c:v>
                </c:pt>
                <c:pt idx="132">
                  <c:v>34305.43</c:v>
                </c:pt>
                <c:pt idx="133">
                  <c:v>34395.06</c:v>
                </c:pt>
                <c:pt idx="134">
                  <c:v>34331.68</c:v>
                </c:pt>
                <c:pt idx="135">
                  <c:v>34427.29</c:v>
                </c:pt>
                <c:pt idx="136">
                  <c:v>34415.58</c:v>
                </c:pt>
                <c:pt idx="137">
                  <c:v>34450.769999999997</c:v>
                </c:pt>
                <c:pt idx="138">
                  <c:v>34616.639999999999</c:v>
                </c:pt>
                <c:pt idx="139">
                  <c:v>34501.269999999997</c:v>
                </c:pt>
                <c:pt idx="140">
                  <c:v>34713.599999999999</c:v>
                </c:pt>
                <c:pt idx="141">
                  <c:v>34969.699999999997</c:v>
                </c:pt>
                <c:pt idx="142">
                  <c:v>35160.36</c:v>
                </c:pt>
                <c:pt idx="143" formatCode="General">
                  <c:v>35176.42</c:v>
                </c:pt>
                <c:pt idx="144" formatCode="General">
                  <c:v>35103.14</c:v>
                </c:pt>
                <c:pt idx="145" formatCode="General">
                  <c:v>34915.379999999997</c:v>
                </c:pt>
                <c:pt idx="146" formatCode="General">
                  <c:v>35208.14</c:v>
                </c:pt>
                <c:pt idx="147" formatCode="General">
                  <c:v>35216.32</c:v>
                </c:pt>
                <c:pt idx="148" formatCode="General">
                  <c:v>35319.35</c:v>
                </c:pt>
                <c:pt idx="149" formatCode="General">
                  <c:v>35246.269999999997</c:v>
                </c:pt>
                <c:pt idx="150" formatCode="General">
                  <c:v>35535.79</c:v>
                </c:pt>
                <c:pt idx="151" formatCode="General">
                  <c:v>35556.71</c:v>
                </c:pt>
                <c:pt idx="152" formatCode="General">
                  <c:v>35543.94</c:v>
                </c:pt>
                <c:pt idx="153" formatCode="General">
                  <c:v>35387.879999999997</c:v>
                </c:pt>
                <c:pt idx="154" formatCode="General">
                  <c:v>35149.120000000003</c:v>
                </c:pt>
                <c:pt idx="155" formatCode="General">
                  <c:v>34848.300000000003</c:v>
                </c:pt>
                <c:pt idx="156" formatCode="General">
                  <c:v>34616.129999999997</c:v>
                </c:pt>
                <c:pt idx="157" formatCode="General">
                  <c:v>34651.24</c:v>
                </c:pt>
                <c:pt idx="158" formatCode="General">
                  <c:v>34344.910000000003</c:v>
                </c:pt>
                <c:pt idx="159" formatCode="General">
                  <c:v>34663.11</c:v>
                </c:pt>
                <c:pt idx="160" formatCode="General">
                  <c:v>34924.870000000003</c:v>
                </c:pt>
                <c:pt idx="161" formatCode="General">
                  <c:v>35165.480000000003</c:v>
                </c:pt>
                <c:pt idx="162" formatCode="General">
                  <c:v>34949.24</c:v>
                </c:pt>
                <c:pt idx="163" formatCode="General">
                  <c:v>34906.11</c:v>
                </c:pt>
                <c:pt idx="164" formatCode="General">
                  <c:v>35322.379999999997</c:v>
                </c:pt>
                <c:pt idx="165" formatCode="_(* #,##0.00_);_(* \(#,##0.00\);_(* &quot;-&quot;??_);_(@_)">
                  <c:v>35227.26</c:v>
                </c:pt>
                <c:pt idx="166" formatCode="_(* #,##0.00_);_(* \(#,##0.00\);_(* &quot;-&quot;??_);_(@_)">
                  <c:v>35011.89</c:v>
                </c:pt>
                <c:pt idx="167" formatCode="_(* #,##0.00_);_(* \(#,##0.00\);_(* &quot;-&quot;??_);_(@_)">
                  <c:v>34903.21</c:v>
                </c:pt>
                <c:pt idx="168" formatCode="_(* #,##0.00_);_(* \(#,##0.00\);_(* &quot;-&quot;??_);_(@_)">
                  <c:v>35178.879999999997</c:v>
                </c:pt>
                <c:pt idx="169" formatCode="_(* #,##0.00_);_(* \(#,##0.00\);_(* &quot;-&quot;??_);_(@_)">
                  <c:v>35463.08</c:v>
                </c:pt>
                <c:pt idx="170" formatCode="_(* #,##0.00_);_(* \(#,##0.00\);_(* &quot;-&quot;??_);_(@_)">
                  <c:v>35443.67</c:v>
                </c:pt>
                <c:pt idx="171" formatCode="_(* #,##0.00_);_(* \(#,##0.00\);_(* &quot;-&quot;??_);_(@_)">
                  <c:v>35483.47</c:v>
                </c:pt>
                <c:pt idx="172" formatCode="_(* #,##0.00_);_(* \(#,##0.00\);_(* &quot;-&quot;??_);_(@_)">
                  <c:v>35692.519999999997</c:v>
                </c:pt>
                <c:pt idx="173" formatCode="_(* #,##0.00_);_(* \(#,##0.00\);_(* &quot;-&quot;??_);_(@_)">
                  <c:v>35739.160000000003</c:v>
                </c:pt>
                <c:pt idx="174" formatCode="_(* #,##0.00_);_(* \(#,##0.00\);_(* &quot;-&quot;??_);_(@_)">
                  <c:v>35599.82</c:v>
                </c:pt>
                <c:pt idx="175" formatCode="_(* #,##0.00_);_(* \(#,##0.00\);_(* &quot;-&quot;??_);_(@_)">
                  <c:v>35622.14</c:v>
                </c:pt>
                <c:pt idx="176" formatCode="_(* #,##0.00_);_(* \(#,##0.00\);_(* &quot;-&quot;??_);_(@_)">
                  <c:v>35548.26</c:v>
                </c:pt>
                <c:pt idx="177" formatCode="_(* #,##0.00_);_(* \(#,##0.00\);_(* &quot;-&quot;??_);_(@_)">
                  <c:v>35286.74</c:v>
                </c:pt>
                <c:pt idx="178" formatCode="_(* #,##0.00_);_(* \(#,##0.00\);_(* &quot;-&quot;??_);_(@_)">
                  <c:v>35547.33</c:v>
                </c:pt>
                <c:pt idx="179" formatCode="_(* #,##0.00_);_(* \(#,##0.00\);_(* &quot;-&quot;??_);_(@_)">
                  <c:v>35432.39</c:v>
                </c:pt>
                <c:pt idx="180" formatCode="_(* #,##0.00_);_(* \(#,##0.00\);_(* &quot;-&quot;??_);_(@_)">
                  <c:v>35689.599999999999</c:v>
                </c:pt>
                <c:pt idx="181" formatCode="_(* #,##0.00_);_(* \(#,##0.00\);_(* &quot;-&quot;??_);_(@_)">
                  <c:v>35470.35</c:v>
                </c:pt>
                <c:pt idx="182" formatCode="_(* #,##0.00_);_(* \(#,##0.00\);_(* &quot;-&quot;??_);_(@_)">
                  <c:v>35490.04</c:v>
                </c:pt>
                <c:pt idx="183" formatCode="_(* #,##0.00_);_(* \(#,##0.00\);_(* &quot;-&quot;??_);_(@_)">
                  <c:v>35217.11</c:v>
                </c:pt>
                <c:pt idx="184" formatCode="_(* #,##0.00_);_(* \(#,##0.00\);_(* &quot;-&quot;??_);_(@_)">
                  <c:v>35037.64</c:v>
                </c:pt>
                <c:pt idx="185" formatCode="_(* #,##0.00_);_(* \(#,##0.00\);_(* &quot;-&quot;??_);_(@_)">
                  <c:v>35423.480000000003</c:v>
                </c:pt>
                <c:pt idx="186" formatCode="_(* #,##0.00_);_(* \(#,##0.00\);_(* &quot;-&quot;??_);_(@_)">
                  <c:v>35264.410000000003</c:v>
                </c:pt>
                <c:pt idx="187" formatCode="_(* #,##0.00_);_(* \(#,##0.00\);_(* &quot;-&quot;??_);_(@_)">
                  <c:v>35378.6</c:v>
                </c:pt>
                <c:pt idx="188" formatCode="_(* #,##0.00_);_(* \(#,##0.00\);_(* &quot;-&quot;??_);_(@_)">
                  <c:v>35645.4</c:v>
                </c:pt>
                <c:pt idx="189" formatCode="_(* #,##0.00_);_(* \(#,##0.00\);_(* &quot;-&quot;??_);_(@_)">
                  <c:v>35574.550000000003</c:v>
                </c:pt>
                <c:pt idx="190" formatCode="_(* #,##0.00_);_(* \(#,##0.00\);_(* &quot;-&quot;??_);_(@_)">
                  <c:v>35657.86</c:v>
                </c:pt>
                <c:pt idx="191" formatCode="_(* #,##0.00_);_(* \(#,##0.00\);_(* &quot;-&quot;??_);_(@_)">
                  <c:v>35934.720000000001</c:v>
                </c:pt>
                <c:pt idx="192" formatCode="_(* #,##0.00_);_(* \(#,##0.00\);_(* &quot;-&quot;??_);_(@_)">
                  <c:v>36239.620000000003</c:v>
                </c:pt>
                <c:pt idx="193" formatCode="_(* #,##0.00_);_(* \(#,##0.00\);_(* &quot;-&quot;??_);_(@_)">
                  <c:v>36265.93</c:v>
                </c:pt>
                <c:pt idx="194" formatCode="_(* #,##0.00_);_(* \(#,##0.00\);_(* &quot;-&quot;??_);_(@_)">
                  <c:v>36548.410000000003</c:v>
                </c:pt>
                <c:pt idx="195" formatCode="_(* #,##0.00_);_(* \(#,##0.00\);_(* &quot;-&quot;??_);_(@_)">
                  <c:v>36541.629999999997</c:v>
                </c:pt>
                <c:pt idx="196" formatCode="_(* #,##0.00_);_(* \(#,##0.00\);_(* &quot;-&quot;??_);_(@_)">
                  <c:v>36323.769999999997</c:v>
                </c:pt>
                <c:pt idx="197" formatCode="_(* #,##0.00_);_(* \(#,##0.00\);_(* &quot;-&quot;??_);_(@_)">
                  <c:v>36519.96</c:v>
                </c:pt>
                <c:pt idx="198" formatCode="_(* #,##0.00_);_(* \(#,##0.00\);_(* &quot;-&quot;??_);_(@_)">
                  <c:v>36373.440000000002</c:v>
                </c:pt>
                <c:pt idx="199" formatCode="_(* #,##0.00_);_(* \(#,##0.00\);_(* &quot;-&quot;??_);_(@_)">
                  <c:v>36351.230000000003</c:v>
                </c:pt>
                <c:pt idx="200" formatCode="_(* #,##0.00_);_(* \(#,##0.00\);_(* &quot;-&quot;??_);_(@_)">
                  <c:v>36496.370000000003</c:v>
                </c:pt>
                <c:pt idx="201" formatCode="_(* #,##0.00_);_(* \(#,##0.00\);_(* &quot;-&quot;??_);_(@_)">
                  <c:v>36718.6</c:v>
                </c:pt>
                <c:pt idx="202" formatCode="_(* #,##0.00_);_(* \(#,##0.00\);_(* &quot;-&quot;??_);_(@_)">
                  <c:v>36825.1</c:v>
                </c:pt>
                <c:pt idx="203" formatCode="_(* #,##0.00_);_(* \(#,##0.00\);_(* &quot;-&quot;??_);_(@_)">
                  <c:v>36858.230000000003</c:v>
                </c:pt>
                <c:pt idx="204" formatCode="_(* #,##0.00_);_(* \(#,##0.00\);_(* &quot;-&quot;??_);_(@_)">
                  <c:v>36984.639999999999</c:v>
                </c:pt>
                <c:pt idx="205" formatCode="_(* #,##0.00_);_(* \(#,##0.00\);_(* &quot;-&quot;??_);_(@_)">
                  <c:v>37336.85</c:v>
                </c:pt>
                <c:pt idx="206" formatCode="_(* #,##0.00_);_(* \(#,##0.00\);_(* &quot;-&quot;??_);_(@_)">
                  <c:v>37494.400000000001</c:v>
                </c:pt>
                <c:pt idx="207" formatCode="_(* #,##0.00_);_(* \(#,##0.00\);_(* &quot;-&quot;??_);_(@_)">
                  <c:v>37606.58</c:v>
                </c:pt>
                <c:pt idx="208" formatCode="General">
                  <c:v>37521.620000000003</c:v>
                </c:pt>
                <c:pt idx="209" formatCode="General">
                  <c:v>37165.160000000003</c:v>
                </c:pt>
                <c:pt idx="210" formatCode="General">
                  <c:v>37556.160000000003</c:v>
                </c:pt>
                <c:pt idx="211" formatCode="General">
                  <c:v>37691.89</c:v>
                </c:pt>
                <c:pt idx="212" formatCode="General">
                  <c:v>37665.800000000003</c:v>
                </c:pt>
                <c:pt idx="213" formatCode="General">
                  <c:v>37887.56</c:v>
                </c:pt>
                <c:pt idx="214" formatCode="General">
                  <c:v>38024.370000000003</c:v>
                </c:pt>
                <c:pt idx="215" formatCode="General">
                  <c:v>37869.230000000003</c:v>
                </c:pt>
                <c:pt idx="216" formatCode="General">
                  <c:v>37644.9</c:v>
                </c:pt>
                <c:pt idx="217" formatCode="General">
                  <c:v>37852</c:v>
                </c:pt>
                <c:pt idx="218" formatCode="General">
                  <c:v>37663.56</c:v>
                </c:pt>
                <c:pt idx="219" formatCode="General">
                  <c:v>37947.879999999997</c:v>
                </c:pt>
                <c:pt idx="220" formatCode="General">
                  <c:v>38278.75</c:v>
                </c:pt>
                <c:pt idx="221" formatCode="General">
                  <c:v>38285.75</c:v>
                </c:pt>
                <c:pt idx="222" formatCode="General">
                  <c:v>38336.76</c:v>
                </c:pt>
                <c:pt idx="223" formatCode="General">
                  <c:v>38251.800000000003</c:v>
                </c:pt>
                <c:pt idx="224" formatCode="General">
                  <c:v>38694.11</c:v>
                </c:pt>
                <c:pt idx="225" formatCode="General">
                  <c:v>38896.629999999997</c:v>
                </c:pt>
                <c:pt idx="226" formatCode="General">
                  <c:v>38722.93</c:v>
                </c:pt>
                <c:pt idx="227" formatCode="General">
                  <c:v>38690.1</c:v>
                </c:pt>
                <c:pt idx="228" formatCode="General">
                  <c:v>38645.07</c:v>
                </c:pt>
                <c:pt idx="229">
                  <c:v>38312.519999999997</c:v>
                </c:pt>
                <c:pt idx="230">
                  <c:v>38157.919999999998</c:v>
                </c:pt>
                <c:pt idx="231">
                  <c:v>38018.31</c:v>
                </c:pt>
                <c:pt idx="232">
                  <c:v>38242.81</c:v>
                </c:pt>
                <c:pt idx="233">
                  <c:v>38389.82</c:v>
                </c:pt>
                <c:pt idx="234">
                  <c:v>37922.17</c:v>
                </c:pt>
                <c:pt idx="235">
                  <c:v>37413.129999999997</c:v>
                </c:pt>
                <c:pt idx="236">
                  <c:v>37717.96</c:v>
                </c:pt>
                <c:pt idx="237">
                  <c:v>38090.639999999999</c:v>
                </c:pt>
                <c:pt idx="238">
                  <c:v>37585.51</c:v>
                </c:pt>
                <c:pt idx="239">
                  <c:v>37290.67</c:v>
                </c:pt>
                <c:pt idx="240">
                  <c:v>37121.22</c:v>
                </c:pt>
                <c:pt idx="241">
                  <c:v>36841.599999999999</c:v>
                </c:pt>
                <c:pt idx="242">
                  <c:v>36305.019999999997</c:v>
                </c:pt>
                <c:pt idx="243">
                  <c:v>36652.06</c:v>
                </c:pt>
                <c:pt idx="244">
                  <c:v>36542.269999999997</c:v>
                </c:pt>
                <c:pt idx="245">
                  <c:v>36324.17</c:v>
                </c:pt>
                <c:pt idx="246">
                  <c:v>36227.14</c:v>
                </c:pt>
              </c:numCache>
            </c:numRef>
          </c:val>
          <c:smooth val="0"/>
        </c:ser>
        <c:dLbls>
          <c:showLegendKey val="0"/>
          <c:showVal val="0"/>
          <c:showCatName val="0"/>
          <c:showSerName val="0"/>
          <c:showPercent val="0"/>
          <c:showBubbleSize val="0"/>
        </c:dLbls>
        <c:marker val="1"/>
        <c:smooth val="0"/>
        <c:axId val="264010360"/>
        <c:axId val="264006832"/>
      </c:lineChart>
      <c:lineChart>
        <c:grouping val="standard"/>
        <c:varyColors val="0"/>
        <c:ser>
          <c:idx val="1"/>
          <c:order val="1"/>
          <c:tx>
            <c:strRef>
              <c:f>'F1'!$C$1</c:f>
              <c:strCache>
                <c:ptCount val="1"/>
                <c:pt idx="0">
                  <c:v>Nifty (RHS)</c:v>
                </c:pt>
              </c:strCache>
            </c:strRef>
          </c:tx>
          <c:marker>
            <c:symbol val="none"/>
          </c:marker>
          <c:cat>
            <c:numRef>
              <c:f>'F1'!$A$23:$A$269</c:f>
              <c:numCache>
                <c:formatCode>[$-409]mmm\-yy;@</c:formatCode>
                <c:ptCount val="247"/>
                <c:pt idx="0">
                  <c:v>43011</c:v>
                </c:pt>
                <c:pt idx="1">
                  <c:v>43012</c:v>
                </c:pt>
                <c:pt idx="2">
                  <c:v>43013</c:v>
                </c:pt>
                <c:pt idx="3">
                  <c:v>43014</c:v>
                </c:pt>
                <c:pt idx="4">
                  <c:v>43017</c:v>
                </c:pt>
                <c:pt idx="5">
                  <c:v>43018</c:v>
                </c:pt>
                <c:pt idx="6">
                  <c:v>43019</c:v>
                </c:pt>
                <c:pt idx="7">
                  <c:v>43020</c:v>
                </c:pt>
                <c:pt idx="8">
                  <c:v>43021</c:v>
                </c:pt>
                <c:pt idx="9">
                  <c:v>43024</c:v>
                </c:pt>
                <c:pt idx="10">
                  <c:v>43025</c:v>
                </c:pt>
                <c:pt idx="11">
                  <c:v>43026</c:v>
                </c:pt>
                <c:pt idx="12">
                  <c:v>43027</c:v>
                </c:pt>
                <c:pt idx="13">
                  <c:v>43031</c:v>
                </c:pt>
                <c:pt idx="14">
                  <c:v>43032</c:v>
                </c:pt>
                <c:pt idx="15">
                  <c:v>43033</c:v>
                </c:pt>
                <c:pt idx="16">
                  <c:v>43034</c:v>
                </c:pt>
                <c:pt idx="17">
                  <c:v>43035</c:v>
                </c:pt>
                <c:pt idx="18">
                  <c:v>43038</c:v>
                </c:pt>
                <c:pt idx="19">
                  <c:v>43039</c:v>
                </c:pt>
                <c:pt idx="20">
                  <c:v>43040</c:v>
                </c:pt>
                <c:pt idx="21">
                  <c:v>43041</c:v>
                </c:pt>
                <c:pt idx="22">
                  <c:v>43042</c:v>
                </c:pt>
                <c:pt idx="23">
                  <c:v>43045</c:v>
                </c:pt>
                <c:pt idx="24">
                  <c:v>43046</c:v>
                </c:pt>
                <c:pt idx="25">
                  <c:v>43047</c:v>
                </c:pt>
                <c:pt idx="26">
                  <c:v>43048</c:v>
                </c:pt>
                <c:pt idx="27">
                  <c:v>43049</c:v>
                </c:pt>
                <c:pt idx="28">
                  <c:v>43052</c:v>
                </c:pt>
                <c:pt idx="29">
                  <c:v>43053</c:v>
                </c:pt>
                <c:pt idx="30">
                  <c:v>43054</c:v>
                </c:pt>
                <c:pt idx="31">
                  <c:v>43055</c:v>
                </c:pt>
                <c:pt idx="32">
                  <c:v>43056</c:v>
                </c:pt>
                <c:pt idx="33">
                  <c:v>43059</c:v>
                </c:pt>
                <c:pt idx="34">
                  <c:v>43060</c:v>
                </c:pt>
                <c:pt idx="35">
                  <c:v>43061</c:v>
                </c:pt>
                <c:pt idx="36">
                  <c:v>43062</c:v>
                </c:pt>
                <c:pt idx="37">
                  <c:v>43063</c:v>
                </c:pt>
                <c:pt idx="38">
                  <c:v>43066</c:v>
                </c:pt>
                <c:pt idx="39">
                  <c:v>43067</c:v>
                </c:pt>
                <c:pt idx="40">
                  <c:v>43068</c:v>
                </c:pt>
                <c:pt idx="41">
                  <c:v>43069</c:v>
                </c:pt>
                <c:pt idx="42">
                  <c:v>43070</c:v>
                </c:pt>
                <c:pt idx="43">
                  <c:v>43073</c:v>
                </c:pt>
                <c:pt idx="44">
                  <c:v>43074</c:v>
                </c:pt>
                <c:pt idx="45">
                  <c:v>43075</c:v>
                </c:pt>
                <c:pt idx="46">
                  <c:v>43076</c:v>
                </c:pt>
                <c:pt idx="47">
                  <c:v>43077</c:v>
                </c:pt>
                <c:pt idx="48">
                  <c:v>43080</c:v>
                </c:pt>
                <c:pt idx="49">
                  <c:v>43081</c:v>
                </c:pt>
                <c:pt idx="50">
                  <c:v>43082</c:v>
                </c:pt>
                <c:pt idx="51">
                  <c:v>43083</c:v>
                </c:pt>
                <c:pt idx="52">
                  <c:v>43084</c:v>
                </c:pt>
                <c:pt idx="53">
                  <c:v>43087</c:v>
                </c:pt>
                <c:pt idx="54">
                  <c:v>43088</c:v>
                </c:pt>
                <c:pt idx="55">
                  <c:v>43089</c:v>
                </c:pt>
                <c:pt idx="56">
                  <c:v>43090</c:v>
                </c:pt>
                <c:pt idx="57">
                  <c:v>43091</c:v>
                </c:pt>
                <c:pt idx="58">
                  <c:v>43095</c:v>
                </c:pt>
                <c:pt idx="59">
                  <c:v>43096</c:v>
                </c:pt>
                <c:pt idx="60">
                  <c:v>43097</c:v>
                </c:pt>
                <c:pt idx="61">
                  <c:v>43098</c:v>
                </c:pt>
                <c:pt idx="62">
                  <c:v>43101</c:v>
                </c:pt>
                <c:pt idx="63">
                  <c:v>43102</c:v>
                </c:pt>
                <c:pt idx="64">
                  <c:v>43103</c:v>
                </c:pt>
                <c:pt idx="65">
                  <c:v>43104</c:v>
                </c:pt>
                <c:pt idx="66">
                  <c:v>43105</c:v>
                </c:pt>
                <c:pt idx="67">
                  <c:v>43108</c:v>
                </c:pt>
                <c:pt idx="68">
                  <c:v>43109</c:v>
                </c:pt>
                <c:pt idx="69">
                  <c:v>43110</c:v>
                </c:pt>
                <c:pt idx="70">
                  <c:v>43111</c:v>
                </c:pt>
                <c:pt idx="71">
                  <c:v>43112</c:v>
                </c:pt>
                <c:pt idx="72">
                  <c:v>43115</c:v>
                </c:pt>
                <c:pt idx="73">
                  <c:v>43116</c:v>
                </c:pt>
                <c:pt idx="74">
                  <c:v>43117</c:v>
                </c:pt>
                <c:pt idx="75">
                  <c:v>43118</c:v>
                </c:pt>
                <c:pt idx="76">
                  <c:v>43119</c:v>
                </c:pt>
                <c:pt idx="77">
                  <c:v>43122</c:v>
                </c:pt>
                <c:pt idx="78">
                  <c:v>43123</c:v>
                </c:pt>
                <c:pt idx="79">
                  <c:v>43124</c:v>
                </c:pt>
                <c:pt idx="80">
                  <c:v>43125</c:v>
                </c:pt>
                <c:pt idx="81">
                  <c:v>43129</c:v>
                </c:pt>
                <c:pt idx="82">
                  <c:v>43130</c:v>
                </c:pt>
                <c:pt idx="83">
                  <c:v>43131</c:v>
                </c:pt>
                <c:pt idx="84">
                  <c:v>43132</c:v>
                </c:pt>
                <c:pt idx="85">
                  <c:v>43133</c:v>
                </c:pt>
                <c:pt idx="86">
                  <c:v>43136</c:v>
                </c:pt>
                <c:pt idx="87">
                  <c:v>43137</c:v>
                </c:pt>
                <c:pt idx="88">
                  <c:v>43138</c:v>
                </c:pt>
                <c:pt idx="89">
                  <c:v>43139</c:v>
                </c:pt>
                <c:pt idx="90">
                  <c:v>43140</c:v>
                </c:pt>
                <c:pt idx="91">
                  <c:v>43143</c:v>
                </c:pt>
                <c:pt idx="92">
                  <c:v>43145</c:v>
                </c:pt>
                <c:pt idx="93">
                  <c:v>43146</c:v>
                </c:pt>
                <c:pt idx="94">
                  <c:v>43147</c:v>
                </c:pt>
                <c:pt idx="95">
                  <c:v>43150</c:v>
                </c:pt>
                <c:pt idx="96">
                  <c:v>43151</c:v>
                </c:pt>
                <c:pt idx="97">
                  <c:v>43152</c:v>
                </c:pt>
                <c:pt idx="98">
                  <c:v>43153</c:v>
                </c:pt>
                <c:pt idx="99">
                  <c:v>43154</c:v>
                </c:pt>
                <c:pt idx="100">
                  <c:v>43157</c:v>
                </c:pt>
                <c:pt idx="101">
                  <c:v>43158</c:v>
                </c:pt>
                <c:pt idx="102">
                  <c:v>43159</c:v>
                </c:pt>
                <c:pt idx="103">
                  <c:v>43160</c:v>
                </c:pt>
                <c:pt idx="104">
                  <c:v>43164</c:v>
                </c:pt>
                <c:pt idx="105">
                  <c:v>43165</c:v>
                </c:pt>
                <c:pt idx="106">
                  <c:v>43166</c:v>
                </c:pt>
                <c:pt idx="107">
                  <c:v>43167</c:v>
                </c:pt>
                <c:pt idx="108">
                  <c:v>43168</c:v>
                </c:pt>
                <c:pt idx="109">
                  <c:v>43171</c:v>
                </c:pt>
                <c:pt idx="110">
                  <c:v>43172</c:v>
                </c:pt>
                <c:pt idx="111">
                  <c:v>43173</c:v>
                </c:pt>
                <c:pt idx="112">
                  <c:v>43174</c:v>
                </c:pt>
                <c:pt idx="113">
                  <c:v>43175</c:v>
                </c:pt>
                <c:pt idx="114">
                  <c:v>43178</c:v>
                </c:pt>
                <c:pt idx="115">
                  <c:v>43179</c:v>
                </c:pt>
                <c:pt idx="116">
                  <c:v>43180</c:v>
                </c:pt>
                <c:pt idx="117">
                  <c:v>43181</c:v>
                </c:pt>
                <c:pt idx="118">
                  <c:v>43182</c:v>
                </c:pt>
                <c:pt idx="119">
                  <c:v>43185</c:v>
                </c:pt>
                <c:pt idx="120">
                  <c:v>43186</c:v>
                </c:pt>
                <c:pt idx="121">
                  <c:v>43187</c:v>
                </c:pt>
                <c:pt idx="122">
                  <c:v>43192</c:v>
                </c:pt>
                <c:pt idx="123">
                  <c:v>43193</c:v>
                </c:pt>
                <c:pt idx="124">
                  <c:v>43194</c:v>
                </c:pt>
                <c:pt idx="125">
                  <c:v>43195</c:v>
                </c:pt>
                <c:pt idx="126">
                  <c:v>43196</c:v>
                </c:pt>
                <c:pt idx="127">
                  <c:v>43199</c:v>
                </c:pt>
                <c:pt idx="128">
                  <c:v>43200</c:v>
                </c:pt>
                <c:pt idx="129">
                  <c:v>43201</c:v>
                </c:pt>
                <c:pt idx="130">
                  <c:v>43202</c:v>
                </c:pt>
                <c:pt idx="131">
                  <c:v>43203</c:v>
                </c:pt>
                <c:pt idx="132">
                  <c:v>43206</c:v>
                </c:pt>
                <c:pt idx="133">
                  <c:v>43207</c:v>
                </c:pt>
                <c:pt idx="134">
                  <c:v>43208</c:v>
                </c:pt>
                <c:pt idx="135">
                  <c:v>43209</c:v>
                </c:pt>
                <c:pt idx="136">
                  <c:v>43210</c:v>
                </c:pt>
                <c:pt idx="137">
                  <c:v>43213</c:v>
                </c:pt>
                <c:pt idx="138">
                  <c:v>43214</c:v>
                </c:pt>
                <c:pt idx="139">
                  <c:v>43215</c:v>
                </c:pt>
                <c:pt idx="140">
                  <c:v>43216</c:v>
                </c:pt>
                <c:pt idx="141">
                  <c:v>43217</c:v>
                </c:pt>
                <c:pt idx="142">
                  <c:v>43220</c:v>
                </c:pt>
                <c:pt idx="143">
                  <c:v>43222</c:v>
                </c:pt>
                <c:pt idx="144">
                  <c:v>43223</c:v>
                </c:pt>
                <c:pt idx="145">
                  <c:v>43224</c:v>
                </c:pt>
                <c:pt idx="146">
                  <c:v>43227</c:v>
                </c:pt>
                <c:pt idx="147">
                  <c:v>43228</c:v>
                </c:pt>
                <c:pt idx="148">
                  <c:v>43229</c:v>
                </c:pt>
                <c:pt idx="149">
                  <c:v>43230</c:v>
                </c:pt>
                <c:pt idx="150">
                  <c:v>43231</c:v>
                </c:pt>
                <c:pt idx="151">
                  <c:v>43234</c:v>
                </c:pt>
                <c:pt idx="152">
                  <c:v>43235</c:v>
                </c:pt>
                <c:pt idx="153">
                  <c:v>43236</c:v>
                </c:pt>
                <c:pt idx="154">
                  <c:v>43237</c:v>
                </c:pt>
                <c:pt idx="155">
                  <c:v>43238</c:v>
                </c:pt>
                <c:pt idx="156">
                  <c:v>43241</c:v>
                </c:pt>
                <c:pt idx="157">
                  <c:v>43242</c:v>
                </c:pt>
                <c:pt idx="158">
                  <c:v>43243</c:v>
                </c:pt>
                <c:pt idx="159">
                  <c:v>43244</c:v>
                </c:pt>
                <c:pt idx="160">
                  <c:v>43245</c:v>
                </c:pt>
                <c:pt idx="161">
                  <c:v>43248</c:v>
                </c:pt>
                <c:pt idx="162">
                  <c:v>43249</c:v>
                </c:pt>
                <c:pt idx="163">
                  <c:v>43250</c:v>
                </c:pt>
                <c:pt idx="164">
                  <c:v>43251</c:v>
                </c:pt>
                <c:pt idx="165">
                  <c:v>43252</c:v>
                </c:pt>
                <c:pt idx="166">
                  <c:v>43255</c:v>
                </c:pt>
                <c:pt idx="167">
                  <c:v>43256</c:v>
                </c:pt>
                <c:pt idx="168">
                  <c:v>43257</c:v>
                </c:pt>
                <c:pt idx="169">
                  <c:v>43258</c:v>
                </c:pt>
                <c:pt idx="170">
                  <c:v>43259</c:v>
                </c:pt>
                <c:pt idx="171">
                  <c:v>43262</c:v>
                </c:pt>
                <c:pt idx="172">
                  <c:v>43263</c:v>
                </c:pt>
                <c:pt idx="173">
                  <c:v>43264</c:v>
                </c:pt>
                <c:pt idx="174">
                  <c:v>43265</c:v>
                </c:pt>
                <c:pt idx="175">
                  <c:v>43266</c:v>
                </c:pt>
                <c:pt idx="176">
                  <c:v>43269</c:v>
                </c:pt>
                <c:pt idx="177">
                  <c:v>43270</c:v>
                </c:pt>
                <c:pt idx="178">
                  <c:v>43271</c:v>
                </c:pt>
                <c:pt idx="179">
                  <c:v>43272</c:v>
                </c:pt>
                <c:pt idx="180">
                  <c:v>43273</c:v>
                </c:pt>
                <c:pt idx="181">
                  <c:v>43276</c:v>
                </c:pt>
                <c:pt idx="182">
                  <c:v>43277</c:v>
                </c:pt>
                <c:pt idx="183">
                  <c:v>43278</c:v>
                </c:pt>
                <c:pt idx="184">
                  <c:v>43279</c:v>
                </c:pt>
                <c:pt idx="185">
                  <c:v>43280</c:v>
                </c:pt>
                <c:pt idx="186">
                  <c:v>43283</c:v>
                </c:pt>
                <c:pt idx="187">
                  <c:v>43284</c:v>
                </c:pt>
                <c:pt idx="188">
                  <c:v>43285</c:v>
                </c:pt>
                <c:pt idx="189">
                  <c:v>43286</c:v>
                </c:pt>
                <c:pt idx="190">
                  <c:v>43287</c:v>
                </c:pt>
                <c:pt idx="191">
                  <c:v>43290</c:v>
                </c:pt>
                <c:pt idx="192">
                  <c:v>43291</c:v>
                </c:pt>
                <c:pt idx="193">
                  <c:v>43292</c:v>
                </c:pt>
                <c:pt idx="194">
                  <c:v>43293</c:v>
                </c:pt>
                <c:pt idx="195">
                  <c:v>43294</c:v>
                </c:pt>
                <c:pt idx="196">
                  <c:v>43297</c:v>
                </c:pt>
                <c:pt idx="197">
                  <c:v>43298</c:v>
                </c:pt>
                <c:pt idx="198">
                  <c:v>43299</c:v>
                </c:pt>
                <c:pt idx="199">
                  <c:v>43300</c:v>
                </c:pt>
                <c:pt idx="200">
                  <c:v>43301</c:v>
                </c:pt>
                <c:pt idx="201">
                  <c:v>43304</c:v>
                </c:pt>
                <c:pt idx="202">
                  <c:v>43305</c:v>
                </c:pt>
                <c:pt idx="203">
                  <c:v>43306</c:v>
                </c:pt>
                <c:pt idx="204">
                  <c:v>43307</c:v>
                </c:pt>
                <c:pt idx="205">
                  <c:v>43308</c:v>
                </c:pt>
                <c:pt idx="206">
                  <c:v>43311</c:v>
                </c:pt>
                <c:pt idx="207">
                  <c:v>43312</c:v>
                </c:pt>
                <c:pt idx="208">
                  <c:v>43313</c:v>
                </c:pt>
                <c:pt idx="209">
                  <c:v>43314</c:v>
                </c:pt>
                <c:pt idx="210">
                  <c:v>43315</c:v>
                </c:pt>
                <c:pt idx="211">
                  <c:v>43318</c:v>
                </c:pt>
                <c:pt idx="212">
                  <c:v>43319</c:v>
                </c:pt>
                <c:pt idx="213">
                  <c:v>43320</c:v>
                </c:pt>
                <c:pt idx="214">
                  <c:v>43321</c:v>
                </c:pt>
                <c:pt idx="215">
                  <c:v>43322</c:v>
                </c:pt>
                <c:pt idx="216">
                  <c:v>43325</c:v>
                </c:pt>
                <c:pt idx="217">
                  <c:v>43326</c:v>
                </c:pt>
                <c:pt idx="218">
                  <c:v>43328</c:v>
                </c:pt>
                <c:pt idx="219">
                  <c:v>43329</c:v>
                </c:pt>
                <c:pt idx="220">
                  <c:v>43332</c:v>
                </c:pt>
                <c:pt idx="221">
                  <c:v>43333</c:v>
                </c:pt>
                <c:pt idx="222">
                  <c:v>43335</c:v>
                </c:pt>
                <c:pt idx="223">
                  <c:v>43336</c:v>
                </c:pt>
                <c:pt idx="224">
                  <c:v>43339</c:v>
                </c:pt>
                <c:pt idx="225">
                  <c:v>43340</c:v>
                </c:pt>
                <c:pt idx="226">
                  <c:v>43341</c:v>
                </c:pt>
                <c:pt idx="227">
                  <c:v>43342</c:v>
                </c:pt>
                <c:pt idx="228">
                  <c:v>43343</c:v>
                </c:pt>
                <c:pt idx="229">
                  <c:v>43346</c:v>
                </c:pt>
                <c:pt idx="230">
                  <c:v>43347</c:v>
                </c:pt>
                <c:pt idx="231">
                  <c:v>43348</c:v>
                </c:pt>
                <c:pt idx="232">
                  <c:v>43349</c:v>
                </c:pt>
                <c:pt idx="233">
                  <c:v>43350</c:v>
                </c:pt>
                <c:pt idx="234">
                  <c:v>43353</c:v>
                </c:pt>
                <c:pt idx="235">
                  <c:v>43354</c:v>
                </c:pt>
                <c:pt idx="236">
                  <c:v>43355</c:v>
                </c:pt>
                <c:pt idx="237">
                  <c:v>43357</c:v>
                </c:pt>
                <c:pt idx="238">
                  <c:v>43360</c:v>
                </c:pt>
                <c:pt idx="239">
                  <c:v>43361</c:v>
                </c:pt>
                <c:pt idx="240">
                  <c:v>43362</c:v>
                </c:pt>
                <c:pt idx="241">
                  <c:v>43364</c:v>
                </c:pt>
                <c:pt idx="242">
                  <c:v>43367</c:v>
                </c:pt>
                <c:pt idx="243">
                  <c:v>43368</c:v>
                </c:pt>
                <c:pt idx="244">
                  <c:v>43369</c:v>
                </c:pt>
                <c:pt idx="245">
                  <c:v>43370</c:v>
                </c:pt>
                <c:pt idx="246">
                  <c:v>43371</c:v>
                </c:pt>
              </c:numCache>
            </c:numRef>
          </c:cat>
          <c:val>
            <c:numRef>
              <c:f>'F1'!$C$23:$C$269</c:f>
              <c:numCache>
                <c:formatCode>0</c:formatCode>
                <c:ptCount val="247"/>
                <c:pt idx="0">
                  <c:v>9859.5</c:v>
                </c:pt>
                <c:pt idx="1">
                  <c:v>9914.9</c:v>
                </c:pt>
                <c:pt idx="2">
                  <c:v>9888.7000000000007</c:v>
                </c:pt>
                <c:pt idx="3">
                  <c:v>9979.7000000000007</c:v>
                </c:pt>
                <c:pt idx="4">
                  <c:v>9988.75</c:v>
                </c:pt>
                <c:pt idx="5">
                  <c:v>10016.950000000001</c:v>
                </c:pt>
                <c:pt idx="6">
                  <c:v>9984.7999999999993</c:v>
                </c:pt>
                <c:pt idx="7">
                  <c:v>10096.4</c:v>
                </c:pt>
                <c:pt idx="8">
                  <c:v>10167.450000000001</c:v>
                </c:pt>
                <c:pt idx="9">
                  <c:v>10230.85</c:v>
                </c:pt>
                <c:pt idx="10">
                  <c:v>10234.450000000001</c:v>
                </c:pt>
                <c:pt idx="11">
                  <c:v>10210.85</c:v>
                </c:pt>
                <c:pt idx="12">
                  <c:v>10146.549999999999</c:v>
                </c:pt>
                <c:pt idx="13">
                  <c:v>10184.85</c:v>
                </c:pt>
                <c:pt idx="14">
                  <c:v>10207.700000000001</c:v>
                </c:pt>
                <c:pt idx="15">
                  <c:v>10295.35</c:v>
                </c:pt>
                <c:pt idx="16">
                  <c:v>10343.799999999999</c:v>
                </c:pt>
                <c:pt idx="17">
                  <c:v>10323.049999999999</c:v>
                </c:pt>
                <c:pt idx="18">
                  <c:v>10363.65</c:v>
                </c:pt>
                <c:pt idx="19">
                  <c:v>10335.299999999999</c:v>
                </c:pt>
                <c:pt idx="20">
                  <c:v>10440.5</c:v>
                </c:pt>
                <c:pt idx="21">
                  <c:v>10423.799999999999</c:v>
                </c:pt>
                <c:pt idx="22">
                  <c:v>10452.5</c:v>
                </c:pt>
                <c:pt idx="23">
                  <c:v>10451.799999999999</c:v>
                </c:pt>
                <c:pt idx="24">
                  <c:v>10350.15</c:v>
                </c:pt>
                <c:pt idx="25">
                  <c:v>10303.15</c:v>
                </c:pt>
                <c:pt idx="26">
                  <c:v>10308.950000000001</c:v>
                </c:pt>
                <c:pt idx="27">
                  <c:v>10321.75</c:v>
                </c:pt>
                <c:pt idx="28">
                  <c:v>10224.950000000001</c:v>
                </c:pt>
                <c:pt idx="29">
                  <c:v>10186.6</c:v>
                </c:pt>
                <c:pt idx="30">
                  <c:v>10118.049999999999</c:v>
                </c:pt>
                <c:pt idx="31">
                  <c:v>10214.75</c:v>
                </c:pt>
                <c:pt idx="32">
                  <c:v>10283.6</c:v>
                </c:pt>
                <c:pt idx="33">
                  <c:v>10298.75</c:v>
                </c:pt>
                <c:pt idx="34">
                  <c:v>10326.9</c:v>
                </c:pt>
                <c:pt idx="35">
                  <c:v>10342.299999999999</c:v>
                </c:pt>
                <c:pt idx="36">
                  <c:v>10348.75</c:v>
                </c:pt>
                <c:pt idx="37">
                  <c:v>10389.700000000001</c:v>
                </c:pt>
                <c:pt idx="38">
                  <c:v>10399.549999999999</c:v>
                </c:pt>
                <c:pt idx="39">
                  <c:v>10370.25</c:v>
                </c:pt>
                <c:pt idx="40">
                  <c:v>10361.299999999999</c:v>
                </c:pt>
                <c:pt idx="41">
                  <c:v>10226.549999999999</c:v>
                </c:pt>
                <c:pt idx="42">
                  <c:v>10121.799999999999</c:v>
                </c:pt>
                <c:pt idx="43">
                  <c:v>10127.75</c:v>
                </c:pt>
                <c:pt idx="44">
                  <c:v>10118.25</c:v>
                </c:pt>
                <c:pt idx="45">
                  <c:v>10044.1</c:v>
                </c:pt>
                <c:pt idx="46">
                  <c:v>10166.700000000001</c:v>
                </c:pt>
                <c:pt idx="47">
                  <c:v>10265.65</c:v>
                </c:pt>
                <c:pt idx="48">
                  <c:v>10322.25</c:v>
                </c:pt>
                <c:pt idx="49">
                  <c:v>10240.15</c:v>
                </c:pt>
                <c:pt idx="50">
                  <c:v>10192.950000000001</c:v>
                </c:pt>
                <c:pt idx="51">
                  <c:v>10252.1</c:v>
                </c:pt>
                <c:pt idx="52">
                  <c:v>10333.25</c:v>
                </c:pt>
                <c:pt idx="53">
                  <c:v>10388.75</c:v>
                </c:pt>
                <c:pt idx="54">
                  <c:v>10463.200000000001</c:v>
                </c:pt>
                <c:pt idx="55">
                  <c:v>10444.200000000001</c:v>
                </c:pt>
                <c:pt idx="56">
                  <c:v>10440.299999999999</c:v>
                </c:pt>
                <c:pt idx="57">
                  <c:v>10493</c:v>
                </c:pt>
                <c:pt idx="58">
                  <c:v>10531.5</c:v>
                </c:pt>
                <c:pt idx="59">
                  <c:v>10490.75</c:v>
                </c:pt>
                <c:pt idx="60">
                  <c:v>10477.9</c:v>
                </c:pt>
                <c:pt idx="61">
                  <c:v>10530.7</c:v>
                </c:pt>
                <c:pt idx="62">
                  <c:v>10435.549999999999</c:v>
                </c:pt>
                <c:pt idx="63">
                  <c:v>10442.200000000001</c:v>
                </c:pt>
                <c:pt idx="64">
                  <c:v>10443.200000000001</c:v>
                </c:pt>
                <c:pt idx="65">
                  <c:v>10504.8</c:v>
                </c:pt>
                <c:pt idx="66">
                  <c:v>10558.85</c:v>
                </c:pt>
                <c:pt idx="67">
                  <c:v>10623.6</c:v>
                </c:pt>
                <c:pt idx="68">
                  <c:v>10637</c:v>
                </c:pt>
                <c:pt idx="69">
                  <c:v>10632.2</c:v>
                </c:pt>
                <c:pt idx="70">
                  <c:v>10651.2</c:v>
                </c:pt>
                <c:pt idx="71">
                  <c:v>10681.25</c:v>
                </c:pt>
                <c:pt idx="72">
                  <c:v>10741.55</c:v>
                </c:pt>
                <c:pt idx="73">
                  <c:v>10700.45</c:v>
                </c:pt>
                <c:pt idx="74">
                  <c:v>10788.55</c:v>
                </c:pt>
                <c:pt idx="75">
                  <c:v>10817</c:v>
                </c:pt>
                <c:pt idx="76">
                  <c:v>10894.7</c:v>
                </c:pt>
                <c:pt idx="77">
                  <c:v>10966.2</c:v>
                </c:pt>
                <c:pt idx="78">
                  <c:v>11083.7</c:v>
                </c:pt>
                <c:pt idx="79">
                  <c:v>11086</c:v>
                </c:pt>
                <c:pt idx="80">
                  <c:v>11069.65</c:v>
                </c:pt>
                <c:pt idx="81">
                  <c:v>11130.4</c:v>
                </c:pt>
                <c:pt idx="82">
                  <c:v>11049.65</c:v>
                </c:pt>
                <c:pt idx="83">
                  <c:v>11027.7</c:v>
                </c:pt>
                <c:pt idx="84">
                  <c:v>11016.9</c:v>
                </c:pt>
                <c:pt idx="85">
                  <c:v>10760.6</c:v>
                </c:pt>
                <c:pt idx="86">
                  <c:v>10666.55</c:v>
                </c:pt>
                <c:pt idx="87">
                  <c:v>10498.25</c:v>
                </c:pt>
                <c:pt idx="88">
                  <c:v>10476.700000000001</c:v>
                </c:pt>
                <c:pt idx="89">
                  <c:v>10576.85</c:v>
                </c:pt>
                <c:pt idx="90">
                  <c:v>10454.950000000001</c:v>
                </c:pt>
                <c:pt idx="91">
                  <c:v>10539.75</c:v>
                </c:pt>
                <c:pt idx="92">
                  <c:v>10500.9</c:v>
                </c:pt>
                <c:pt idx="93">
                  <c:v>10545.5</c:v>
                </c:pt>
                <c:pt idx="94">
                  <c:v>10452.299999999999</c:v>
                </c:pt>
                <c:pt idx="95">
                  <c:v>10378.4</c:v>
                </c:pt>
                <c:pt idx="96">
                  <c:v>10360.4</c:v>
                </c:pt>
                <c:pt idx="97">
                  <c:v>10397.450000000001</c:v>
                </c:pt>
                <c:pt idx="98">
                  <c:v>10382.700000000001</c:v>
                </c:pt>
                <c:pt idx="99">
                  <c:v>10491.05</c:v>
                </c:pt>
                <c:pt idx="100">
                  <c:v>10582.6</c:v>
                </c:pt>
                <c:pt idx="101">
                  <c:v>10554.3</c:v>
                </c:pt>
                <c:pt idx="102">
                  <c:v>10492.85</c:v>
                </c:pt>
                <c:pt idx="103">
                  <c:v>10458.35</c:v>
                </c:pt>
                <c:pt idx="104">
                  <c:v>10358.85</c:v>
                </c:pt>
                <c:pt idx="105">
                  <c:v>10249.25</c:v>
                </c:pt>
                <c:pt idx="106">
                  <c:v>10154.200000000001</c:v>
                </c:pt>
                <c:pt idx="107">
                  <c:v>10242.65</c:v>
                </c:pt>
                <c:pt idx="108">
                  <c:v>10226.85</c:v>
                </c:pt>
                <c:pt idx="109">
                  <c:v>10421.4</c:v>
                </c:pt>
                <c:pt idx="110">
                  <c:v>10426.85</c:v>
                </c:pt>
                <c:pt idx="111">
                  <c:v>10410.9</c:v>
                </c:pt>
                <c:pt idx="112">
                  <c:v>10360.15</c:v>
                </c:pt>
                <c:pt idx="113">
                  <c:v>10195.15</c:v>
                </c:pt>
                <c:pt idx="114">
                  <c:v>10094.25</c:v>
                </c:pt>
                <c:pt idx="115">
                  <c:v>10124.35</c:v>
                </c:pt>
                <c:pt idx="116">
                  <c:v>10155.25</c:v>
                </c:pt>
                <c:pt idx="117">
                  <c:v>10114.75</c:v>
                </c:pt>
                <c:pt idx="118">
                  <c:v>9998.0499999999993</c:v>
                </c:pt>
                <c:pt idx="119">
                  <c:v>10130.65</c:v>
                </c:pt>
                <c:pt idx="120">
                  <c:v>10184.15</c:v>
                </c:pt>
                <c:pt idx="121">
                  <c:v>10113.700000000001</c:v>
                </c:pt>
                <c:pt idx="122">
                  <c:v>10211.799999999999</c:v>
                </c:pt>
                <c:pt idx="123">
                  <c:v>10245</c:v>
                </c:pt>
                <c:pt idx="124">
                  <c:v>10128.4</c:v>
                </c:pt>
                <c:pt idx="125">
                  <c:v>10325.15</c:v>
                </c:pt>
                <c:pt idx="126">
                  <c:v>10331.6</c:v>
                </c:pt>
                <c:pt idx="127">
                  <c:v>10379.35</c:v>
                </c:pt>
                <c:pt idx="128">
                  <c:v>10402.25</c:v>
                </c:pt>
                <c:pt idx="129">
                  <c:v>10417.15</c:v>
                </c:pt>
                <c:pt idx="130">
                  <c:v>10458.65</c:v>
                </c:pt>
                <c:pt idx="131">
                  <c:v>10480.6</c:v>
                </c:pt>
                <c:pt idx="132">
                  <c:v>10528.35</c:v>
                </c:pt>
                <c:pt idx="133">
                  <c:v>10548.7</c:v>
                </c:pt>
                <c:pt idx="134">
                  <c:v>10526.2</c:v>
                </c:pt>
                <c:pt idx="135">
                  <c:v>10565.3</c:v>
                </c:pt>
                <c:pt idx="136">
                  <c:v>10564.05</c:v>
                </c:pt>
                <c:pt idx="137">
                  <c:v>10584.7</c:v>
                </c:pt>
                <c:pt idx="138">
                  <c:v>10614.35</c:v>
                </c:pt>
                <c:pt idx="139">
                  <c:v>10570.55</c:v>
                </c:pt>
                <c:pt idx="140">
                  <c:v>10617.8</c:v>
                </c:pt>
                <c:pt idx="141">
                  <c:v>10692.3</c:v>
                </c:pt>
                <c:pt idx="142">
                  <c:v>10739.35</c:v>
                </c:pt>
                <c:pt idx="143" formatCode="General">
                  <c:v>10718.05</c:v>
                </c:pt>
                <c:pt idx="144" formatCode="General">
                  <c:v>10679.65</c:v>
                </c:pt>
                <c:pt idx="145" formatCode="General">
                  <c:v>10618.25</c:v>
                </c:pt>
                <c:pt idx="146" formatCode="General">
                  <c:v>10715.5</c:v>
                </c:pt>
                <c:pt idx="147" formatCode="General">
                  <c:v>10717.8</c:v>
                </c:pt>
                <c:pt idx="148" formatCode="General">
                  <c:v>10741.7</c:v>
                </c:pt>
                <c:pt idx="149" formatCode="General">
                  <c:v>10716.55</c:v>
                </c:pt>
                <c:pt idx="150" formatCode="General">
                  <c:v>10806.5</c:v>
                </c:pt>
                <c:pt idx="151" formatCode="General">
                  <c:v>10806.6</c:v>
                </c:pt>
                <c:pt idx="152" formatCode="General">
                  <c:v>10801.85</c:v>
                </c:pt>
                <c:pt idx="153" formatCode="General">
                  <c:v>10741.1</c:v>
                </c:pt>
                <c:pt idx="154" formatCode="General">
                  <c:v>10682.7</c:v>
                </c:pt>
                <c:pt idx="155" formatCode="General">
                  <c:v>10596.4</c:v>
                </c:pt>
                <c:pt idx="156" formatCode="General">
                  <c:v>10516.7</c:v>
                </c:pt>
                <c:pt idx="157" formatCode="General">
                  <c:v>10536.7</c:v>
                </c:pt>
                <c:pt idx="158" formatCode="General">
                  <c:v>10430.35</c:v>
                </c:pt>
                <c:pt idx="159" formatCode="General">
                  <c:v>10513.85</c:v>
                </c:pt>
                <c:pt idx="160" formatCode="General">
                  <c:v>10605.15</c:v>
                </c:pt>
                <c:pt idx="161" formatCode="General">
                  <c:v>10688.65</c:v>
                </c:pt>
                <c:pt idx="162" formatCode="General">
                  <c:v>10633.3</c:v>
                </c:pt>
                <c:pt idx="163" formatCode="General">
                  <c:v>10614.35</c:v>
                </c:pt>
                <c:pt idx="164" formatCode="General">
                  <c:v>10736.15</c:v>
                </c:pt>
                <c:pt idx="165" formatCode="#,##0.00">
                  <c:v>10696.2</c:v>
                </c:pt>
                <c:pt idx="166" formatCode="#,##0.00">
                  <c:v>10628.5</c:v>
                </c:pt>
                <c:pt idx="167" formatCode="#,##0.00">
                  <c:v>10593.15</c:v>
                </c:pt>
                <c:pt idx="168" formatCode="#,##0.00">
                  <c:v>10684.65</c:v>
                </c:pt>
                <c:pt idx="169" formatCode="#,##0.00">
                  <c:v>10768.35</c:v>
                </c:pt>
                <c:pt idx="170" formatCode="#,##0.00">
                  <c:v>10767.65</c:v>
                </c:pt>
                <c:pt idx="171" formatCode="#,##0.00">
                  <c:v>10786.95</c:v>
                </c:pt>
                <c:pt idx="172" formatCode="#,##0.00">
                  <c:v>10842.85</c:v>
                </c:pt>
                <c:pt idx="173" formatCode="#,##0.00">
                  <c:v>10856.7</c:v>
                </c:pt>
                <c:pt idx="174" formatCode="#,##0.00">
                  <c:v>10808.05</c:v>
                </c:pt>
                <c:pt idx="175" formatCode="#,##0.00">
                  <c:v>10817.7</c:v>
                </c:pt>
                <c:pt idx="176" formatCode="#,##0.00">
                  <c:v>10799.85</c:v>
                </c:pt>
                <c:pt idx="177" formatCode="#,##0.00">
                  <c:v>10710.45</c:v>
                </c:pt>
                <c:pt idx="178" formatCode="#,##0.00">
                  <c:v>10772.05</c:v>
                </c:pt>
                <c:pt idx="179" formatCode="#,##0.00">
                  <c:v>10741.1</c:v>
                </c:pt>
                <c:pt idx="180" formatCode="#,##0.00">
                  <c:v>10821.85</c:v>
                </c:pt>
                <c:pt idx="181" formatCode="#,##0.00">
                  <c:v>10762.45</c:v>
                </c:pt>
                <c:pt idx="182" formatCode="#,##0.00">
                  <c:v>10769.15</c:v>
                </c:pt>
                <c:pt idx="183" formatCode="#,##0.00">
                  <c:v>10671.4</c:v>
                </c:pt>
                <c:pt idx="184" formatCode="#,##0.00">
                  <c:v>10589.1</c:v>
                </c:pt>
                <c:pt idx="185" formatCode="#,##0.00">
                  <c:v>10714.3</c:v>
                </c:pt>
                <c:pt idx="186" formatCode="#,##0.00">
                  <c:v>10657.3</c:v>
                </c:pt>
                <c:pt idx="187" formatCode="#,##0.00">
                  <c:v>10699.9</c:v>
                </c:pt>
                <c:pt idx="188" formatCode="#,##0.00">
                  <c:v>10769.9</c:v>
                </c:pt>
                <c:pt idx="189" formatCode="#,##0.00">
                  <c:v>10749.75</c:v>
                </c:pt>
                <c:pt idx="190" formatCode="#,##0.00">
                  <c:v>10772.65</c:v>
                </c:pt>
                <c:pt idx="191" formatCode="#,##0.00">
                  <c:v>10852.9</c:v>
                </c:pt>
                <c:pt idx="192" formatCode="#,##0.00">
                  <c:v>10947.25</c:v>
                </c:pt>
                <c:pt idx="193" formatCode="#,##0.00">
                  <c:v>10948.3</c:v>
                </c:pt>
                <c:pt idx="194" formatCode="#,##0.00">
                  <c:v>11023.2</c:v>
                </c:pt>
                <c:pt idx="195" formatCode="#,##0.00">
                  <c:v>11018.9</c:v>
                </c:pt>
                <c:pt idx="196" formatCode="#,##0.00">
                  <c:v>10936.85</c:v>
                </c:pt>
                <c:pt idx="197" formatCode="#,##0.00">
                  <c:v>11008.05</c:v>
                </c:pt>
                <c:pt idx="198" formatCode="#,##0.00">
                  <c:v>10980.45</c:v>
                </c:pt>
                <c:pt idx="199" formatCode="#,##0.00">
                  <c:v>10957.1</c:v>
                </c:pt>
                <c:pt idx="200" formatCode="#,##0.00">
                  <c:v>11010.2</c:v>
                </c:pt>
                <c:pt idx="201" formatCode="#,##0.00">
                  <c:v>11084.75</c:v>
                </c:pt>
                <c:pt idx="202" formatCode="#,##0.00">
                  <c:v>11134.3</c:v>
                </c:pt>
                <c:pt idx="203" formatCode="#,##0.00">
                  <c:v>11132</c:v>
                </c:pt>
                <c:pt idx="204" formatCode="#,##0.00">
                  <c:v>11167.3</c:v>
                </c:pt>
                <c:pt idx="205" formatCode="#,##0.00">
                  <c:v>11278.35</c:v>
                </c:pt>
                <c:pt idx="206" formatCode="#,##0.00">
                  <c:v>11319.55</c:v>
                </c:pt>
                <c:pt idx="207" formatCode="#,##0.00">
                  <c:v>11356.5</c:v>
                </c:pt>
                <c:pt idx="208" formatCode="General">
                  <c:v>11346.2</c:v>
                </c:pt>
                <c:pt idx="209" formatCode="General">
                  <c:v>11244.7</c:v>
                </c:pt>
                <c:pt idx="210" formatCode="General">
                  <c:v>11360.8</c:v>
                </c:pt>
                <c:pt idx="211" formatCode="General">
                  <c:v>11387.1</c:v>
                </c:pt>
                <c:pt idx="212" formatCode="General">
                  <c:v>11389.45</c:v>
                </c:pt>
                <c:pt idx="213" formatCode="General">
                  <c:v>11450</c:v>
                </c:pt>
                <c:pt idx="214" formatCode="General">
                  <c:v>11470.7</c:v>
                </c:pt>
                <c:pt idx="215" formatCode="General">
                  <c:v>11429.5</c:v>
                </c:pt>
                <c:pt idx="216" formatCode="General">
                  <c:v>11355.75</c:v>
                </c:pt>
                <c:pt idx="217" formatCode="General">
                  <c:v>11435.1</c:v>
                </c:pt>
                <c:pt idx="218" formatCode="General">
                  <c:v>11385.05</c:v>
                </c:pt>
                <c:pt idx="219" formatCode="General">
                  <c:v>11470.75</c:v>
                </c:pt>
                <c:pt idx="220" formatCode="General">
                  <c:v>11551.75</c:v>
                </c:pt>
                <c:pt idx="221" formatCode="General">
                  <c:v>11570.9</c:v>
                </c:pt>
                <c:pt idx="222" formatCode="General">
                  <c:v>11582.75</c:v>
                </c:pt>
                <c:pt idx="223" formatCode="General">
                  <c:v>11557.1</c:v>
                </c:pt>
                <c:pt idx="224" formatCode="General">
                  <c:v>11691.95</c:v>
                </c:pt>
                <c:pt idx="225" formatCode="General">
                  <c:v>11738.5</c:v>
                </c:pt>
                <c:pt idx="226" formatCode="General">
                  <c:v>11691.9</c:v>
                </c:pt>
                <c:pt idx="227" formatCode="General">
                  <c:v>11676.8</c:v>
                </c:pt>
                <c:pt idx="228" formatCode="General">
                  <c:v>11680.5</c:v>
                </c:pt>
                <c:pt idx="229">
                  <c:v>11582.35</c:v>
                </c:pt>
                <c:pt idx="230">
                  <c:v>11520.3</c:v>
                </c:pt>
                <c:pt idx="231">
                  <c:v>11476.95</c:v>
                </c:pt>
                <c:pt idx="232">
                  <c:v>11536.9</c:v>
                </c:pt>
                <c:pt idx="233">
                  <c:v>11589.1</c:v>
                </c:pt>
                <c:pt idx="234">
                  <c:v>11438.1</c:v>
                </c:pt>
                <c:pt idx="235">
                  <c:v>11287.5</c:v>
                </c:pt>
                <c:pt idx="236">
                  <c:v>11369.9</c:v>
                </c:pt>
                <c:pt idx="237">
                  <c:v>11515.2</c:v>
                </c:pt>
                <c:pt idx="238">
                  <c:v>11377.75</c:v>
                </c:pt>
                <c:pt idx="239">
                  <c:v>11278.9</c:v>
                </c:pt>
                <c:pt idx="240">
                  <c:v>11234.35</c:v>
                </c:pt>
                <c:pt idx="241">
                  <c:v>11143.1</c:v>
                </c:pt>
                <c:pt idx="242">
                  <c:v>10967.4</c:v>
                </c:pt>
                <c:pt idx="243">
                  <c:v>11067.45</c:v>
                </c:pt>
                <c:pt idx="244">
                  <c:v>11053.8</c:v>
                </c:pt>
                <c:pt idx="245">
                  <c:v>10977.55</c:v>
                </c:pt>
                <c:pt idx="246">
                  <c:v>10930.45</c:v>
                </c:pt>
              </c:numCache>
            </c:numRef>
          </c:val>
          <c:smooth val="0"/>
        </c:ser>
        <c:dLbls>
          <c:showLegendKey val="0"/>
          <c:showVal val="0"/>
          <c:showCatName val="0"/>
          <c:showSerName val="0"/>
          <c:showPercent val="0"/>
          <c:showBubbleSize val="0"/>
        </c:dLbls>
        <c:marker val="1"/>
        <c:smooth val="0"/>
        <c:axId val="264002128"/>
        <c:axId val="264005264"/>
      </c:lineChart>
      <c:dateAx>
        <c:axId val="264010360"/>
        <c:scaling>
          <c:orientation val="minMax"/>
        </c:scaling>
        <c:delete val="0"/>
        <c:axPos val="b"/>
        <c:numFmt formatCode="[$-409]mmm\-yy;@" sourceLinked="0"/>
        <c:majorTickMark val="none"/>
        <c:minorTickMark val="none"/>
        <c:tickLblPos val="nextTo"/>
        <c:txPr>
          <a:bodyPr rot="-5400000" vert="horz"/>
          <a:lstStyle/>
          <a:p>
            <a:pPr>
              <a:defRPr lang="en-IN" sz="1000" cap="none" baseline="0"/>
            </a:pPr>
            <a:endParaRPr lang="en-US"/>
          </a:p>
        </c:txPr>
        <c:crossAx val="264006832"/>
        <c:crosses val="autoZero"/>
        <c:auto val="1"/>
        <c:lblOffset val="100"/>
        <c:baseTimeUnit val="days"/>
        <c:majorUnit val="1"/>
        <c:majorTimeUnit val="months"/>
        <c:minorUnit val="20"/>
        <c:minorTimeUnit val="months"/>
      </c:dateAx>
      <c:valAx>
        <c:axId val="264006832"/>
        <c:scaling>
          <c:orientation val="minMax"/>
          <c:min val="25000"/>
        </c:scaling>
        <c:delete val="0"/>
        <c:axPos val="l"/>
        <c:numFmt formatCode="0" sourceLinked="1"/>
        <c:majorTickMark val="none"/>
        <c:minorTickMark val="none"/>
        <c:tickLblPos val="nextTo"/>
        <c:txPr>
          <a:bodyPr/>
          <a:lstStyle/>
          <a:p>
            <a:pPr>
              <a:defRPr lang="en-IN"/>
            </a:pPr>
            <a:endParaRPr lang="en-US"/>
          </a:p>
        </c:txPr>
        <c:crossAx val="264010360"/>
        <c:crossesAt val="20"/>
        <c:crossBetween val="between"/>
      </c:valAx>
      <c:valAx>
        <c:axId val="264005264"/>
        <c:scaling>
          <c:orientation val="minMax"/>
          <c:min val="8000"/>
        </c:scaling>
        <c:delete val="0"/>
        <c:axPos val="r"/>
        <c:numFmt formatCode="0" sourceLinked="1"/>
        <c:majorTickMark val="out"/>
        <c:minorTickMark val="none"/>
        <c:tickLblPos val="nextTo"/>
        <c:crossAx val="264002128"/>
        <c:crosses val="max"/>
        <c:crossBetween val="between"/>
      </c:valAx>
      <c:catAx>
        <c:axId val="264002128"/>
        <c:scaling>
          <c:orientation val="minMax"/>
        </c:scaling>
        <c:delete val="1"/>
        <c:axPos val="b"/>
        <c:numFmt formatCode="[$-409]mmm\-yy;@" sourceLinked="1"/>
        <c:majorTickMark val="out"/>
        <c:minorTickMark val="none"/>
        <c:tickLblPos val="nextTo"/>
        <c:crossAx val="264005264"/>
        <c:crosses val="autoZero"/>
        <c:auto val="0"/>
        <c:lblAlgn val="ctr"/>
        <c:lblOffset val="100"/>
        <c:noMultiLvlLbl val="0"/>
      </c:catAx>
    </c:plotArea>
    <c:legend>
      <c:legendPos val="b"/>
      <c:layout>
        <c:manualLayout>
          <c:xMode val="edge"/>
          <c:yMode val="edge"/>
          <c:x val="0.25265427263273049"/>
          <c:y val="0.86805342103321426"/>
          <c:w val="0.41301948620058854"/>
          <c:h val="6.9216045198414955E-2"/>
        </c:manualLayout>
      </c:layout>
      <c:overlay val="0"/>
      <c:spPr>
        <a:ln w="3175">
          <a:solidFill>
            <a:srgbClr val="EEECE1">
              <a:lumMod val="10000"/>
            </a:srgbClr>
          </a:solidFill>
        </a:ln>
      </c:spPr>
      <c:txPr>
        <a:bodyPr/>
        <a:lstStyle/>
        <a:p>
          <a:pPr>
            <a:defRPr lang="en-IN" sz="1100" cap="none" baseline="0"/>
          </a:pPr>
          <a:endParaRPr lang="en-US"/>
        </a:p>
      </c:txPr>
    </c:legend>
    <c:plotVisOnly val="1"/>
    <c:dispBlanksAs val="gap"/>
    <c:showDLblsOverMax val="0"/>
  </c:chart>
  <c:spPr>
    <a:ln>
      <a:solidFill>
        <a:schemeClr val="accent6">
          <a:lumMod val="50000"/>
        </a:schemeClr>
      </a:solidFill>
    </a:ln>
  </c:spPr>
  <c:txPr>
    <a:bodyPr/>
    <a:lstStyle/>
    <a:p>
      <a:pPr>
        <a:defRPr sz="900" b="1" i="0" cap="all" baseline="0">
          <a:latin typeface="Garamond"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MCXCOMDEX</c:v>
          </c:tx>
          <c:spPr>
            <a:ln w="31750" cap="rnd">
              <a:solidFill>
                <a:schemeClr val="accent1"/>
              </a:solidFill>
              <a:round/>
            </a:ln>
            <a:effectLst>
              <a:outerShdw blurRad="40000" dist="23000" dir="5400000" rotWithShape="0">
                <a:srgbClr val="000000">
                  <a:alpha val="35000"/>
                </a:srgbClr>
              </a:outerShdw>
            </a:effectLst>
          </c:spPr>
          <c:marker>
            <c:symbol val="none"/>
          </c:marker>
          <c:dLbls>
            <c:dLbl>
              <c:idx val="254"/>
              <c:layout>
                <c:manualLayout>
                  <c:x val="-1.9975031210986267E-2"/>
                  <c:y val="-5.5555555555555601E-2"/>
                </c:manualLayout>
              </c:layout>
              <c:tx>
                <c:rich>
                  <a:bodyPr/>
                  <a:lstStyle/>
                  <a:p>
                    <a:r>
                      <a:rPr lang="en-US"/>
                      <a:t>4009.9</a:t>
                    </a:r>
                  </a:p>
                </c:rich>
              </c:tx>
              <c:showLegendKey val="0"/>
              <c:showVal val="1"/>
              <c:showCatName val="0"/>
              <c:showSerName val="0"/>
              <c:showPercent val="0"/>
              <c:showBubbleSize val="0"/>
              <c:extLst>
                <c:ext xmlns:c15="http://schemas.microsoft.com/office/drawing/2012/chart" uri="{CE6537A1-D6FC-4f65-9D91-7224C49458BB}"/>
              </c:extLst>
            </c:dLbl>
            <c:dLbl>
              <c:idx val="278"/>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'MCX- NCDEX indices'!$A$194:$A$449</c:f>
              <c:numCache>
                <c:formatCode>[$-409]dd\-mmm\-yy;@</c:formatCode>
                <c:ptCount val="256"/>
                <c:pt idx="0">
                  <c:v>43011</c:v>
                </c:pt>
                <c:pt idx="1">
                  <c:v>43012</c:v>
                </c:pt>
                <c:pt idx="2">
                  <c:v>43013</c:v>
                </c:pt>
                <c:pt idx="3">
                  <c:v>43014</c:v>
                </c:pt>
                <c:pt idx="4">
                  <c:v>43017</c:v>
                </c:pt>
                <c:pt idx="5">
                  <c:v>43018</c:v>
                </c:pt>
                <c:pt idx="6">
                  <c:v>43019</c:v>
                </c:pt>
                <c:pt idx="7">
                  <c:v>43020</c:v>
                </c:pt>
                <c:pt idx="8">
                  <c:v>43021</c:v>
                </c:pt>
                <c:pt idx="9">
                  <c:v>43024</c:v>
                </c:pt>
                <c:pt idx="10">
                  <c:v>43025</c:v>
                </c:pt>
                <c:pt idx="11">
                  <c:v>43026</c:v>
                </c:pt>
                <c:pt idx="12">
                  <c:v>43027</c:v>
                </c:pt>
                <c:pt idx="13">
                  <c:v>43028</c:v>
                </c:pt>
                <c:pt idx="14">
                  <c:v>43031</c:v>
                </c:pt>
                <c:pt idx="15">
                  <c:v>43032</c:v>
                </c:pt>
                <c:pt idx="16">
                  <c:v>43033</c:v>
                </c:pt>
                <c:pt idx="17">
                  <c:v>43034</c:v>
                </c:pt>
                <c:pt idx="18">
                  <c:v>43035</c:v>
                </c:pt>
                <c:pt idx="19">
                  <c:v>43038</c:v>
                </c:pt>
                <c:pt idx="20">
                  <c:v>43039</c:v>
                </c:pt>
                <c:pt idx="21">
                  <c:v>43040</c:v>
                </c:pt>
                <c:pt idx="22">
                  <c:v>43041</c:v>
                </c:pt>
                <c:pt idx="23">
                  <c:v>43042</c:v>
                </c:pt>
                <c:pt idx="24">
                  <c:v>43045</c:v>
                </c:pt>
                <c:pt idx="25">
                  <c:v>43046</c:v>
                </c:pt>
                <c:pt idx="26">
                  <c:v>43047</c:v>
                </c:pt>
                <c:pt idx="27">
                  <c:v>43048</c:v>
                </c:pt>
                <c:pt idx="28">
                  <c:v>43049</c:v>
                </c:pt>
                <c:pt idx="29">
                  <c:v>43052</c:v>
                </c:pt>
                <c:pt idx="30">
                  <c:v>43053</c:v>
                </c:pt>
                <c:pt idx="31">
                  <c:v>43054</c:v>
                </c:pt>
                <c:pt idx="32">
                  <c:v>43055</c:v>
                </c:pt>
                <c:pt idx="33">
                  <c:v>43056</c:v>
                </c:pt>
                <c:pt idx="34">
                  <c:v>43059</c:v>
                </c:pt>
                <c:pt idx="35">
                  <c:v>43060</c:v>
                </c:pt>
                <c:pt idx="36">
                  <c:v>43061</c:v>
                </c:pt>
                <c:pt idx="37">
                  <c:v>43062</c:v>
                </c:pt>
                <c:pt idx="38">
                  <c:v>43063</c:v>
                </c:pt>
                <c:pt idx="39">
                  <c:v>43066</c:v>
                </c:pt>
                <c:pt idx="40">
                  <c:v>43067</c:v>
                </c:pt>
                <c:pt idx="41">
                  <c:v>43068</c:v>
                </c:pt>
                <c:pt idx="42">
                  <c:v>43069</c:v>
                </c:pt>
                <c:pt idx="43">
                  <c:v>43070</c:v>
                </c:pt>
                <c:pt idx="44">
                  <c:v>43073</c:v>
                </c:pt>
                <c:pt idx="45">
                  <c:v>43074</c:v>
                </c:pt>
                <c:pt idx="46">
                  <c:v>43075</c:v>
                </c:pt>
                <c:pt idx="47">
                  <c:v>43076</c:v>
                </c:pt>
                <c:pt idx="48">
                  <c:v>43077</c:v>
                </c:pt>
                <c:pt idx="49">
                  <c:v>43080</c:v>
                </c:pt>
                <c:pt idx="50">
                  <c:v>43081</c:v>
                </c:pt>
                <c:pt idx="51">
                  <c:v>43082</c:v>
                </c:pt>
                <c:pt idx="52">
                  <c:v>43083</c:v>
                </c:pt>
                <c:pt idx="53">
                  <c:v>43084</c:v>
                </c:pt>
                <c:pt idx="54">
                  <c:v>43087</c:v>
                </c:pt>
                <c:pt idx="55">
                  <c:v>43088</c:v>
                </c:pt>
                <c:pt idx="56">
                  <c:v>43089</c:v>
                </c:pt>
                <c:pt idx="57">
                  <c:v>43090</c:v>
                </c:pt>
                <c:pt idx="58">
                  <c:v>43091</c:v>
                </c:pt>
                <c:pt idx="59">
                  <c:v>43095</c:v>
                </c:pt>
                <c:pt idx="60">
                  <c:v>43096</c:v>
                </c:pt>
                <c:pt idx="61">
                  <c:v>43097</c:v>
                </c:pt>
                <c:pt idx="62">
                  <c:v>43098</c:v>
                </c:pt>
                <c:pt idx="63">
                  <c:v>43101</c:v>
                </c:pt>
                <c:pt idx="64">
                  <c:v>43102</c:v>
                </c:pt>
                <c:pt idx="65">
                  <c:v>43103</c:v>
                </c:pt>
                <c:pt idx="66">
                  <c:v>43104</c:v>
                </c:pt>
                <c:pt idx="67">
                  <c:v>43105</c:v>
                </c:pt>
                <c:pt idx="68">
                  <c:v>43108</c:v>
                </c:pt>
                <c:pt idx="69">
                  <c:v>43109</c:v>
                </c:pt>
                <c:pt idx="70">
                  <c:v>43110</c:v>
                </c:pt>
                <c:pt idx="71">
                  <c:v>43111</c:v>
                </c:pt>
                <c:pt idx="72">
                  <c:v>43112</c:v>
                </c:pt>
                <c:pt idx="73">
                  <c:v>43114</c:v>
                </c:pt>
                <c:pt idx="74">
                  <c:v>43115</c:v>
                </c:pt>
                <c:pt idx="75">
                  <c:v>43116</c:v>
                </c:pt>
                <c:pt idx="76">
                  <c:v>43117</c:v>
                </c:pt>
                <c:pt idx="77">
                  <c:v>43118</c:v>
                </c:pt>
                <c:pt idx="78">
                  <c:v>43119</c:v>
                </c:pt>
                <c:pt idx="79">
                  <c:v>43122</c:v>
                </c:pt>
                <c:pt idx="80">
                  <c:v>43123</c:v>
                </c:pt>
                <c:pt idx="81">
                  <c:v>43124</c:v>
                </c:pt>
                <c:pt idx="82">
                  <c:v>43125</c:v>
                </c:pt>
                <c:pt idx="83">
                  <c:v>43129</c:v>
                </c:pt>
                <c:pt idx="84">
                  <c:v>43130</c:v>
                </c:pt>
                <c:pt idx="85">
                  <c:v>43131</c:v>
                </c:pt>
                <c:pt idx="86">
                  <c:v>43132</c:v>
                </c:pt>
                <c:pt idx="87">
                  <c:v>43133</c:v>
                </c:pt>
                <c:pt idx="88">
                  <c:v>43136</c:v>
                </c:pt>
                <c:pt idx="89">
                  <c:v>43137</c:v>
                </c:pt>
                <c:pt idx="90">
                  <c:v>43138</c:v>
                </c:pt>
                <c:pt idx="91">
                  <c:v>43139</c:v>
                </c:pt>
                <c:pt idx="92">
                  <c:v>43140</c:v>
                </c:pt>
                <c:pt idx="93">
                  <c:v>43143</c:v>
                </c:pt>
                <c:pt idx="94">
                  <c:v>43144</c:v>
                </c:pt>
                <c:pt idx="95">
                  <c:v>43145</c:v>
                </c:pt>
                <c:pt idx="96">
                  <c:v>43146</c:v>
                </c:pt>
                <c:pt idx="97">
                  <c:v>43147</c:v>
                </c:pt>
                <c:pt idx="98">
                  <c:v>43150</c:v>
                </c:pt>
                <c:pt idx="99">
                  <c:v>43151</c:v>
                </c:pt>
                <c:pt idx="100">
                  <c:v>43152</c:v>
                </c:pt>
                <c:pt idx="101">
                  <c:v>43153</c:v>
                </c:pt>
                <c:pt idx="102">
                  <c:v>43154</c:v>
                </c:pt>
                <c:pt idx="103">
                  <c:v>43157</c:v>
                </c:pt>
                <c:pt idx="104">
                  <c:v>43158</c:v>
                </c:pt>
                <c:pt idx="105">
                  <c:v>43159</c:v>
                </c:pt>
                <c:pt idx="106">
                  <c:v>43160</c:v>
                </c:pt>
                <c:pt idx="107">
                  <c:v>43161</c:v>
                </c:pt>
                <c:pt idx="108">
                  <c:v>43164</c:v>
                </c:pt>
                <c:pt idx="109">
                  <c:v>43165</c:v>
                </c:pt>
                <c:pt idx="110">
                  <c:v>43166</c:v>
                </c:pt>
                <c:pt idx="111">
                  <c:v>43167</c:v>
                </c:pt>
                <c:pt idx="112">
                  <c:v>43168</c:v>
                </c:pt>
                <c:pt idx="113">
                  <c:v>43171</c:v>
                </c:pt>
                <c:pt idx="114">
                  <c:v>43172</c:v>
                </c:pt>
                <c:pt idx="115">
                  <c:v>43173</c:v>
                </c:pt>
                <c:pt idx="116">
                  <c:v>43174</c:v>
                </c:pt>
                <c:pt idx="117">
                  <c:v>43175</c:v>
                </c:pt>
                <c:pt idx="118">
                  <c:v>43178</c:v>
                </c:pt>
                <c:pt idx="119">
                  <c:v>43179</c:v>
                </c:pt>
                <c:pt idx="120">
                  <c:v>43180</c:v>
                </c:pt>
                <c:pt idx="121">
                  <c:v>43181</c:v>
                </c:pt>
                <c:pt idx="122">
                  <c:v>43182</c:v>
                </c:pt>
                <c:pt idx="123">
                  <c:v>43185</c:v>
                </c:pt>
                <c:pt idx="124">
                  <c:v>43186</c:v>
                </c:pt>
                <c:pt idx="125">
                  <c:v>43187</c:v>
                </c:pt>
                <c:pt idx="126">
                  <c:v>43188</c:v>
                </c:pt>
                <c:pt idx="127" formatCode="d\-mmm\-yy">
                  <c:v>43192</c:v>
                </c:pt>
                <c:pt idx="128" formatCode="d\-mmm\-yy">
                  <c:v>43193</c:v>
                </c:pt>
                <c:pt idx="129" formatCode="d\-mmm\-yy">
                  <c:v>43194</c:v>
                </c:pt>
                <c:pt idx="130" formatCode="d\-mmm\-yy">
                  <c:v>43195</c:v>
                </c:pt>
                <c:pt idx="131" formatCode="d\-mmm\-yy">
                  <c:v>43196</c:v>
                </c:pt>
                <c:pt idx="132" formatCode="d\-mmm\-yy">
                  <c:v>43199</c:v>
                </c:pt>
                <c:pt idx="133" formatCode="d\-mmm\-yy">
                  <c:v>43200</c:v>
                </c:pt>
                <c:pt idx="134" formatCode="d\-mmm\-yy">
                  <c:v>43201</c:v>
                </c:pt>
                <c:pt idx="135" formatCode="d\-mmm\-yy">
                  <c:v>43202</c:v>
                </c:pt>
                <c:pt idx="136" formatCode="d\-mmm\-yy">
                  <c:v>43203</c:v>
                </c:pt>
                <c:pt idx="137" formatCode="d\-mmm\-yy">
                  <c:v>43206</c:v>
                </c:pt>
                <c:pt idx="138" formatCode="d\-mmm\-yy">
                  <c:v>43207</c:v>
                </c:pt>
                <c:pt idx="139" formatCode="d\-mmm\-yy">
                  <c:v>43208</c:v>
                </c:pt>
                <c:pt idx="140" formatCode="d\-mmm\-yy">
                  <c:v>43209</c:v>
                </c:pt>
                <c:pt idx="141" formatCode="d\-mmm\-yy">
                  <c:v>43210</c:v>
                </c:pt>
                <c:pt idx="142" formatCode="d\-mmm\-yy">
                  <c:v>43213</c:v>
                </c:pt>
                <c:pt idx="143" formatCode="d\-mmm\-yy">
                  <c:v>43214</c:v>
                </c:pt>
                <c:pt idx="144" formatCode="d\-mmm\-yy">
                  <c:v>43215</c:v>
                </c:pt>
                <c:pt idx="145" formatCode="d\-mmm\-yy">
                  <c:v>43216</c:v>
                </c:pt>
                <c:pt idx="146" formatCode="d\-mmm\-yy">
                  <c:v>43217</c:v>
                </c:pt>
                <c:pt idx="147" formatCode="d\-mmm\-yy">
                  <c:v>43220</c:v>
                </c:pt>
                <c:pt idx="148" formatCode="d\-mmm\-yy">
                  <c:v>43221</c:v>
                </c:pt>
                <c:pt idx="149" formatCode="d\-mmm\-yy">
                  <c:v>43222</c:v>
                </c:pt>
                <c:pt idx="150" formatCode="d\-mmm\-yy">
                  <c:v>43223</c:v>
                </c:pt>
                <c:pt idx="151" formatCode="d\-mmm\-yy">
                  <c:v>43224</c:v>
                </c:pt>
                <c:pt idx="152" formatCode="d\-mmm\-yy">
                  <c:v>43227</c:v>
                </c:pt>
                <c:pt idx="153" formatCode="d\-mmm\-yy">
                  <c:v>43228</c:v>
                </c:pt>
                <c:pt idx="154" formatCode="d\-mmm\-yy">
                  <c:v>43229</c:v>
                </c:pt>
                <c:pt idx="155" formatCode="d\-mmm\-yy">
                  <c:v>43230</c:v>
                </c:pt>
                <c:pt idx="156" formatCode="d\-mmm\-yy">
                  <c:v>43231</c:v>
                </c:pt>
                <c:pt idx="157" formatCode="d\-mmm\-yy">
                  <c:v>43234</c:v>
                </c:pt>
                <c:pt idx="158" formatCode="d\-mmm\-yy">
                  <c:v>43235</c:v>
                </c:pt>
                <c:pt idx="159" formatCode="d\-mmm\-yy">
                  <c:v>43236</c:v>
                </c:pt>
                <c:pt idx="160" formatCode="d\-mmm\-yy">
                  <c:v>43237</c:v>
                </c:pt>
                <c:pt idx="161" formatCode="d\-mmm\-yy">
                  <c:v>43238</c:v>
                </c:pt>
                <c:pt idx="162" formatCode="d\-mmm\-yy">
                  <c:v>43241</c:v>
                </c:pt>
                <c:pt idx="163" formatCode="d\-mmm\-yy">
                  <c:v>43242</c:v>
                </c:pt>
                <c:pt idx="164" formatCode="d\-mmm\-yy">
                  <c:v>43243</c:v>
                </c:pt>
                <c:pt idx="165" formatCode="d\-mmm\-yy">
                  <c:v>43244</c:v>
                </c:pt>
                <c:pt idx="166" formatCode="d\-mmm\-yy">
                  <c:v>43245</c:v>
                </c:pt>
                <c:pt idx="167" formatCode="d\-mmm\-yy">
                  <c:v>43248</c:v>
                </c:pt>
                <c:pt idx="168" formatCode="d\-mmm\-yy">
                  <c:v>43249</c:v>
                </c:pt>
                <c:pt idx="169" formatCode="d\-mmm\-yy">
                  <c:v>43250</c:v>
                </c:pt>
                <c:pt idx="170" formatCode="d\-mmm\-yy">
                  <c:v>43251</c:v>
                </c:pt>
                <c:pt idx="171" formatCode="d\-mmm\-yy">
                  <c:v>43252</c:v>
                </c:pt>
                <c:pt idx="172" formatCode="d\-mmm\-yy">
                  <c:v>43255</c:v>
                </c:pt>
                <c:pt idx="173" formatCode="d\-mmm\-yy">
                  <c:v>43256</c:v>
                </c:pt>
                <c:pt idx="174" formatCode="d\-mmm\-yy">
                  <c:v>43257</c:v>
                </c:pt>
                <c:pt idx="175" formatCode="d\-mmm\-yy">
                  <c:v>43258</c:v>
                </c:pt>
                <c:pt idx="176" formatCode="d\-mmm\-yy">
                  <c:v>43259</c:v>
                </c:pt>
                <c:pt idx="177" formatCode="d\-mmm\-yy">
                  <c:v>43262</c:v>
                </c:pt>
                <c:pt idx="178" formatCode="d\-mmm\-yy">
                  <c:v>43263</c:v>
                </c:pt>
                <c:pt idx="179" formatCode="d\-mmm\-yy">
                  <c:v>43264</c:v>
                </c:pt>
                <c:pt idx="180" formatCode="d\-mmm\-yy">
                  <c:v>43265</c:v>
                </c:pt>
                <c:pt idx="181" formatCode="d\-mmm\-yy">
                  <c:v>43266</c:v>
                </c:pt>
                <c:pt idx="182" formatCode="d\-mmm\-yy">
                  <c:v>43269</c:v>
                </c:pt>
                <c:pt idx="183" formatCode="d\-mmm\-yy">
                  <c:v>43270</c:v>
                </c:pt>
                <c:pt idx="184" formatCode="d\-mmm\-yy">
                  <c:v>43271</c:v>
                </c:pt>
                <c:pt idx="185" formatCode="d\-mmm\-yy">
                  <c:v>43272</c:v>
                </c:pt>
                <c:pt idx="186" formatCode="d\-mmm\-yy">
                  <c:v>43273</c:v>
                </c:pt>
                <c:pt idx="187" formatCode="d\-mmm\-yy">
                  <c:v>43276</c:v>
                </c:pt>
                <c:pt idx="188" formatCode="d\-mmm\-yy">
                  <c:v>43277</c:v>
                </c:pt>
                <c:pt idx="189" formatCode="d\-mmm\-yy">
                  <c:v>43278</c:v>
                </c:pt>
                <c:pt idx="190" formatCode="d\-mmm\-yy">
                  <c:v>43279</c:v>
                </c:pt>
                <c:pt idx="191" formatCode="d\-mmm\-yy">
                  <c:v>43280</c:v>
                </c:pt>
                <c:pt idx="192" formatCode="d\-mmm\-yy">
                  <c:v>43283</c:v>
                </c:pt>
                <c:pt idx="193" formatCode="d\-mmm\-yy">
                  <c:v>43284</c:v>
                </c:pt>
                <c:pt idx="194" formatCode="d\-mmm\-yy">
                  <c:v>43285</c:v>
                </c:pt>
                <c:pt idx="195" formatCode="d\-mmm\-yy">
                  <c:v>43286</c:v>
                </c:pt>
                <c:pt idx="196" formatCode="d\-mmm\-yy">
                  <c:v>43287</c:v>
                </c:pt>
                <c:pt idx="197" formatCode="d\-mmm\-yy">
                  <c:v>43290</c:v>
                </c:pt>
                <c:pt idx="198" formatCode="d\-mmm\-yy">
                  <c:v>43291</c:v>
                </c:pt>
                <c:pt idx="199" formatCode="d\-mmm\-yy">
                  <c:v>43292</c:v>
                </c:pt>
                <c:pt idx="200" formatCode="d\-mmm\-yy">
                  <c:v>43293</c:v>
                </c:pt>
                <c:pt idx="201" formatCode="d\-mmm\-yy">
                  <c:v>43294</c:v>
                </c:pt>
                <c:pt idx="202" formatCode="d\-mmm\-yy">
                  <c:v>43297</c:v>
                </c:pt>
                <c:pt idx="203" formatCode="d\-mmm\-yy">
                  <c:v>43298</c:v>
                </c:pt>
                <c:pt idx="204" formatCode="d\-mmm\-yy">
                  <c:v>43299</c:v>
                </c:pt>
                <c:pt idx="205" formatCode="d\-mmm\-yy">
                  <c:v>43300</c:v>
                </c:pt>
                <c:pt idx="206" formatCode="d\-mmm\-yy">
                  <c:v>43301</c:v>
                </c:pt>
                <c:pt idx="207" formatCode="d\-mmm\-yy">
                  <c:v>43304</c:v>
                </c:pt>
                <c:pt idx="208" formatCode="d\-mmm\-yy">
                  <c:v>43305</c:v>
                </c:pt>
                <c:pt idx="209" formatCode="d\-mmm\-yy">
                  <c:v>43306</c:v>
                </c:pt>
                <c:pt idx="210" formatCode="d\-mmm\-yy">
                  <c:v>43307</c:v>
                </c:pt>
                <c:pt idx="211" formatCode="d\-mmm\-yy">
                  <c:v>43308</c:v>
                </c:pt>
                <c:pt idx="212" formatCode="d\-mmm\-yy">
                  <c:v>43311</c:v>
                </c:pt>
                <c:pt idx="213" formatCode="d\-mmm\-yy">
                  <c:v>43312</c:v>
                </c:pt>
                <c:pt idx="214" formatCode="d\-mmm\-yy">
                  <c:v>43313</c:v>
                </c:pt>
                <c:pt idx="215" formatCode="d\-mmm\-yy">
                  <c:v>43314</c:v>
                </c:pt>
                <c:pt idx="216" formatCode="d\-mmm\-yy">
                  <c:v>43315</c:v>
                </c:pt>
                <c:pt idx="217" formatCode="d\-mmm\-yy">
                  <c:v>43318</c:v>
                </c:pt>
                <c:pt idx="218" formatCode="d\-mmm\-yy">
                  <c:v>43319</c:v>
                </c:pt>
                <c:pt idx="219" formatCode="d\-mmm\-yy">
                  <c:v>43320</c:v>
                </c:pt>
                <c:pt idx="220" formatCode="d\-mmm\-yy">
                  <c:v>43321</c:v>
                </c:pt>
                <c:pt idx="221" formatCode="d\-mmm\-yy">
                  <c:v>43322</c:v>
                </c:pt>
                <c:pt idx="222" formatCode="d\-mmm\-yy">
                  <c:v>43325</c:v>
                </c:pt>
                <c:pt idx="223" formatCode="d\-mmm\-yy">
                  <c:v>43326</c:v>
                </c:pt>
                <c:pt idx="224" formatCode="d\-mmm\-yy">
                  <c:v>43328</c:v>
                </c:pt>
                <c:pt idx="225" formatCode="d\-mmm\-yy">
                  <c:v>43329</c:v>
                </c:pt>
                <c:pt idx="226" formatCode="d\-mmm\-yy">
                  <c:v>43332</c:v>
                </c:pt>
                <c:pt idx="227" formatCode="d\-mmm\-yy">
                  <c:v>43333</c:v>
                </c:pt>
                <c:pt idx="228" formatCode="d\-mmm\-yy">
                  <c:v>43334</c:v>
                </c:pt>
                <c:pt idx="229" formatCode="d\-mmm\-yy">
                  <c:v>43335</c:v>
                </c:pt>
                <c:pt idx="230" formatCode="d\-mmm\-yy">
                  <c:v>43336</c:v>
                </c:pt>
                <c:pt idx="231" formatCode="d\-mmm\-yy">
                  <c:v>43339</c:v>
                </c:pt>
                <c:pt idx="232" formatCode="d\-mmm\-yy">
                  <c:v>43340</c:v>
                </c:pt>
                <c:pt idx="233" formatCode="d\-mmm\-yy">
                  <c:v>43341</c:v>
                </c:pt>
                <c:pt idx="234" formatCode="d\-mmm\-yy">
                  <c:v>43342</c:v>
                </c:pt>
                <c:pt idx="235" formatCode="d\-mmm\-yy">
                  <c:v>43343</c:v>
                </c:pt>
                <c:pt idx="236" formatCode="d\-mmm\-yy">
                  <c:v>43346</c:v>
                </c:pt>
                <c:pt idx="237" formatCode="d\-mmm\-yy">
                  <c:v>43347</c:v>
                </c:pt>
                <c:pt idx="238" formatCode="d\-mmm\-yy">
                  <c:v>43348</c:v>
                </c:pt>
                <c:pt idx="239" formatCode="d\-mmm\-yy">
                  <c:v>43349</c:v>
                </c:pt>
                <c:pt idx="240" formatCode="d\-mmm\-yy">
                  <c:v>43350</c:v>
                </c:pt>
                <c:pt idx="241" formatCode="d\-mmm\-yy">
                  <c:v>43353</c:v>
                </c:pt>
                <c:pt idx="242" formatCode="d\-mmm\-yy">
                  <c:v>43354</c:v>
                </c:pt>
                <c:pt idx="243" formatCode="d\-mmm\-yy">
                  <c:v>43355</c:v>
                </c:pt>
                <c:pt idx="244" formatCode="d\-mmm\-yy">
                  <c:v>43356</c:v>
                </c:pt>
                <c:pt idx="245" formatCode="d\-mmm\-yy">
                  <c:v>43357</c:v>
                </c:pt>
                <c:pt idx="246" formatCode="d\-mmm\-yy">
                  <c:v>43360</c:v>
                </c:pt>
                <c:pt idx="247" formatCode="d\-mmm\-yy">
                  <c:v>43361</c:v>
                </c:pt>
                <c:pt idx="248" formatCode="d\-mmm\-yy">
                  <c:v>43362</c:v>
                </c:pt>
                <c:pt idx="249" formatCode="d\-mmm\-yy">
                  <c:v>43363</c:v>
                </c:pt>
                <c:pt idx="250" formatCode="d\-mmm\-yy">
                  <c:v>43364</c:v>
                </c:pt>
                <c:pt idx="251" formatCode="d\-mmm\-yy">
                  <c:v>43367</c:v>
                </c:pt>
                <c:pt idx="252" formatCode="d\-mmm\-yy">
                  <c:v>43368</c:v>
                </c:pt>
                <c:pt idx="253" formatCode="d\-mmm\-yy">
                  <c:v>43369</c:v>
                </c:pt>
                <c:pt idx="254" formatCode="d\-mmm\-yy">
                  <c:v>43370</c:v>
                </c:pt>
                <c:pt idx="255" formatCode="d\-mmm\-yy">
                  <c:v>43371</c:v>
                </c:pt>
              </c:numCache>
            </c:numRef>
          </c:cat>
          <c:val>
            <c:numRef>
              <c:f>'MCX- NCDEX indices'!$B$194:$B$449</c:f>
              <c:numCache>
                <c:formatCode>0.00</c:formatCode>
                <c:ptCount val="256"/>
                <c:pt idx="0">
                  <c:v>3350.89</c:v>
                </c:pt>
                <c:pt idx="1">
                  <c:v>3328.41</c:v>
                </c:pt>
                <c:pt idx="2">
                  <c:v>3355.07</c:v>
                </c:pt>
                <c:pt idx="3">
                  <c:v>3337.53</c:v>
                </c:pt>
                <c:pt idx="4">
                  <c:v>3355.41</c:v>
                </c:pt>
                <c:pt idx="5">
                  <c:v>3384.55</c:v>
                </c:pt>
                <c:pt idx="6">
                  <c:v>3386.47</c:v>
                </c:pt>
                <c:pt idx="7">
                  <c:v>3386.18</c:v>
                </c:pt>
                <c:pt idx="8">
                  <c:v>3387.12</c:v>
                </c:pt>
                <c:pt idx="9">
                  <c:v>3406.67</c:v>
                </c:pt>
                <c:pt idx="10">
                  <c:v>3384.15</c:v>
                </c:pt>
                <c:pt idx="11">
                  <c:v>3388.08</c:v>
                </c:pt>
                <c:pt idx="12">
                  <c:v>3376.41</c:v>
                </c:pt>
                <c:pt idx="13">
                  <c:v>3383.03</c:v>
                </c:pt>
                <c:pt idx="14">
                  <c:v>3403.65</c:v>
                </c:pt>
                <c:pt idx="15">
                  <c:v>3426</c:v>
                </c:pt>
                <c:pt idx="16">
                  <c:v>3403.52</c:v>
                </c:pt>
                <c:pt idx="17">
                  <c:v>3411.62</c:v>
                </c:pt>
                <c:pt idx="18">
                  <c:v>3408.47</c:v>
                </c:pt>
                <c:pt idx="19">
                  <c:v>3413.11</c:v>
                </c:pt>
                <c:pt idx="20">
                  <c:v>3416.33</c:v>
                </c:pt>
                <c:pt idx="21">
                  <c:v>3427.2</c:v>
                </c:pt>
                <c:pt idx="22">
                  <c:v>3433.31</c:v>
                </c:pt>
                <c:pt idx="23">
                  <c:v>3446.44</c:v>
                </c:pt>
                <c:pt idx="24">
                  <c:v>3499.98</c:v>
                </c:pt>
                <c:pt idx="25">
                  <c:v>3508.17</c:v>
                </c:pt>
                <c:pt idx="26">
                  <c:v>3506.63</c:v>
                </c:pt>
                <c:pt idx="27">
                  <c:v>3518.08</c:v>
                </c:pt>
                <c:pt idx="28">
                  <c:v>3505.2</c:v>
                </c:pt>
                <c:pt idx="29">
                  <c:v>3531.96</c:v>
                </c:pt>
                <c:pt idx="30">
                  <c:v>3474.26</c:v>
                </c:pt>
                <c:pt idx="31">
                  <c:v>3458.98</c:v>
                </c:pt>
                <c:pt idx="32">
                  <c:v>3441.29</c:v>
                </c:pt>
                <c:pt idx="33">
                  <c:v>3472.89</c:v>
                </c:pt>
                <c:pt idx="34">
                  <c:v>3463.56</c:v>
                </c:pt>
                <c:pt idx="35">
                  <c:v>3480.29</c:v>
                </c:pt>
                <c:pt idx="36">
                  <c:v>3506.9</c:v>
                </c:pt>
                <c:pt idx="37">
                  <c:v>3518.38</c:v>
                </c:pt>
                <c:pt idx="38">
                  <c:v>3523.81</c:v>
                </c:pt>
                <c:pt idx="39">
                  <c:v>3504.02</c:v>
                </c:pt>
                <c:pt idx="40">
                  <c:v>3487.87</c:v>
                </c:pt>
                <c:pt idx="41">
                  <c:v>3463.73</c:v>
                </c:pt>
                <c:pt idx="42">
                  <c:v>3455.24</c:v>
                </c:pt>
                <c:pt idx="43">
                  <c:v>3499.12</c:v>
                </c:pt>
                <c:pt idx="44">
                  <c:v>3470.21</c:v>
                </c:pt>
                <c:pt idx="45">
                  <c:v>3427.66</c:v>
                </c:pt>
                <c:pt idx="46">
                  <c:v>3406.46</c:v>
                </c:pt>
                <c:pt idx="47">
                  <c:v>3390.26</c:v>
                </c:pt>
                <c:pt idx="48">
                  <c:v>3400.09</c:v>
                </c:pt>
                <c:pt idx="49">
                  <c:v>3412.24</c:v>
                </c:pt>
                <c:pt idx="50">
                  <c:v>3396.19</c:v>
                </c:pt>
                <c:pt idx="51">
                  <c:v>3388.7</c:v>
                </c:pt>
                <c:pt idx="52">
                  <c:v>3394.29</c:v>
                </c:pt>
                <c:pt idx="53">
                  <c:v>3409.13</c:v>
                </c:pt>
                <c:pt idx="54">
                  <c:v>3428.4</c:v>
                </c:pt>
                <c:pt idx="55">
                  <c:v>3431.98</c:v>
                </c:pt>
                <c:pt idx="56">
                  <c:v>3440.59</c:v>
                </c:pt>
                <c:pt idx="57">
                  <c:v>3452.93</c:v>
                </c:pt>
                <c:pt idx="58">
                  <c:v>3471.39</c:v>
                </c:pt>
                <c:pt idx="59">
                  <c:v>3509.58</c:v>
                </c:pt>
                <c:pt idx="60">
                  <c:v>3528.22</c:v>
                </c:pt>
                <c:pt idx="61">
                  <c:v>3553.09</c:v>
                </c:pt>
                <c:pt idx="62">
                  <c:v>3568.2</c:v>
                </c:pt>
                <c:pt idx="63">
                  <c:v>3554.83</c:v>
                </c:pt>
                <c:pt idx="64">
                  <c:v>3549.15</c:v>
                </c:pt>
                <c:pt idx="65">
                  <c:v>3560.02</c:v>
                </c:pt>
                <c:pt idx="66">
                  <c:v>3567.05</c:v>
                </c:pt>
                <c:pt idx="67">
                  <c:v>3542.32</c:v>
                </c:pt>
                <c:pt idx="68">
                  <c:v>3551.12</c:v>
                </c:pt>
                <c:pt idx="69">
                  <c:v>3566.91</c:v>
                </c:pt>
                <c:pt idx="70">
                  <c:v>3593.67</c:v>
                </c:pt>
                <c:pt idx="71">
                  <c:v>3615.99</c:v>
                </c:pt>
                <c:pt idx="72">
                  <c:v>3615.48</c:v>
                </c:pt>
                <c:pt idx="73">
                  <c:v>3615.48</c:v>
                </c:pt>
                <c:pt idx="74">
                  <c:v>3644.32</c:v>
                </c:pt>
                <c:pt idx="75">
                  <c:v>3630.87</c:v>
                </c:pt>
                <c:pt idx="76">
                  <c:v>3620.87</c:v>
                </c:pt>
                <c:pt idx="77">
                  <c:v>3620.57</c:v>
                </c:pt>
                <c:pt idx="78">
                  <c:v>3615.71</c:v>
                </c:pt>
                <c:pt idx="79">
                  <c:v>3621.65</c:v>
                </c:pt>
                <c:pt idx="80">
                  <c:v>3628.9</c:v>
                </c:pt>
                <c:pt idx="81">
                  <c:v>3670.7</c:v>
                </c:pt>
                <c:pt idx="82">
                  <c:v>3687.24</c:v>
                </c:pt>
                <c:pt idx="83">
                  <c:v>3681.17</c:v>
                </c:pt>
                <c:pt idx="84">
                  <c:v>3655.07</c:v>
                </c:pt>
                <c:pt idx="85">
                  <c:v>3650.19</c:v>
                </c:pt>
                <c:pt idx="86">
                  <c:v>3703.21</c:v>
                </c:pt>
                <c:pt idx="87">
                  <c:v>3680.69</c:v>
                </c:pt>
                <c:pt idx="88">
                  <c:v>3659.04</c:v>
                </c:pt>
                <c:pt idx="89">
                  <c:v>3633.95</c:v>
                </c:pt>
                <c:pt idx="90">
                  <c:v>3575.29</c:v>
                </c:pt>
                <c:pt idx="91">
                  <c:v>3577.52</c:v>
                </c:pt>
                <c:pt idx="92">
                  <c:v>3521.3</c:v>
                </c:pt>
                <c:pt idx="93">
                  <c:v>3541.95</c:v>
                </c:pt>
                <c:pt idx="94">
                  <c:v>3560.64</c:v>
                </c:pt>
                <c:pt idx="95">
                  <c:v>3595.27</c:v>
                </c:pt>
                <c:pt idx="96">
                  <c:v>3608.11</c:v>
                </c:pt>
                <c:pt idx="97">
                  <c:v>3632.99</c:v>
                </c:pt>
                <c:pt idx="98">
                  <c:v>3639.08</c:v>
                </c:pt>
                <c:pt idx="99">
                  <c:v>3643.73</c:v>
                </c:pt>
                <c:pt idx="100">
                  <c:v>3647.53</c:v>
                </c:pt>
                <c:pt idx="101">
                  <c:v>3676.4</c:v>
                </c:pt>
                <c:pt idx="102">
                  <c:v>3674.23</c:v>
                </c:pt>
                <c:pt idx="103">
                  <c:v>3691.55</c:v>
                </c:pt>
                <c:pt idx="104">
                  <c:v>3673.9</c:v>
                </c:pt>
                <c:pt idx="105">
                  <c:v>3659.05</c:v>
                </c:pt>
                <c:pt idx="106">
                  <c:v>3615.42</c:v>
                </c:pt>
                <c:pt idx="107">
                  <c:v>3635.18</c:v>
                </c:pt>
                <c:pt idx="108">
                  <c:v>3649.67</c:v>
                </c:pt>
                <c:pt idx="109">
                  <c:v>3662.74</c:v>
                </c:pt>
                <c:pt idx="110">
                  <c:v>3623.51</c:v>
                </c:pt>
                <c:pt idx="111">
                  <c:v>3609.32</c:v>
                </c:pt>
                <c:pt idx="112">
                  <c:v>3642.07</c:v>
                </c:pt>
                <c:pt idx="113">
                  <c:v>3615.16</c:v>
                </c:pt>
                <c:pt idx="114">
                  <c:v>3612.42</c:v>
                </c:pt>
                <c:pt idx="115">
                  <c:v>3610.48</c:v>
                </c:pt>
                <c:pt idx="116">
                  <c:v>3608.07</c:v>
                </c:pt>
                <c:pt idx="117">
                  <c:v>3621.32</c:v>
                </c:pt>
                <c:pt idx="118">
                  <c:v>3618.58</c:v>
                </c:pt>
                <c:pt idx="119">
                  <c:v>3630.31</c:v>
                </c:pt>
                <c:pt idx="120">
                  <c:v>3669.76</c:v>
                </c:pt>
                <c:pt idx="121">
                  <c:v>3645.96</c:v>
                </c:pt>
                <c:pt idx="122">
                  <c:v>3659.06</c:v>
                </c:pt>
                <c:pt idx="123">
                  <c:v>3659.8</c:v>
                </c:pt>
                <c:pt idx="124">
                  <c:v>3658.64</c:v>
                </c:pt>
                <c:pt idx="125">
                  <c:v>3646.51</c:v>
                </c:pt>
                <c:pt idx="126">
                  <c:v>3662.7</c:v>
                </c:pt>
                <c:pt idx="127">
                  <c:v>3659.66</c:v>
                </c:pt>
                <c:pt idx="128">
                  <c:v>3653.21</c:v>
                </c:pt>
                <c:pt idx="129">
                  <c:v>3631.96</c:v>
                </c:pt>
                <c:pt idx="130">
                  <c:v>3633.8</c:v>
                </c:pt>
                <c:pt idx="131">
                  <c:v>3622.01</c:v>
                </c:pt>
                <c:pt idx="132">
                  <c:v>3648.25</c:v>
                </c:pt>
                <c:pt idx="133">
                  <c:v>3701.21</c:v>
                </c:pt>
                <c:pt idx="134">
                  <c:v>3744.29</c:v>
                </c:pt>
                <c:pt idx="135">
                  <c:v>3721.57</c:v>
                </c:pt>
                <c:pt idx="136">
                  <c:v>3737.87</c:v>
                </c:pt>
                <c:pt idx="137">
                  <c:v>3754.85</c:v>
                </c:pt>
                <c:pt idx="138">
                  <c:v>3763.15</c:v>
                </c:pt>
                <c:pt idx="139">
                  <c:v>3840.38</c:v>
                </c:pt>
                <c:pt idx="140">
                  <c:v>3838.39</c:v>
                </c:pt>
                <c:pt idx="141">
                  <c:v>3841.13</c:v>
                </c:pt>
                <c:pt idx="142" formatCode="General">
                  <c:v>3824.92</c:v>
                </c:pt>
                <c:pt idx="143" formatCode="General">
                  <c:v>3808.99</c:v>
                </c:pt>
                <c:pt idx="144" formatCode="General">
                  <c:v>3831.58</c:v>
                </c:pt>
                <c:pt idx="145">
                  <c:v>3831.81</c:v>
                </c:pt>
                <c:pt idx="146">
                  <c:v>3797.5</c:v>
                </c:pt>
                <c:pt idx="147">
                  <c:v>3789.4</c:v>
                </c:pt>
                <c:pt idx="148">
                  <c:v>3764.42</c:v>
                </c:pt>
                <c:pt idx="149">
                  <c:v>3781.78</c:v>
                </c:pt>
                <c:pt idx="150">
                  <c:v>3782.7</c:v>
                </c:pt>
                <c:pt idx="151">
                  <c:v>3825.37</c:v>
                </c:pt>
                <c:pt idx="152">
                  <c:v>3863.87</c:v>
                </c:pt>
                <c:pt idx="153">
                  <c:v>3824.33</c:v>
                </c:pt>
                <c:pt idx="154">
                  <c:v>3877.59</c:v>
                </c:pt>
                <c:pt idx="155">
                  <c:v>3873.36</c:v>
                </c:pt>
                <c:pt idx="156">
                  <c:v>3891.11</c:v>
                </c:pt>
                <c:pt idx="157">
                  <c:v>3899.83</c:v>
                </c:pt>
                <c:pt idx="158">
                  <c:v>3911.61</c:v>
                </c:pt>
                <c:pt idx="159">
                  <c:v>3891.53</c:v>
                </c:pt>
                <c:pt idx="160">
                  <c:v>3903.22</c:v>
                </c:pt>
                <c:pt idx="161">
                  <c:v>3918.9</c:v>
                </c:pt>
                <c:pt idx="162">
                  <c:v>3945.53</c:v>
                </c:pt>
                <c:pt idx="163">
                  <c:v>3949.26</c:v>
                </c:pt>
                <c:pt idx="164">
                  <c:v>3946.54</c:v>
                </c:pt>
                <c:pt idx="165">
                  <c:v>3960.81</c:v>
                </c:pt>
                <c:pt idx="166">
                  <c:v>3870.9</c:v>
                </c:pt>
                <c:pt idx="167">
                  <c:v>3841.36</c:v>
                </c:pt>
                <c:pt idx="168">
                  <c:v>3868.55</c:v>
                </c:pt>
                <c:pt idx="169">
                  <c:v>3881.71</c:v>
                </c:pt>
                <c:pt idx="170">
                  <c:v>3860.6</c:v>
                </c:pt>
                <c:pt idx="171">
                  <c:v>3833.17</c:v>
                </c:pt>
                <c:pt idx="172">
                  <c:v>3825.58</c:v>
                </c:pt>
                <c:pt idx="173">
                  <c:v>3855.92</c:v>
                </c:pt>
                <c:pt idx="174">
                  <c:v>3845</c:v>
                </c:pt>
                <c:pt idx="175">
                  <c:v>3888.93</c:v>
                </c:pt>
                <c:pt idx="176">
                  <c:v>3897.68</c:v>
                </c:pt>
                <c:pt idx="177">
                  <c:v>3896.66</c:v>
                </c:pt>
                <c:pt idx="178">
                  <c:v>3892.03</c:v>
                </c:pt>
                <c:pt idx="179">
                  <c:v>3909.13</c:v>
                </c:pt>
                <c:pt idx="180">
                  <c:v>3914.61</c:v>
                </c:pt>
                <c:pt idx="181">
                  <c:v>3865.81</c:v>
                </c:pt>
                <c:pt idx="182">
                  <c:v>3858.2</c:v>
                </c:pt>
                <c:pt idx="183">
                  <c:v>3806.24</c:v>
                </c:pt>
                <c:pt idx="184">
                  <c:v>3829.18</c:v>
                </c:pt>
                <c:pt idx="185">
                  <c:v>3817.82</c:v>
                </c:pt>
                <c:pt idx="186">
                  <c:v>3863.57</c:v>
                </c:pt>
                <c:pt idx="187">
                  <c:v>3841.52</c:v>
                </c:pt>
                <c:pt idx="188">
                  <c:v>3884.11</c:v>
                </c:pt>
                <c:pt idx="189">
                  <c:v>3948</c:v>
                </c:pt>
                <c:pt idx="190">
                  <c:v>3939.25</c:v>
                </c:pt>
                <c:pt idx="191">
                  <c:v>3933.05</c:v>
                </c:pt>
                <c:pt idx="192">
                  <c:v>3914.57</c:v>
                </c:pt>
                <c:pt idx="193">
                  <c:v>3895.99</c:v>
                </c:pt>
                <c:pt idx="194">
                  <c:v>3892.8</c:v>
                </c:pt>
                <c:pt idx="195">
                  <c:v>3882.51</c:v>
                </c:pt>
                <c:pt idx="196">
                  <c:v>3883.88</c:v>
                </c:pt>
                <c:pt idx="197">
                  <c:v>3893.65</c:v>
                </c:pt>
                <c:pt idx="198">
                  <c:v>3888.99</c:v>
                </c:pt>
                <c:pt idx="199">
                  <c:v>3818.98</c:v>
                </c:pt>
                <c:pt idx="200">
                  <c:v>3799.16</c:v>
                </c:pt>
                <c:pt idx="201">
                  <c:v>3819.42</c:v>
                </c:pt>
                <c:pt idx="202">
                  <c:v>3746.56</c:v>
                </c:pt>
                <c:pt idx="203">
                  <c:v>3739.98</c:v>
                </c:pt>
                <c:pt idx="204">
                  <c:v>3760.05</c:v>
                </c:pt>
                <c:pt idx="205">
                  <c:v>3764.45</c:v>
                </c:pt>
                <c:pt idx="206" formatCode="General">
                  <c:v>3775.35</c:v>
                </c:pt>
                <c:pt idx="207" formatCode="General">
                  <c:v>3760.24</c:v>
                </c:pt>
                <c:pt idx="208" formatCode="General">
                  <c:v>3786.29</c:v>
                </c:pt>
                <c:pt idx="209" formatCode="General">
                  <c:v>3795.97</c:v>
                </c:pt>
                <c:pt idx="210" formatCode="General">
                  <c:v>3799.34</c:v>
                </c:pt>
                <c:pt idx="211" formatCode="General">
                  <c:v>3779.57</c:v>
                </c:pt>
                <c:pt idx="212" formatCode="General">
                  <c:v>3801.61</c:v>
                </c:pt>
                <c:pt idx="213" formatCode="General">
                  <c:v>3793.01</c:v>
                </c:pt>
                <c:pt idx="214" formatCode="General">
                  <c:v>3720.74</c:v>
                </c:pt>
                <c:pt idx="215" formatCode="General">
                  <c:v>3749.12</c:v>
                </c:pt>
                <c:pt idx="216" formatCode="General">
                  <c:v>3746.46</c:v>
                </c:pt>
                <c:pt idx="217" formatCode="General">
                  <c:v>3766.15</c:v>
                </c:pt>
                <c:pt idx="218" formatCode="General">
                  <c:v>3777.66</c:v>
                </c:pt>
                <c:pt idx="219" formatCode="General">
                  <c:v>3748.87</c:v>
                </c:pt>
                <c:pt idx="220" formatCode="General">
                  <c:v>3759.06</c:v>
                </c:pt>
                <c:pt idx="221" formatCode="General">
                  <c:v>3779.59</c:v>
                </c:pt>
                <c:pt idx="222" formatCode="General">
                  <c:v>3775.05</c:v>
                </c:pt>
                <c:pt idx="223" formatCode="General">
                  <c:v>3778.97</c:v>
                </c:pt>
                <c:pt idx="224" formatCode="General">
                  <c:v>3715.02</c:v>
                </c:pt>
                <c:pt idx="225" formatCode="General">
                  <c:v>3723.91</c:v>
                </c:pt>
                <c:pt idx="226" formatCode="General">
                  <c:v>3735.06</c:v>
                </c:pt>
                <c:pt idx="227" formatCode="General">
                  <c:v>3754.97</c:v>
                </c:pt>
                <c:pt idx="228" formatCode="General">
                  <c:v>3786.35</c:v>
                </c:pt>
                <c:pt idx="229" formatCode="General">
                  <c:v>3786.01</c:v>
                </c:pt>
                <c:pt idx="230" formatCode="General">
                  <c:v>3811.53</c:v>
                </c:pt>
                <c:pt idx="231" formatCode="General">
                  <c:v>3821.86</c:v>
                </c:pt>
                <c:pt idx="232" formatCode="General">
                  <c:v>3837.84</c:v>
                </c:pt>
                <c:pt idx="233" formatCode="General">
                  <c:v>3873.03</c:v>
                </c:pt>
                <c:pt idx="234" formatCode="General">
                  <c:v>3882.25</c:v>
                </c:pt>
                <c:pt idx="235">
                  <c:v>3859.13</c:v>
                </c:pt>
                <c:pt idx="236">
                  <c:v>3876.37</c:v>
                </c:pt>
                <c:pt idx="237">
                  <c:v>3847.83</c:v>
                </c:pt>
                <c:pt idx="238">
                  <c:v>3837.63</c:v>
                </c:pt>
                <c:pt idx="239">
                  <c:v>3841.4</c:v>
                </c:pt>
                <c:pt idx="240">
                  <c:v>3838.15</c:v>
                </c:pt>
                <c:pt idx="241">
                  <c:v>3871.17</c:v>
                </c:pt>
                <c:pt idx="242">
                  <c:v>3883.19</c:v>
                </c:pt>
                <c:pt idx="243">
                  <c:v>3896.57</c:v>
                </c:pt>
                <c:pt idx="244">
                  <c:v>3842.02</c:v>
                </c:pt>
                <c:pt idx="245">
                  <c:v>3833.12</c:v>
                </c:pt>
                <c:pt idx="246">
                  <c:v>3862.57</c:v>
                </c:pt>
                <c:pt idx="247">
                  <c:v>3897.55</c:v>
                </c:pt>
                <c:pt idx="248">
                  <c:v>3894.54</c:v>
                </c:pt>
                <c:pt idx="249">
                  <c:v>3898.54</c:v>
                </c:pt>
                <c:pt idx="250">
                  <c:v>3963.5</c:v>
                </c:pt>
                <c:pt idx="251">
                  <c:v>4003.73</c:v>
                </c:pt>
                <c:pt idx="252">
                  <c:v>4012.22</c:v>
                </c:pt>
                <c:pt idx="253">
                  <c:v>3987.91</c:v>
                </c:pt>
                <c:pt idx="254">
                  <c:v>3972.13</c:v>
                </c:pt>
                <c:pt idx="255">
                  <c:v>4009.9</c:v>
                </c:pt>
              </c:numCache>
            </c:numRef>
          </c:val>
          <c:smooth val="0"/>
        </c:ser>
        <c:ser>
          <c:idx val="1"/>
          <c:order val="1"/>
          <c:tx>
            <c:v>NCDEX DHANNYA</c:v>
          </c:tx>
          <c:spPr>
            <a:ln w="31750" cap="rnd">
              <a:solidFill>
                <a:schemeClr val="accent2"/>
              </a:solidFill>
              <a:round/>
            </a:ln>
            <a:effectLst>
              <a:outerShdw blurRad="40000" dist="23000" dir="5400000" rotWithShape="0">
                <a:srgbClr val="000000">
                  <a:alpha val="35000"/>
                </a:srgbClr>
              </a:outerShdw>
            </a:effectLst>
          </c:spPr>
          <c:marker>
            <c:symbol val="none"/>
          </c:marker>
          <c:dLbls>
            <c:dLbl>
              <c:idx val="254"/>
              <c:layout>
                <c:manualLayout>
                  <c:x val="0"/>
                  <c:y val="-2.7777777777777776E-2"/>
                </c:manualLayout>
              </c:layout>
              <c:tx>
                <c:rich>
                  <a:bodyPr/>
                  <a:lstStyle/>
                  <a:p>
                    <a:r>
                      <a:rPr lang="en-US"/>
                      <a:t>3167.5</a:t>
                    </a:r>
                  </a:p>
                </c:rich>
              </c:tx>
              <c:showLegendKey val="0"/>
              <c:showVal val="1"/>
              <c:showCatName val="0"/>
              <c:showSerName val="0"/>
              <c:showPercent val="0"/>
              <c:showBubbleSize val="0"/>
              <c:extLst>
                <c:ext xmlns:c15="http://schemas.microsoft.com/office/drawing/2012/chart" uri="{CE6537A1-D6FC-4f65-9D91-7224C49458BB}"/>
              </c:extLst>
            </c:dLbl>
            <c:dLbl>
              <c:idx val="276"/>
              <c:layout>
                <c:manualLayout>
                  <c:x val="0"/>
                  <c:y val="3.2407407407407406E-2"/>
                </c:manualLayout>
              </c:layout>
              <c:tx>
                <c:rich>
                  <a:bodyPr/>
                  <a:lstStyle/>
                  <a:p>
                    <a:r>
                      <a:rPr lang="en-US"/>
                      <a:t>3117.78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'MCX- NCDEX indices'!$A$194:$A$449</c:f>
              <c:numCache>
                <c:formatCode>[$-409]dd\-mmm\-yy;@</c:formatCode>
                <c:ptCount val="256"/>
                <c:pt idx="0">
                  <c:v>43011</c:v>
                </c:pt>
                <c:pt idx="1">
                  <c:v>43012</c:v>
                </c:pt>
                <c:pt idx="2">
                  <c:v>43013</c:v>
                </c:pt>
                <c:pt idx="3">
                  <c:v>43014</c:v>
                </c:pt>
                <c:pt idx="4">
                  <c:v>43017</c:v>
                </c:pt>
                <c:pt idx="5">
                  <c:v>43018</c:v>
                </c:pt>
                <c:pt idx="6">
                  <c:v>43019</c:v>
                </c:pt>
                <c:pt idx="7">
                  <c:v>43020</c:v>
                </c:pt>
                <c:pt idx="8">
                  <c:v>43021</c:v>
                </c:pt>
                <c:pt idx="9">
                  <c:v>43024</c:v>
                </c:pt>
                <c:pt idx="10">
                  <c:v>43025</c:v>
                </c:pt>
                <c:pt idx="11">
                  <c:v>43026</c:v>
                </c:pt>
                <c:pt idx="12">
                  <c:v>43027</c:v>
                </c:pt>
                <c:pt idx="13">
                  <c:v>43028</c:v>
                </c:pt>
                <c:pt idx="14">
                  <c:v>43031</c:v>
                </c:pt>
                <c:pt idx="15">
                  <c:v>43032</c:v>
                </c:pt>
                <c:pt idx="16">
                  <c:v>43033</c:v>
                </c:pt>
                <c:pt idx="17">
                  <c:v>43034</c:v>
                </c:pt>
                <c:pt idx="18">
                  <c:v>43035</c:v>
                </c:pt>
                <c:pt idx="19">
                  <c:v>43038</c:v>
                </c:pt>
                <c:pt idx="20">
                  <c:v>43039</c:v>
                </c:pt>
                <c:pt idx="21">
                  <c:v>43040</c:v>
                </c:pt>
                <c:pt idx="22">
                  <c:v>43041</c:v>
                </c:pt>
                <c:pt idx="23">
                  <c:v>43042</c:v>
                </c:pt>
                <c:pt idx="24">
                  <c:v>43045</c:v>
                </c:pt>
                <c:pt idx="25">
                  <c:v>43046</c:v>
                </c:pt>
                <c:pt idx="26">
                  <c:v>43047</c:v>
                </c:pt>
                <c:pt idx="27">
                  <c:v>43048</c:v>
                </c:pt>
                <c:pt idx="28">
                  <c:v>43049</c:v>
                </c:pt>
                <c:pt idx="29">
                  <c:v>43052</c:v>
                </c:pt>
                <c:pt idx="30">
                  <c:v>43053</c:v>
                </c:pt>
                <c:pt idx="31">
                  <c:v>43054</c:v>
                </c:pt>
                <c:pt idx="32">
                  <c:v>43055</c:v>
                </c:pt>
                <c:pt idx="33">
                  <c:v>43056</c:v>
                </c:pt>
                <c:pt idx="34">
                  <c:v>43059</c:v>
                </c:pt>
                <c:pt idx="35">
                  <c:v>43060</c:v>
                </c:pt>
                <c:pt idx="36">
                  <c:v>43061</c:v>
                </c:pt>
                <c:pt idx="37">
                  <c:v>43062</c:v>
                </c:pt>
                <c:pt idx="38">
                  <c:v>43063</c:v>
                </c:pt>
                <c:pt idx="39">
                  <c:v>43066</c:v>
                </c:pt>
                <c:pt idx="40">
                  <c:v>43067</c:v>
                </c:pt>
                <c:pt idx="41">
                  <c:v>43068</c:v>
                </c:pt>
                <c:pt idx="42">
                  <c:v>43069</c:v>
                </c:pt>
                <c:pt idx="43">
                  <c:v>43070</c:v>
                </c:pt>
                <c:pt idx="44">
                  <c:v>43073</c:v>
                </c:pt>
                <c:pt idx="45">
                  <c:v>43074</c:v>
                </c:pt>
                <c:pt idx="46">
                  <c:v>43075</c:v>
                </c:pt>
                <c:pt idx="47">
                  <c:v>43076</c:v>
                </c:pt>
                <c:pt idx="48">
                  <c:v>43077</c:v>
                </c:pt>
                <c:pt idx="49">
                  <c:v>43080</c:v>
                </c:pt>
                <c:pt idx="50">
                  <c:v>43081</c:v>
                </c:pt>
                <c:pt idx="51">
                  <c:v>43082</c:v>
                </c:pt>
                <c:pt idx="52">
                  <c:v>43083</c:v>
                </c:pt>
                <c:pt idx="53">
                  <c:v>43084</c:v>
                </c:pt>
                <c:pt idx="54">
                  <c:v>43087</c:v>
                </c:pt>
                <c:pt idx="55">
                  <c:v>43088</c:v>
                </c:pt>
                <c:pt idx="56">
                  <c:v>43089</c:v>
                </c:pt>
                <c:pt idx="57">
                  <c:v>43090</c:v>
                </c:pt>
                <c:pt idx="58">
                  <c:v>43091</c:v>
                </c:pt>
                <c:pt idx="59">
                  <c:v>43095</c:v>
                </c:pt>
                <c:pt idx="60">
                  <c:v>43096</c:v>
                </c:pt>
                <c:pt idx="61">
                  <c:v>43097</c:v>
                </c:pt>
                <c:pt idx="62">
                  <c:v>43098</c:v>
                </c:pt>
                <c:pt idx="63">
                  <c:v>43101</c:v>
                </c:pt>
                <c:pt idx="64">
                  <c:v>43102</c:v>
                </c:pt>
                <c:pt idx="65">
                  <c:v>43103</c:v>
                </c:pt>
                <c:pt idx="66">
                  <c:v>43104</c:v>
                </c:pt>
                <c:pt idx="67">
                  <c:v>43105</c:v>
                </c:pt>
                <c:pt idx="68">
                  <c:v>43108</c:v>
                </c:pt>
                <c:pt idx="69">
                  <c:v>43109</c:v>
                </c:pt>
                <c:pt idx="70">
                  <c:v>43110</c:v>
                </c:pt>
                <c:pt idx="71">
                  <c:v>43111</c:v>
                </c:pt>
                <c:pt idx="72">
                  <c:v>43112</c:v>
                </c:pt>
                <c:pt idx="73">
                  <c:v>43114</c:v>
                </c:pt>
                <c:pt idx="74">
                  <c:v>43115</c:v>
                </c:pt>
                <c:pt idx="75">
                  <c:v>43116</c:v>
                </c:pt>
                <c:pt idx="76">
                  <c:v>43117</c:v>
                </c:pt>
                <c:pt idx="77">
                  <c:v>43118</c:v>
                </c:pt>
                <c:pt idx="78">
                  <c:v>43119</c:v>
                </c:pt>
                <c:pt idx="79">
                  <c:v>43122</c:v>
                </c:pt>
                <c:pt idx="80">
                  <c:v>43123</c:v>
                </c:pt>
                <c:pt idx="81">
                  <c:v>43124</c:v>
                </c:pt>
                <c:pt idx="82">
                  <c:v>43125</c:v>
                </c:pt>
                <c:pt idx="83">
                  <c:v>43129</c:v>
                </c:pt>
                <c:pt idx="84">
                  <c:v>43130</c:v>
                </c:pt>
                <c:pt idx="85">
                  <c:v>43131</c:v>
                </c:pt>
                <c:pt idx="86">
                  <c:v>43132</c:v>
                </c:pt>
                <c:pt idx="87">
                  <c:v>43133</c:v>
                </c:pt>
                <c:pt idx="88">
                  <c:v>43136</c:v>
                </c:pt>
                <c:pt idx="89">
                  <c:v>43137</c:v>
                </c:pt>
                <c:pt idx="90">
                  <c:v>43138</c:v>
                </c:pt>
                <c:pt idx="91">
                  <c:v>43139</c:v>
                </c:pt>
                <c:pt idx="92">
                  <c:v>43140</c:v>
                </c:pt>
                <c:pt idx="93">
                  <c:v>43143</c:v>
                </c:pt>
                <c:pt idx="94">
                  <c:v>43144</c:v>
                </c:pt>
                <c:pt idx="95">
                  <c:v>43145</c:v>
                </c:pt>
                <c:pt idx="96">
                  <c:v>43146</c:v>
                </c:pt>
                <c:pt idx="97">
                  <c:v>43147</c:v>
                </c:pt>
                <c:pt idx="98">
                  <c:v>43150</c:v>
                </c:pt>
                <c:pt idx="99">
                  <c:v>43151</c:v>
                </c:pt>
                <c:pt idx="100">
                  <c:v>43152</c:v>
                </c:pt>
                <c:pt idx="101">
                  <c:v>43153</c:v>
                </c:pt>
                <c:pt idx="102">
                  <c:v>43154</c:v>
                </c:pt>
                <c:pt idx="103">
                  <c:v>43157</c:v>
                </c:pt>
                <c:pt idx="104">
                  <c:v>43158</c:v>
                </c:pt>
                <c:pt idx="105">
                  <c:v>43159</c:v>
                </c:pt>
                <c:pt idx="106">
                  <c:v>43160</c:v>
                </c:pt>
                <c:pt idx="107">
                  <c:v>43161</c:v>
                </c:pt>
                <c:pt idx="108">
                  <c:v>43164</c:v>
                </c:pt>
                <c:pt idx="109">
                  <c:v>43165</c:v>
                </c:pt>
                <c:pt idx="110">
                  <c:v>43166</c:v>
                </c:pt>
                <c:pt idx="111">
                  <c:v>43167</c:v>
                </c:pt>
                <c:pt idx="112">
                  <c:v>43168</c:v>
                </c:pt>
                <c:pt idx="113">
                  <c:v>43171</c:v>
                </c:pt>
                <c:pt idx="114">
                  <c:v>43172</c:v>
                </c:pt>
                <c:pt idx="115">
                  <c:v>43173</c:v>
                </c:pt>
                <c:pt idx="116">
                  <c:v>43174</c:v>
                </c:pt>
                <c:pt idx="117">
                  <c:v>43175</c:v>
                </c:pt>
                <c:pt idx="118">
                  <c:v>43178</c:v>
                </c:pt>
                <c:pt idx="119">
                  <c:v>43179</c:v>
                </c:pt>
                <c:pt idx="120">
                  <c:v>43180</c:v>
                </c:pt>
                <c:pt idx="121">
                  <c:v>43181</c:v>
                </c:pt>
                <c:pt idx="122">
                  <c:v>43182</c:v>
                </c:pt>
                <c:pt idx="123">
                  <c:v>43185</c:v>
                </c:pt>
                <c:pt idx="124">
                  <c:v>43186</c:v>
                </c:pt>
                <c:pt idx="125">
                  <c:v>43187</c:v>
                </c:pt>
                <c:pt idx="126">
                  <c:v>43188</c:v>
                </c:pt>
                <c:pt idx="127" formatCode="d\-mmm\-yy">
                  <c:v>43192</c:v>
                </c:pt>
                <c:pt idx="128" formatCode="d\-mmm\-yy">
                  <c:v>43193</c:v>
                </c:pt>
                <c:pt idx="129" formatCode="d\-mmm\-yy">
                  <c:v>43194</c:v>
                </c:pt>
                <c:pt idx="130" formatCode="d\-mmm\-yy">
                  <c:v>43195</c:v>
                </c:pt>
                <c:pt idx="131" formatCode="d\-mmm\-yy">
                  <c:v>43196</c:v>
                </c:pt>
                <c:pt idx="132" formatCode="d\-mmm\-yy">
                  <c:v>43199</c:v>
                </c:pt>
                <c:pt idx="133" formatCode="d\-mmm\-yy">
                  <c:v>43200</c:v>
                </c:pt>
                <c:pt idx="134" formatCode="d\-mmm\-yy">
                  <c:v>43201</c:v>
                </c:pt>
                <c:pt idx="135" formatCode="d\-mmm\-yy">
                  <c:v>43202</c:v>
                </c:pt>
                <c:pt idx="136" formatCode="d\-mmm\-yy">
                  <c:v>43203</c:v>
                </c:pt>
                <c:pt idx="137" formatCode="d\-mmm\-yy">
                  <c:v>43206</c:v>
                </c:pt>
                <c:pt idx="138" formatCode="d\-mmm\-yy">
                  <c:v>43207</c:v>
                </c:pt>
                <c:pt idx="139" formatCode="d\-mmm\-yy">
                  <c:v>43208</c:v>
                </c:pt>
                <c:pt idx="140" formatCode="d\-mmm\-yy">
                  <c:v>43209</c:v>
                </c:pt>
                <c:pt idx="141" formatCode="d\-mmm\-yy">
                  <c:v>43210</c:v>
                </c:pt>
                <c:pt idx="142" formatCode="d\-mmm\-yy">
                  <c:v>43213</c:v>
                </c:pt>
                <c:pt idx="143" formatCode="d\-mmm\-yy">
                  <c:v>43214</c:v>
                </c:pt>
                <c:pt idx="144" formatCode="d\-mmm\-yy">
                  <c:v>43215</c:v>
                </c:pt>
                <c:pt idx="145" formatCode="d\-mmm\-yy">
                  <c:v>43216</c:v>
                </c:pt>
                <c:pt idx="146" formatCode="d\-mmm\-yy">
                  <c:v>43217</c:v>
                </c:pt>
                <c:pt idx="147" formatCode="d\-mmm\-yy">
                  <c:v>43220</c:v>
                </c:pt>
                <c:pt idx="148" formatCode="d\-mmm\-yy">
                  <c:v>43221</c:v>
                </c:pt>
                <c:pt idx="149" formatCode="d\-mmm\-yy">
                  <c:v>43222</c:v>
                </c:pt>
                <c:pt idx="150" formatCode="d\-mmm\-yy">
                  <c:v>43223</c:v>
                </c:pt>
                <c:pt idx="151" formatCode="d\-mmm\-yy">
                  <c:v>43224</c:v>
                </c:pt>
                <c:pt idx="152" formatCode="d\-mmm\-yy">
                  <c:v>43227</c:v>
                </c:pt>
                <c:pt idx="153" formatCode="d\-mmm\-yy">
                  <c:v>43228</c:v>
                </c:pt>
                <c:pt idx="154" formatCode="d\-mmm\-yy">
                  <c:v>43229</c:v>
                </c:pt>
                <c:pt idx="155" formatCode="d\-mmm\-yy">
                  <c:v>43230</c:v>
                </c:pt>
                <c:pt idx="156" formatCode="d\-mmm\-yy">
                  <c:v>43231</c:v>
                </c:pt>
                <c:pt idx="157" formatCode="d\-mmm\-yy">
                  <c:v>43234</c:v>
                </c:pt>
                <c:pt idx="158" formatCode="d\-mmm\-yy">
                  <c:v>43235</c:v>
                </c:pt>
                <c:pt idx="159" formatCode="d\-mmm\-yy">
                  <c:v>43236</c:v>
                </c:pt>
                <c:pt idx="160" formatCode="d\-mmm\-yy">
                  <c:v>43237</c:v>
                </c:pt>
                <c:pt idx="161" formatCode="d\-mmm\-yy">
                  <c:v>43238</c:v>
                </c:pt>
                <c:pt idx="162" formatCode="d\-mmm\-yy">
                  <c:v>43241</c:v>
                </c:pt>
                <c:pt idx="163" formatCode="d\-mmm\-yy">
                  <c:v>43242</c:v>
                </c:pt>
                <c:pt idx="164" formatCode="d\-mmm\-yy">
                  <c:v>43243</c:v>
                </c:pt>
                <c:pt idx="165" formatCode="d\-mmm\-yy">
                  <c:v>43244</c:v>
                </c:pt>
                <c:pt idx="166" formatCode="d\-mmm\-yy">
                  <c:v>43245</c:v>
                </c:pt>
                <c:pt idx="167" formatCode="d\-mmm\-yy">
                  <c:v>43248</c:v>
                </c:pt>
                <c:pt idx="168" formatCode="d\-mmm\-yy">
                  <c:v>43249</c:v>
                </c:pt>
                <c:pt idx="169" formatCode="d\-mmm\-yy">
                  <c:v>43250</c:v>
                </c:pt>
                <c:pt idx="170" formatCode="d\-mmm\-yy">
                  <c:v>43251</c:v>
                </c:pt>
                <c:pt idx="171" formatCode="d\-mmm\-yy">
                  <c:v>43252</c:v>
                </c:pt>
                <c:pt idx="172" formatCode="d\-mmm\-yy">
                  <c:v>43255</c:v>
                </c:pt>
                <c:pt idx="173" formatCode="d\-mmm\-yy">
                  <c:v>43256</c:v>
                </c:pt>
                <c:pt idx="174" formatCode="d\-mmm\-yy">
                  <c:v>43257</c:v>
                </c:pt>
                <c:pt idx="175" formatCode="d\-mmm\-yy">
                  <c:v>43258</c:v>
                </c:pt>
                <c:pt idx="176" formatCode="d\-mmm\-yy">
                  <c:v>43259</c:v>
                </c:pt>
                <c:pt idx="177" formatCode="d\-mmm\-yy">
                  <c:v>43262</c:v>
                </c:pt>
                <c:pt idx="178" formatCode="d\-mmm\-yy">
                  <c:v>43263</c:v>
                </c:pt>
                <c:pt idx="179" formatCode="d\-mmm\-yy">
                  <c:v>43264</c:v>
                </c:pt>
                <c:pt idx="180" formatCode="d\-mmm\-yy">
                  <c:v>43265</c:v>
                </c:pt>
                <c:pt idx="181" formatCode="d\-mmm\-yy">
                  <c:v>43266</c:v>
                </c:pt>
                <c:pt idx="182" formatCode="d\-mmm\-yy">
                  <c:v>43269</c:v>
                </c:pt>
                <c:pt idx="183" formatCode="d\-mmm\-yy">
                  <c:v>43270</c:v>
                </c:pt>
                <c:pt idx="184" formatCode="d\-mmm\-yy">
                  <c:v>43271</c:v>
                </c:pt>
                <c:pt idx="185" formatCode="d\-mmm\-yy">
                  <c:v>43272</c:v>
                </c:pt>
                <c:pt idx="186" formatCode="d\-mmm\-yy">
                  <c:v>43273</c:v>
                </c:pt>
                <c:pt idx="187" formatCode="d\-mmm\-yy">
                  <c:v>43276</c:v>
                </c:pt>
                <c:pt idx="188" formatCode="d\-mmm\-yy">
                  <c:v>43277</c:v>
                </c:pt>
                <c:pt idx="189" formatCode="d\-mmm\-yy">
                  <c:v>43278</c:v>
                </c:pt>
                <c:pt idx="190" formatCode="d\-mmm\-yy">
                  <c:v>43279</c:v>
                </c:pt>
                <c:pt idx="191" formatCode="d\-mmm\-yy">
                  <c:v>43280</c:v>
                </c:pt>
                <c:pt idx="192" formatCode="d\-mmm\-yy">
                  <c:v>43283</c:v>
                </c:pt>
                <c:pt idx="193" formatCode="d\-mmm\-yy">
                  <c:v>43284</c:v>
                </c:pt>
                <c:pt idx="194" formatCode="d\-mmm\-yy">
                  <c:v>43285</c:v>
                </c:pt>
                <c:pt idx="195" formatCode="d\-mmm\-yy">
                  <c:v>43286</c:v>
                </c:pt>
                <c:pt idx="196" formatCode="d\-mmm\-yy">
                  <c:v>43287</c:v>
                </c:pt>
                <c:pt idx="197" formatCode="d\-mmm\-yy">
                  <c:v>43290</c:v>
                </c:pt>
                <c:pt idx="198" formatCode="d\-mmm\-yy">
                  <c:v>43291</c:v>
                </c:pt>
                <c:pt idx="199" formatCode="d\-mmm\-yy">
                  <c:v>43292</c:v>
                </c:pt>
                <c:pt idx="200" formatCode="d\-mmm\-yy">
                  <c:v>43293</c:v>
                </c:pt>
                <c:pt idx="201" formatCode="d\-mmm\-yy">
                  <c:v>43294</c:v>
                </c:pt>
                <c:pt idx="202" formatCode="d\-mmm\-yy">
                  <c:v>43297</c:v>
                </c:pt>
                <c:pt idx="203" formatCode="d\-mmm\-yy">
                  <c:v>43298</c:v>
                </c:pt>
                <c:pt idx="204" formatCode="d\-mmm\-yy">
                  <c:v>43299</c:v>
                </c:pt>
                <c:pt idx="205" formatCode="d\-mmm\-yy">
                  <c:v>43300</c:v>
                </c:pt>
                <c:pt idx="206" formatCode="d\-mmm\-yy">
                  <c:v>43301</c:v>
                </c:pt>
                <c:pt idx="207" formatCode="d\-mmm\-yy">
                  <c:v>43304</c:v>
                </c:pt>
                <c:pt idx="208" formatCode="d\-mmm\-yy">
                  <c:v>43305</c:v>
                </c:pt>
                <c:pt idx="209" formatCode="d\-mmm\-yy">
                  <c:v>43306</c:v>
                </c:pt>
                <c:pt idx="210" formatCode="d\-mmm\-yy">
                  <c:v>43307</c:v>
                </c:pt>
                <c:pt idx="211" formatCode="d\-mmm\-yy">
                  <c:v>43308</c:v>
                </c:pt>
                <c:pt idx="212" formatCode="d\-mmm\-yy">
                  <c:v>43311</c:v>
                </c:pt>
                <c:pt idx="213" formatCode="d\-mmm\-yy">
                  <c:v>43312</c:v>
                </c:pt>
                <c:pt idx="214" formatCode="d\-mmm\-yy">
                  <c:v>43313</c:v>
                </c:pt>
                <c:pt idx="215" formatCode="d\-mmm\-yy">
                  <c:v>43314</c:v>
                </c:pt>
                <c:pt idx="216" formatCode="d\-mmm\-yy">
                  <c:v>43315</c:v>
                </c:pt>
                <c:pt idx="217" formatCode="d\-mmm\-yy">
                  <c:v>43318</c:v>
                </c:pt>
                <c:pt idx="218" formatCode="d\-mmm\-yy">
                  <c:v>43319</c:v>
                </c:pt>
                <c:pt idx="219" formatCode="d\-mmm\-yy">
                  <c:v>43320</c:v>
                </c:pt>
                <c:pt idx="220" formatCode="d\-mmm\-yy">
                  <c:v>43321</c:v>
                </c:pt>
                <c:pt idx="221" formatCode="d\-mmm\-yy">
                  <c:v>43322</c:v>
                </c:pt>
                <c:pt idx="222" formatCode="d\-mmm\-yy">
                  <c:v>43325</c:v>
                </c:pt>
                <c:pt idx="223" formatCode="d\-mmm\-yy">
                  <c:v>43326</c:v>
                </c:pt>
                <c:pt idx="224" formatCode="d\-mmm\-yy">
                  <c:v>43328</c:v>
                </c:pt>
                <c:pt idx="225" formatCode="d\-mmm\-yy">
                  <c:v>43329</c:v>
                </c:pt>
                <c:pt idx="226" formatCode="d\-mmm\-yy">
                  <c:v>43332</c:v>
                </c:pt>
                <c:pt idx="227" formatCode="d\-mmm\-yy">
                  <c:v>43333</c:v>
                </c:pt>
                <c:pt idx="228" formatCode="d\-mmm\-yy">
                  <c:v>43334</c:v>
                </c:pt>
                <c:pt idx="229" formatCode="d\-mmm\-yy">
                  <c:v>43335</c:v>
                </c:pt>
                <c:pt idx="230" formatCode="d\-mmm\-yy">
                  <c:v>43336</c:v>
                </c:pt>
                <c:pt idx="231" formatCode="d\-mmm\-yy">
                  <c:v>43339</c:v>
                </c:pt>
                <c:pt idx="232" formatCode="d\-mmm\-yy">
                  <c:v>43340</c:v>
                </c:pt>
                <c:pt idx="233" formatCode="d\-mmm\-yy">
                  <c:v>43341</c:v>
                </c:pt>
                <c:pt idx="234" formatCode="d\-mmm\-yy">
                  <c:v>43342</c:v>
                </c:pt>
                <c:pt idx="235" formatCode="d\-mmm\-yy">
                  <c:v>43343</c:v>
                </c:pt>
                <c:pt idx="236" formatCode="d\-mmm\-yy">
                  <c:v>43346</c:v>
                </c:pt>
                <c:pt idx="237" formatCode="d\-mmm\-yy">
                  <c:v>43347</c:v>
                </c:pt>
                <c:pt idx="238" formatCode="d\-mmm\-yy">
                  <c:v>43348</c:v>
                </c:pt>
                <c:pt idx="239" formatCode="d\-mmm\-yy">
                  <c:v>43349</c:v>
                </c:pt>
                <c:pt idx="240" formatCode="d\-mmm\-yy">
                  <c:v>43350</c:v>
                </c:pt>
                <c:pt idx="241" formatCode="d\-mmm\-yy">
                  <c:v>43353</c:v>
                </c:pt>
                <c:pt idx="242" formatCode="d\-mmm\-yy">
                  <c:v>43354</c:v>
                </c:pt>
                <c:pt idx="243" formatCode="d\-mmm\-yy">
                  <c:v>43355</c:v>
                </c:pt>
                <c:pt idx="244" formatCode="d\-mmm\-yy">
                  <c:v>43356</c:v>
                </c:pt>
                <c:pt idx="245" formatCode="d\-mmm\-yy">
                  <c:v>43357</c:v>
                </c:pt>
                <c:pt idx="246" formatCode="d\-mmm\-yy">
                  <c:v>43360</c:v>
                </c:pt>
                <c:pt idx="247" formatCode="d\-mmm\-yy">
                  <c:v>43361</c:v>
                </c:pt>
                <c:pt idx="248" formatCode="d\-mmm\-yy">
                  <c:v>43362</c:v>
                </c:pt>
                <c:pt idx="249" formatCode="d\-mmm\-yy">
                  <c:v>43363</c:v>
                </c:pt>
                <c:pt idx="250" formatCode="d\-mmm\-yy">
                  <c:v>43364</c:v>
                </c:pt>
                <c:pt idx="251" formatCode="d\-mmm\-yy">
                  <c:v>43367</c:v>
                </c:pt>
                <c:pt idx="252" formatCode="d\-mmm\-yy">
                  <c:v>43368</c:v>
                </c:pt>
                <c:pt idx="253" formatCode="d\-mmm\-yy">
                  <c:v>43369</c:v>
                </c:pt>
                <c:pt idx="254" formatCode="d\-mmm\-yy">
                  <c:v>43370</c:v>
                </c:pt>
                <c:pt idx="255" formatCode="d\-mmm\-yy">
                  <c:v>43371</c:v>
                </c:pt>
              </c:numCache>
            </c:numRef>
          </c:cat>
          <c:val>
            <c:numRef>
              <c:f>'MCX- NCDEX indices'!$C$194:$C$449</c:f>
              <c:numCache>
                <c:formatCode>0.00</c:formatCode>
                <c:ptCount val="256"/>
                <c:pt idx="0">
                  <c:v>2993.34</c:v>
                </c:pt>
                <c:pt idx="1">
                  <c:v>2993.82</c:v>
                </c:pt>
                <c:pt idx="2">
                  <c:v>3022.79</c:v>
                </c:pt>
                <c:pt idx="3">
                  <c:v>2994.74</c:v>
                </c:pt>
                <c:pt idx="4">
                  <c:v>2994.6</c:v>
                </c:pt>
                <c:pt idx="5">
                  <c:v>3029.98</c:v>
                </c:pt>
                <c:pt idx="6">
                  <c:v>3008.96</c:v>
                </c:pt>
                <c:pt idx="7">
                  <c:v>3007.43</c:v>
                </c:pt>
                <c:pt idx="8">
                  <c:v>3005.95</c:v>
                </c:pt>
                <c:pt idx="9">
                  <c:v>3014.11</c:v>
                </c:pt>
                <c:pt idx="10">
                  <c:v>3019.84</c:v>
                </c:pt>
                <c:pt idx="11">
                  <c:v>3028.64</c:v>
                </c:pt>
                <c:pt idx="12">
                  <c:v>3015.26</c:v>
                </c:pt>
                <c:pt idx="13">
                  <c:v>3015.26</c:v>
                </c:pt>
                <c:pt idx="14">
                  <c:v>2985.99</c:v>
                </c:pt>
                <c:pt idx="15">
                  <c:v>2985.7</c:v>
                </c:pt>
                <c:pt idx="16">
                  <c:v>2994.29</c:v>
                </c:pt>
                <c:pt idx="17">
                  <c:v>3003.15</c:v>
                </c:pt>
                <c:pt idx="18">
                  <c:v>2966.31</c:v>
                </c:pt>
                <c:pt idx="19">
                  <c:v>2969.44</c:v>
                </c:pt>
                <c:pt idx="20">
                  <c:v>2941.89</c:v>
                </c:pt>
                <c:pt idx="21">
                  <c:v>2942.12</c:v>
                </c:pt>
                <c:pt idx="22">
                  <c:v>2969.83</c:v>
                </c:pt>
                <c:pt idx="23">
                  <c:v>2982.42</c:v>
                </c:pt>
                <c:pt idx="24">
                  <c:v>2959.11</c:v>
                </c:pt>
                <c:pt idx="25">
                  <c:v>2958.14</c:v>
                </c:pt>
                <c:pt idx="26">
                  <c:v>2975.47</c:v>
                </c:pt>
                <c:pt idx="27">
                  <c:v>2976.53</c:v>
                </c:pt>
                <c:pt idx="28">
                  <c:v>2960.17</c:v>
                </c:pt>
                <c:pt idx="29">
                  <c:v>2970.03</c:v>
                </c:pt>
                <c:pt idx="30">
                  <c:v>2975.09</c:v>
                </c:pt>
                <c:pt idx="31">
                  <c:v>2967.3</c:v>
                </c:pt>
                <c:pt idx="32">
                  <c:v>2964.43</c:v>
                </c:pt>
                <c:pt idx="33">
                  <c:v>2958.73</c:v>
                </c:pt>
                <c:pt idx="34">
                  <c:v>2997.73</c:v>
                </c:pt>
                <c:pt idx="35">
                  <c:v>2998.75</c:v>
                </c:pt>
                <c:pt idx="36">
                  <c:v>3010.86</c:v>
                </c:pt>
                <c:pt idx="37">
                  <c:v>3054.42</c:v>
                </c:pt>
                <c:pt idx="38">
                  <c:v>3057.7</c:v>
                </c:pt>
                <c:pt idx="39">
                  <c:v>3067.38</c:v>
                </c:pt>
                <c:pt idx="40">
                  <c:v>3049.8</c:v>
                </c:pt>
                <c:pt idx="41">
                  <c:v>3026.6</c:v>
                </c:pt>
                <c:pt idx="42">
                  <c:v>3051.76</c:v>
                </c:pt>
                <c:pt idx="43">
                  <c:v>3033.73</c:v>
                </c:pt>
                <c:pt idx="44">
                  <c:v>3058.07</c:v>
                </c:pt>
                <c:pt idx="45">
                  <c:v>3040.49</c:v>
                </c:pt>
                <c:pt idx="46">
                  <c:v>3042.39</c:v>
                </c:pt>
                <c:pt idx="47">
                  <c:v>3009.29</c:v>
                </c:pt>
                <c:pt idx="48">
                  <c:v>3003.75</c:v>
                </c:pt>
                <c:pt idx="49">
                  <c:v>2975.41</c:v>
                </c:pt>
                <c:pt idx="50">
                  <c:v>2980.75</c:v>
                </c:pt>
                <c:pt idx="51">
                  <c:v>2982.32</c:v>
                </c:pt>
                <c:pt idx="52">
                  <c:v>2963.76</c:v>
                </c:pt>
                <c:pt idx="53">
                  <c:v>2976.1</c:v>
                </c:pt>
                <c:pt idx="54">
                  <c:v>2992.12</c:v>
                </c:pt>
                <c:pt idx="55">
                  <c:v>3016.4</c:v>
                </c:pt>
                <c:pt idx="56">
                  <c:v>3013.88</c:v>
                </c:pt>
                <c:pt idx="57">
                  <c:v>3044.09</c:v>
                </c:pt>
                <c:pt idx="58">
                  <c:v>3052.03</c:v>
                </c:pt>
                <c:pt idx="59">
                  <c:v>3053.27</c:v>
                </c:pt>
                <c:pt idx="60">
                  <c:v>3024.15</c:v>
                </c:pt>
                <c:pt idx="61">
                  <c:v>3030.31</c:v>
                </c:pt>
                <c:pt idx="62">
                  <c:v>3013.9</c:v>
                </c:pt>
                <c:pt idx="63">
                  <c:v>2979.68</c:v>
                </c:pt>
                <c:pt idx="64">
                  <c:v>2997.53</c:v>
                </c:pt>
                <c:pt idx="65">
                  <c:v>3015.94</c:v>
                </c:pt>
                <c:pt idx="66">
                  <c:v>3035.38</c:v>
                </c:pt>
                <c:pt idx="67">
                  <c:v>3054.5</c:v>
                </c:pt>
                <c:pt idx="68">
                  <c:v>3066.54</c:v>
                </c:pt>
                <c:pt idx="69">
                  <c:v>3042.13</c:v>
                </c:pt>
                <c:pt idx="70">
                  <c:v>3065.61</c:v>
                </c:pt>
                <c:pt idx="71">
                  <c:v>3069.44</c:v>
                </c:pt>
                <c:pt idx="72">
                  <c:v>3056.68</c:v>
                </c:pt>
                <c:pt idx="73">
                  <c:v>3066.99</c:v>
                </c:pt>
                <c:pt idx="74">
                  <c:v>3081.13</c:v>
                </c:pt>
                <c:pt idx="75">
                  <c:v>3055.45</c:v>
                </c:pt>
                <c:pt idx="76">
                  <c:v>3053.39</c:v>
                </c:pt>
                <c:pt idx="77">
                  <c:v>3022.24</c:v>
                </c:pt>
                <c:pt idx="78">
                  <c:v>3026.06</c:v>
                </c:pt>
                <c:pt idx="79">
                  <c:v>3064.25</c:v>
                </c:pt>
                <c:pt idx="80">
                  <c:v>3086.26</c:v>
                </c:pt>
                <c:pt idx="81">
                  <c:v>3081.15</c:v>
                </c:pt>
                <c:pt idx="82">
                  <c:v>3118.33</c:v>
                </c:pt>
                <c:pt idx="83">
                  <c:v>3159.69</c:v>
                </c:pt>
                <c:pt idx="84">
                  <c:v>3145.53</c:v>
                </c:pt>
                <c:pt idx="85">
                  <c:v>3145.61</c:v>
                </c:pt>
                <c:pt idx="86">
                  <c:v>3153.07</c:v>
                </c:pt>
                <c:pt idx="87">
                  <c:v>3156.36</c:v>
                </c:pt>
                <c:pt idx="88">
                  <c:v>3123.51</c:v>
                </c:pt>
                <c:pt idx="89">
                  <c:v>3110.84</c:v>
                </c:pt>
                <c:pt idx="90">
                  <c:v>3132.75</c:v>
                </c:pt>
                <c:pt idx="91">
                  <c:v>3114.57</c:v>
                </c:pt>
                <c:pt idx="92">
                  <c:v>3143.53</c:v>
                </c:pt>
                <c:pt idx="93">
                  <c:v>3146.08</c:v>
                </c:pt>
                <c:pt idx="94">
                  <c:v>3146.08</c:v>
                </c:pt>
                <c:pt idx="95">
                  <c:v>3121.04</c:v>
                </c:pt>
                <c:pt idx="96">
                  <c:v>3113.42</c:v>
                </c:pt>
                <c:pt idx="97">
                  <c:v>3167.43</c:v>
                </c:pt>
                <c:pt idx="98">
                  <c:v>3151.61</c:v>
                </c:pt>
                <c:pt idx="99">
                  <c:v>3183.17</c:v>
                </c:pt>
                <c:pt idx="100">
                  <c:v>3159.97</c:v>
                </c:pt>
                <c:pt idx="101">
                  <c:v>3166.94</c:v>
                </c:pt>
                <c:pt idx="102">
                  <c:v>3132.24</c:v>
                </c:pt>
                <c:pt idx="103">
                  <c:v>3099.86</c:v>
                </c:pt>
                <c:pt idx="104">
                  <c:v>3081.62</c:v>
                </c:pt>
                <c:pt idx="105">
                  <c:v>3114.64</c:v>
                </c:pt>
                <c:pt idx="106">
                  <c:v>3116.17</c:v>
                </c:pt>
                <c:pt idx="107">
                  <c:v>3116.17</c:v>
                </c:pt>
                <c:pt idx="108">
                  <c:v>3113.16</c:v>
                </c:pt>
                <c:pt idx="109">
                  <c:v>3142.13</c:v>
                </c:pt>
                <c:pt idx="110">
                  <c:v>3118.15</c:v>
                </c:pt>
                <c:pt idx="111">
                  <c:v>3107.37</c:v>
                </c:pt>
                <c:pt idx="112">
                  <c:v>3124.05</c:v>
                </c:pt>
                <c:pt idx="113">
                  <c:v>3064.05</c:v>
                </c:pt>
                <c:pt idx="114">
                  <c:v>3099.72</c:v>
                </c:pt>
                <c:pt idx="115">
                  <c:v>3096.43</c:v>
                </c:pt>
                <c:pt idx="116">
                  <c:v>3096.41</c:v>
                </c:pt>
                <c:pt idx="117">
                  <c:v>3109.01</c:v>
                </c:pt>
                <c:pt idx="118">
                  <c:v>3052.52</c:v>
                </c:pt>
                <c:pt idx="119">
                  <c:v>3027.83</c:v>
                </c:pt>
                <c:pt idx="120">
                  <c:v>3039.23</c:v>
                </c:pt>
                <c:pt idx="121">
                  <c:v>3048.99</c:v>
                </c:pt>
                <c:pt idx="122">
                  <c:v>3001.06</c:v>
                </c:pt>
                <c:pt idx="123">
                  <c:v>3038.81</c:v>
                </c:pt>
                <c:pt idx="124">
                  <c:v>3019.37</c:v>
                </c:pt>
                <c:pt idx="125">
                  <c:v>3036.86</c:v>
                </c:pt>
                <c:pt idx="126">
                  <c:v>3036.86</c:v>
                </c:pt>
                <c:pt idx="127">
                  <c:v>3084.78</c:v>
                </c:pt>
                <c:pt idx="128">
                  <c:v>3079.63</c:v>
                </c:pt>
                <c:pt idx="129">
                  <c:v>3056.28</c:v>
                </c:pt>
                <c:pt idx="130">
                  <c:v>3081.24</c:v>
                </c:pt>
                <c:pt idx="131">
                  <c:v>3085.26</c:v>
                </c:pt>
                <c:pt idx="132">
                  <c:v>3057.14</c:v>
                </c:pt>
                <c:pt idx="133">
                  <c:v>3058.43</c:v>
                </c:pt>
                <c:pt idx="134">
                  <c:v>3082.88</c:v>
                </c:pt>
                <c:pt idx="135">
                  <c:v>3062.9</c:v>
                </c:pt>
                <c:pt idx="136">
                  <c:v>3058.12</c:v>
                </c:pt>
                <c:pt idx="137">
                  <c:v>3058.12</c:v>
                </c:pt>
                <c:pt idx="138">
                  <c:v>3058.12</c:v>
                </c:pt>
                <c:pt idx="139">
                  <c:v>3021.79</c:v>
                </c:pt>
                <c:pt idx="140">
                  <c:v>3033.12</c:v>
                </c:pt>
                <c:pt idx="141">
                  <c:v>3039.15</c:v>
                </c:pt>
                <c:pt idx="142" formatCode="General">
                  <c:v>3003.16</c:v>
                </c:pt>
                <c:pt idx="143" formatCode="General">
                  <c:v>2963.78</c:v>
                </c:pt>
                <c:pt idx="144" formatCode="General">
                  <c:v>2978.69</c:v>
                </c:pt>
                <c:pt idx="145" formatCode="General">
                  <c:v>2977.08</c:v>
                </c:pt>
                <c:pt idx="146" formatCode="General">
                  <c:v>2909.66</c:v>
                </c:pt>
                <c:pt idx="147" formatCode="General">
                  <c:v>2898.52</c:v>
                </c:pt>
                <c:pt idx="148" formatCode="General">
                  <c:v>2898.52</c:v>
                </c:pt>
                <c:pt idx="149">
                  <c:v>2926.14</c:v>
                </c:pt>
                <c:pt idx="150">
                  <c:v>2920.84</c:v>
                </c:pt>
                <c:pt idx="151">
                  <c:v>2924.46</c:v>
                </c:pt>
                <c:pt idx="152">
                  <c:v>2953.88</c:v>
                </c:pt>
                <c:pt idx="153">
                  <c:v>2941.16</c:v>
                </c:pt>
                <c:pt idx="154">
                  <c:v>2969.32</c:v>
                </c:pt>
                <c:pt idx="155">
                  <c:v>2963.9</c:v>
                </c:pt>
                <c:pt idx="156">
                  <c:v>2959.67</c:v>
                </c:pt>
                <c:pt idx="157">
                  <c:v>2962.84</c:v>
                </c:pt>
                <c:pt idx="158">
                  <c:v>3003.89</c:v>
                </c:pt>
                <c:pt idx="159">
                  <c:v>2982.07</c:v>
                </c:pt>
                <c:pt idx="160">
                  <c:v>2973.81</c:v>
                </c:pt>
                <c:pt idx="161">
                  <c:v>2963.9</c:v>
                </c:pt>
                <c:pt idx="162">
                  <c:v>2942.89</c:v>
                </c:pt>
                <c:pt idx="163">
                  <c:v>2970.19</c:v>
                </c:pt>
                <c:pt idx="164">
                  <c:v>2964.65</c:v>
                </c:pt>
                <c:pt idx="165">
                  <c:v>2969.51</c:v>
                </c:pt>
                <c:pt idx="166">
                  <c:v>2967.2</c:v>
                </c:pt>
                <c:pt idx="167">
                  <c:v>2934.47</c:v>
                </c:pt>
                <c:pt idx="168">
                  <c:v>2921.74</c:v>
                </c:pt>
                <c:pt idx="169">
                  <c:v>2868.1</c:v>
                </c:pt>
                <c:pt idx="170" formatCode="0.0">
                  <c:v>2876.57</c:v>
                </c:pt>
                <c:pt idx="171">
                  <c:v>2911.6</c:v>
                </c:pt>
                <c:pt idx="172">
                  <c:v>2866.46</c:v>
                </c:pt>
                <c:pt idx="173">
                  <c:v>2892.09</c:v>
                </c:pt>
                <c:pt idx="174">
                  <c:v>2891.69</c:v>
                </c:pt>
                <c:pt idx="175">
                  <c:v>2890.87</c:v>
                </c:pt>
                <c:pt idx="176">
                  <c:v>2894.13</c:v>
                </c:pt>
                <c:pt idx="177">
                  <c:v>2862.57</c:v>
                </c:pt>
                <c:pt idx="178">
                  <c:v>2849.47</c:v>
                </c:pt>
                <c:pt idx="179">
                  <c:v>2887.07</c:v>
                </c:pt>
                <c:pt idx="180">
                  <c:v>2920.54</c:v>
                </c:pt>
                <c:pt idx="181">
                  <c:v>2929.05</c:v>
                </c:pt>
                <c:pt idx="182">
                  <c:v>2907</c:v>
                </c:pt>
                <c:pt idx="183">
                  <c:v>2887.79</c:v>
                </c:pt>
                <c:pt idx="184">
                  <c:v>2899.05</c:v>
                </c:pt>
                <c:pt idx="185">
                  <c:v>2907.35</c:v>
                </c:pt>
                <c:pt idx="186">
                  <c:v>2884.29</c:v>
                </c:pt>
                <c:pt idx="187">
                  <c:v>2870.22</c:v>
                </c:pt>
                <c:pt idx="188">
                  <c:v>2884.16</c:v>
                </c:pt>
                <c:pt idx="189">
                  <c:v>2944.1</c:v>
                </c:pt>
                <c:pt idx="190">
                  <c:v>2957.27</c:v>
                </c:pt>
                <c:pt idx="191" formatCode="0.0">
                  <c:v>2981.37</c:v>
                </c:pt>
                <c:pt idx="192">
                  <c:v>3025.94</c:v>
                </c:pt>
                <c:pt idx="193">
                  <c:v>3015.61</c:v>
                </c:pt>
                <c:pt idx="194">
                  <c:v>3020.9</c:v>
                </c:pt>
                <c:pt idx="195">
                  <c:v>3090.97</c:v>
                </c:pt>
                <c:pt idx="196">
                  <c:v>3097.49</c:v>
                </c:pt>
                <c:pt idx="197">
                  <c:v>3149.05</c:v>
                </c:pt>
                <c:pt idx="198">
                  <c:v>3123.79</c:v>
                </c:pt>
                <c:pt idx="199">
                  <c:v>3129.91</c:v>
                </c:pt>
                <c:pt idx="200">
                  <c:v>3129.48</c:v>
                </c:pt>
                <c:pt idx="201">
                  <c:v>3127.89</c:v>
                </c:pt>
                <c:pt idx="202">
                  <c:v>3150.01</c:v>
                </c:pt>
                <c:pt idx="203">
                  <c:v>3163.79</c:v>
                </c:pt>
                <c:pt idx="204">
                  <c:v>3241.07</c:v>
                </c:pt>
                <c:pt idx="205">
                  <c:v>3224.21</c:v>
                </c:pt>
                <c:pt idx="206" formatCode="General">
                  <c:v>3227.05</c:v>
                </c:pt>
                <c:pt idx="207" formatCode="General">
                  <c:v>3212.36</c:v>
                </c:pt>
                <c:pt idx="208" formatCode="General">
                  <c:v>3188.95</c:v>
                </c:pt>
                <c:pt idx="209" formatCode="General">
                  <c:v>3168.55</c:v>
                </c:pt>
                <c:pt idx="210" formatCode="General">
                  <c:v>3182.73</c:v>
                </c:pt>
                <c:pt idx="211" formatCode="General">
                  <c:v>3216.19</c:v>
                </c:pt>
                <c:pt idx="212" formatCode="General">
                  <c:v>3238.39</c:v>
                </c:pt>
                <c:pt idx="213" formatCode="General">
                  <c:v>3265.13</c:v>
                </c:pt>
                <c:pt idx="214">
                  <c:v>3249.44</c:v>
                </c:pt>
                <c:pt idx="215">
                  <c:v>3285.23</c:v>
                </c:pt>
                <c:pt idx="216">
                  <c:v>3264.26</c:v>
                </c:pt>
                <c:pt idx="217">
                  <c:v>3197.1</c:v>
                </c:pt>
                <c:pt idx="218">
                  <c:v>3226.88</c:v>
                </c:pt>
                <c:pt idx="219">
                  <c:v>3219.37</c:v>
                </c:pt>
                <c:pt idx="220">
                  <c:v>3212.31</c:v>
                </c:pt>
                <c:pt idx="221">
                  <c:v>3270.51</c:v>
                </c:pt>
                <c:pt idx="222">
                  <c:v>3230.32</c:v>
                </c:pt>
                <c:pt idx="223" formatCode="General">
                  <c:v>3232.86</c:v>
                </c:pt>
                <c:pt idx="224" formatCode="General">
                  <c:v>3269.11</c:v>
                </c:pt>
                <c:pt idx="225" formatCode="General">
                  <c:v>3266.61</c:v>
                </c:pt>
                <c:pt idx="226" formatCode="General">
                  <c:v>3287.34</c:v>
                </c:pt>
                <c:pt idx="227">
                  <c:v>3254.85</c:v>
                </c:pt>
                <c:pt idx="228">
                  <c:v>3254.85</c:v>
                </c:pt>
                <c:pt idx="229">
                  <c:v>3200.29</c:v>
                </c:pt>
                <c:pt idx="230">
                  <c:v>3149.07</c:v>
                </c:pt>
                <c:pt idx="231">
                  <c:v>3075.2</c:v>
                </c:pt>
                <c:pt idx="232">
                  <c:v>3064.89</c:v>
                </c:pt>
                <c:pt idx="233">
                  <c:v>3066.65</c:v>
                </c:pt>
                <c:pt idx="234">
                  <c:v>3097.16</c:v>
                </c:pt>
                <c:pt idx="235" formatCode="0.0">
                  <c:v>3117.78</c:v>
                </c:pt>
                <c:pt idx="236">
                  <c:v>3157.24</c:v>
                </c:pt>
                <c:pt idx="237">
                  <c:v>3168</c:v>
                </c:pt>
                <c:pt idx="238">
                  <c:v>3155.88</c:v>
                </c:pt>
                <c:pt idx="239">
                  <c:v>3152.02</c:v>
                </c:pt>
                <c:pt idx="240">
                  <c:v>3145.15</c:v>
                </c:pt>
                <c:pt idx="241">
                  <c:v>3146.02</c:v>
                </c:pt>
                <c:pt idx="242">
                  <c:v>3159.62</c:v>
                </c:pt>
                <c:pt idx="243">
                  <c:v>3180.49</c:v>
                </c:pt>
                <c:pt idx="244" formatCode="General">
                  <c:v>3180.49</c:v>
                </c:pt>
                <c:pt idx="245" formatCode="General">
                  <c:v>3161.75</c:v>
                </c:pt>
                <c:pt idx="246" formatCode="General">
                  <c:v>3115.92</c:v>
                </c:pt>
                <c:pt idx="247" formatCode="General">
                  <c:v>3173.84</c:v>
                </c:pt>
                <c:pt idx="248" formatCode="General">
                  <c:v>3162.66</c:v>
                </c:pt>
                <c:pt idx="249" formatCode="General">
                  <c:v>3162.66</c:v>
                </c:pt>
                <c:pt idx="250" formatCode="General">
                  <c:v>3163.37</c:v>
                </c:pt>
                <c:pt idx="251" formatCode="General">
                  <c:v>3138.13</c:v>
                </c:pt>
                <c:pt idx="252" formatCode="General">
                  <c:v>3149.72</c:v>
                </c:pt>
                <c:pt idx="253" formatCode="General">
                  <c:v>3155.48</c:v>
                </c:pt>
                <c:pt idx="254" formatCode="General">
                  <c:v>3153.27</c:v>
                </c:pt>
                <c:pt idx="255" formatCode="General">
                  <c:v>3167.53</c:v>
                </c:pt>
              </c:numCache>
            </c:numRef>
          </c:val>
          <c:smooth val="0"/>
        </c:ser>
        <c:dLbls>
          <c:showLegendKey val="0"/>
          <c:showVal val="0"/>
          <c:showCatName val="0"/>
          <c:showSerName val="0"/>
          <c:showPercent val="0"/>
          <c:showBubbleSize val="0"/>
        </c:dLbls>
        <c:smooth val="0"/>
        <c:axId val="494859472"/>
        <c:axId val="494870056"/>
      </c:lineChart>
      <c:dateAx>
        <c:axId val="494859472"/>
        <c:scaling>
          <c:orientation val="minMax"/>
          <c:max val="43373"/>
          <c:min val="43039"/>
        </c:scaling>
        <c:delete val="0"/>
        <c:axPos val="b"/>
        <c:minorGridlines>
          <c:spPr>
            <a:ln>
              <a:solidFill>
                <a:schemeClr val="tx2">
                  <a:lumMod val="5000"/>
                  <a:lumOff val="95000"/>
                </a:schemeClr>
              </a:solidFill>
            </a:ln>
            <a:effectLst/>
          </c:spPr>
        </c:minorGridlines>
        <c:numFmt formatCode="[$-409]mmm\-yy;@" sourceLinked="0"/>
        <c:majorTickMark val="cross"/>
        <c:minorTickMark val="cross"/>
        <c:tickLblPos val="nextTo"/>
        <c:spPr>
          <a:noFill/>
          <a:ln w="9525" cap="flat" cmpd="sng" algn="ctr">
            <a:solidFill>
              <a:schemeClr val="tx2">
                <a:lumMod val="15000"/>
                <a:lumOff val="85000"/>
              </a:schemeClr>
            </a:solidFill>
            <a:round/>
          </a:ln>
          <a:effectLst/>
        </c:spPr>
        <c:txPr>
          <a:bodyPr rot="-1380000" spcFirstLastPara="1" vertOverflow="ellipsis" wrap="square" anchor="ctr" anchorCtr="1"/>
          <a:lstStyle/>
          <a:p>
            <a:pPr>
              <a:defRPr sz="900" b="0" i="0" u="none" strike="noStrike" kern="1200" baseline="0">
                <a:solidFill>
                  <a:schemeClr val="dk1"/>
                </a:solidFill>
                <a:latin typeface="+mn-lt"/>
                <a:ea typeface="+mn-ea"/>
                <a:cs typeface="+mn-cs"/>
              </a:defRPr>
            </a:pPr>
            <a:endParaRPr lang="en-US"/>
          </a:p>
        </c:txPr>
        <c:crossAx val="494870056"/>
        <c:crosses val="autoZero"/>
        <c:auto val="0"/>
        <c:lblOffset val="100"/>
        <c:baseTimeUnit val="days"/>
        <c:majorUnit val="1"/>
        <c:majorTimeUnit val="months"/>
        <c:minorUnit val="1"/>
        <c:minorTimeUnit val="months"/>
      </c:dateAx>
      <c:valAx>
        <c:axId val="494870056"/>
        <c:scaling>
          <c:orientation val="minMax"/>
          <c:max val="4250"/>
          <c:min val="2550"/>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94859472"/>
        <c:crossesAt val="42978"/>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rgbClr val="0070C0"/>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085739282589675E-2"/>
          <c:y val="6.8572215186388411E-2"/>
          <c:w val="0.87635870516185477"/>
          <c:h val="0.75096819191307385"/>
        </c:manualLayout>
      </c:layout>
      <c:barChart>
        <c:barDir val="col"/>
        <c:grouping val="clustered"/>
        <c:varyColors val="0"/>
        <c:ser>
          <c:idx val="0"/>
          <c:order val="0"/>
          <c:tx>
            <c:strRef>
              <c:f>'Volatility chart'!$C$4</c:f>
              <c:strCache>
                <c:ptCount val="1"/>
                <c:pt idx="0">
                  <c:v>%Variation</c:v>
                </c:pt>
              </c:strCache>
            </c:strRef>
          </c:tx>
          <c:invertIfNegative val="0"/>
          <c:dLbls>
            <c:dLbl>
              <c:idx val="0"/>
              <c:layout>
                <c:manualLayout>
                  <c:x val="-5.9701492537313433E-3"/>
                  <c:y val="1.298735385349558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3.648382397522147E-17"/>
                  <c:y val="-8.6576677915259793E-3"/>
                </c:manualLayout>
              </c:layout>
              <c:spPr>
                <a:solidFill>
                  <a:schemeClr val="bg1">
                    <a:alpha val="89000"/>
                  </a:schemeClr>
                </a:solidFill>
              </c:spPr>
              <c:txPr>
                <a:bodyPr rot="0" vert="horz" anchor="b" anchorCtr="1"/>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990049751243781E-3"/>
                  <c:y val="2.59747077069911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597402597402593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164570337798684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nchor="b" anchorCtr="1"/>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'Volatility chart'!$B$5:$B$9</c:f>
              <c:strCache>
                <c:ptCount val="5"/>
                <c:pt idx="0">
                  <c:v>MCX Comdex</c:v>
                </c:pt>
                <c:pt idx="1">
                  <c:v>MCX Metal</c:v>
                </c:pt>
                <c:pt idx="2">
                  <c:v>MCX Energy</c:v>
                </c:pt>
                <c:pt idx="3">
                  <c:v>MCX  Agri</c:v>
                </c:pt>
                <c:pt idx="4">
                  <c:v>NCDEX Dhaanya</c:v>
                </c:pt>
              </c:strCache>
            </c:strRef>
          </c:cat>
          <c:val>
            <c:numRef>
              <c:f>'Volatility chart'!$C$5:$C$9</c:f>
              <c:numCache>
                <c:formatCode>0.0</c:formatCode>
                <c:ptCount val="5"/>
                <c:pt idx="0">
                  <c:v>3.9068391062234227</c:v>
                </c:pt>
                <c:pt idx="1">
                  <c:v>3.3007138767091564</c:v>
                </c:pt>
                <c:pt idx="2">
                  <c:v>7.8762649574138175</c:v>
                </c:pt>
                <c:pt idx="3">
                  <c:v>-2.9772482585967581</c:v>
                </c:pt>
                <c:pt idx="4">
                  <c:v>1.595686674492748</c:v>
                </c:pt>
              </c:numCache>
            </c:numRef>
          </c:val>
        </c:ser>
        <c:ser>
          <c:idx val="1"/>
          <c:order val="1"/>
          <c:tx>
            <c:strRef>
              <c:f>'Volatility chart'!$D$4</c:f>
              <c:strCache>
                <c:ptCount val="1"/>
                <c:pt idx="0">
                  <c:v>Volatility</c:v>
                </c:pt>
              </c:strCache>
            </c:strRef>
          </c:tx>
          <c:invertIfNegative val="0"/>
          <c:dLbls>
            <c:spPr>
              <a:noFill/>
              <a:ln>
                <a:noFill/>
              </a:ln>
              <a:effectLst/>
            </c:spPr>
            <c:txPr>
              <a:bodyPr rot="0" vert="horz" anchor="ctr" anchorCtr="1"/>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'Volatility chart'!$B$5:$B$9</c:f>
              <c:strCache>
                <c:ptCount val="5"/>
                <c:pt idx="0">
                  <c:v>MCX Comdex</c:v>
                </c:pt>
                <c:pt idx="1">
                  <c:v>MCX Metal</c:v>
                </c:pt>
                <c:pt idx="2">
                  <c:v>MCX Energy</c:v>
                </c:pt>
                <c:pt idx="3">
                  <c:v>MCX  Agri</c:v>
                </c:pt>
                <c:pt idx="4">
                  <c:v>NCDEX Dhaanya</c:v>
                </c:pt>
              </c:strCache>
            </c:strRef>
          </c:cat>
          <c:val>
            <c:numRef>
              <c:f>'Volatility chart'!$D$5:$D$9</c:f>
              <c:numCache>
                <c:formatCode>0.0</c:formatCode>
                <c:ptCount val="5"/>
                <c:pt idx="0">
                  <c:v>0.71525539392429272</c:v>
                </c:pt>
                <c:pt idx="1">
                  <c:v>0.87372241428895558</c:v>
                </c:pt>
                <c:pt idx="2">
                  <c:v>1.2581318162366069</c:v>
                </c:pt>
                <c:pt idx="3">
                  <c:v>0.47593322301258156</c:v>
                </c:pt>
                <c:pt idx="4">
                  <c:v>0.70411955042333851</c:v>
                </c:pt>
              </c:numCache>
            </c:numRef>
          </c:val>
        </c:ser>
        <c:dLbls>
          <c:showLegendKey val="0"/>
          <c:showVal val="0"/>
          <c:showCatName val="0"/>
          <c:showSerName val="0"/>
          <c:showPercent val="0"/>
          <c:showBubbleSize val="0"/>
        </c:dLbls>
        <c:gapWidth val="75"/>
        <c:overlap val="-25"/>
        <c:axId val="494864176"/>
        <c:axId val="494869664"/>
      </c:barChart>
      <c:catAx>
        <c:axId val="494864176"/>
        <c:scaling>
          <c:orientation val="minMax"/>
        </c:scaling>
        <c:delete val="0"/>
        <c:axPos val="b"/>
        <c:numFmt formatCode="General" sourceLinked="0"/>
        <c:majorTickMark val="out"/>
        <c:minorTickMark val="cross"/>
        <c:tickLblPos val="nextTo"/>
        <c:spPr>
          <a:ln w="12700">
            <a:solidFill>
              <a:schemeClr val="tx1"/>
            </a:solidFill>
          </a:ln>
        </c:spPr>
        <c:txPr>
          <a:bodyPr anchor="b" anchorCtr="0"/>
          <a:lstStyle/>
          <a:p>
            <a:pPr>
              <a:defRPr>
                <a:latin typeface="Times New Roman" panose="02020603050405020304" pitchFamily="18" charset="0"/>
                <a:cs typeface="Times New Roman" panose="02020603050405020304" pitchFamily="18" charset="0"/>
              </a:defRPr>
            </a:pPr>
            <a:endParaRPr lang="en-US"/>
          </a:p>
        </c:txPr>
        <c:crossAx val="494869664"/>
        <c:crosses val="autoZero"/>
        <c:auto val="1"/>
        <c:lblAlgn val="ctr"/>
        <c:lblOffset val="100"/>
        <c:noMultiLvlLbl val="0"/>
      </c:catAx>
      <c:valAx>
        <c:axId val="494869664"/>
        <c:scaling>
          <c:orientation val="minMax"/>
          <c:max val="9.5"/>
          <c:min val="-3.5"/>
        </c:scaling>
        <c:delete val="0"/>
        <c:axPos val="l"/>
        <c:majorGridlines>
          <c:spPr>
            <a:ln w="6350">
              <a:solidFill>
                <a:schemeClr val="bg1">
                  <a:lumMod val="85000"/>
                </a:schemeClr>
              </a:solidFill>
            </a:ln>
          </c:spPr>
        </c:majorGridlines>
        <c:numFmt formatCode="0" sourceLinked="0"/>
        <c:majorTickMark val="out"/>
        <c:minorTickMark val="none"/>
        <c:tickLblPos val="nextTo"/>
        <c:crossAx val="494864176"/>
        <c:crosses val="autoZero"/>
        <c:crossBetween val="between"/>
        <c:majorUnit val="2"/>
      </c:valAx>
    </c:plotArea>
    <c:legend>
      <c:legendPos val="b"/>
      <c:layout>
        <c:manualLayout>
          <c:xMode val="edge"/>
          <c:yMode val="edge"/>
          <c:x val="0.24779202891514407"/>
          <c:y val="0.87551593834930908"/>
          <c:w val="0.56133381863342047"/>
          <c:h val="9.2672284270437402E-2"/>
        </c:manualLayout>
      </c:layout>
      <c:overlay val="0"/>
      <c:txPr>
        <a:bodyPr/>
        <a:lstStyle/>
        <a:p>
          <a:pPr>
            <a:defRPr sz="1100">
              <a:latin typeface="Garamond" panose="02020404030301010803" pitchFamily="18" charset="0"/>
              <a:cs typeface="Times New Roman" panose="02020603050405020304" pitchFamily="18" charset="0"/>
            </a:defRPr>
          </a:pPr>
          <a:endParaRPr lang="en-US"/>
        </a:p>
      </c:txPr>
    </c:legend>
    <c:plotVisOnly val="1"/>
    <c:dispBlanksAs val="gap"/>
    <c:showDLblsOverMax val="0"/>
  </c:chart>
  <c:spPr>
    <a:ln w="9525" cap="rnd">
      <a:solidFill>
        <a:srgbClr val="0070C0"/>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80927384077"/>
          <c:y val="3.7870370370370374E-2"/>
          <c:w val="0.86486351706036746"/>
          <c:h val="0.69998541848935558"/>
        </c:manualLayout>
      </c:layout>
      <c:barChart>
        <c:barDir val="col"/>
        <c:grouping val="clustered"/>
        <c:varyColors val="0"/>
        <c:ser>
          <c:idx val="0"/>
          <c:order val="0"/>
          <c:tx>
            <c:strRef>
              <c:f>'Turnover charts'!$B$3</c:f>
              <c:strCache>
                <c:ptCount val="1"/>
                <c:pt idx="0">
                  <c:v>MCX </c:v>
                </c:pt>
              </c:strCache>
            </c:strRef>
          </c:tx>
          <c:spPr>
            <a:solidFill>
              <a:schemeClr val="accent1"/>
            </a:solidFill>
            <a:ln>
              <a:noFill/>
            </a:ln>
            <a:effectLst/>
          </c:spPr>
          <c:invertIfNegative val="0"/>
          <c:cat>
            <c:numRef>
              <c:f>'Turnover charts'!$A$13:$A$25</c:f>
              <c:numCache>
                <c:formatCode>mmm\-yy</c:formatCode>
                <c:ptCount val="13"/>
                <c:pt idx="0">
                  <c:v>42979</c:v>
                </c:pt>
                <c:pt idx="1">
                  <c:v>43009</c:v>
                </c:pt>
                <c:pt idx="2">
                  <c:v>43040</c:v>
                </c:pt>
                <c:pt idx="3">
                  <c:v>43070</c:v>
                </c:pt>
                <c:pt idx="4">
                  <c:v>43101</c:v>
                </c:pt>
                <c:pt idx="5">
                  <c:v>43132</c:v>
                </c:pt>
                <c:pt idx="6">
                  <c:v>43160</c:v>
                </c:pt>
                <c:pt idx="7">
                  <c:v>43191</c:v>
                </c:pt>
                <c:pt idx="8">
                  <c:v>43221</c:v>
                </c:pt>
                <c:pt idx="9">
                  <c:v>43252</c:v>
                </c:pt>
                <c:pt idx="10">
                  <c:v>43282</c:v>
                </c:pt>
                <c:pt idx="11">
                  <c:v>43313</c:v>
                </c:pt>
                <c:pt idx="12">
                  <c:v>43344</c:v>
                </c:pt>
              </c:numCache>
            </c:numRef>
          </c:cat>
          <c:val>
            <c:numRef>
              <c:f>'Turnover charts'!$B$13:$B$25</c:f>
              <c:numCache>
                <c:formatCode>0</c:formatCode>
                <c:ptCount val="13"/>
                <c:pt idx="0">
                  <c:v>8783.8690640000004</c:v>
                </c:pt>
                <c:pt idx="1">
                  <c:v>7163.9120304000025</c:v>
                </c:pt>
                <c:pt idx="2">
                  <c:v>11401.246822000006</c:v>
                </c:pt>
                <c:pt idx="3">
                  <c:v>11648.368165199998</c:v>
                </c:pt>
                <c:pt idx="4">
                  <c:v>13116.7500452</c:v>
                </c:pt>
                <c:pt idx="5">
                  <c:v>9296.0379875999988</c:v>
                </c:pt>
                <c:pt idx="6">
                  <c:v>9680.4601338000048</c:v>
                </c:pt>
                <c:pt idx="7">
                  <c:v>7382.0749536000003</c:v>
                </c:pt>
                <c:pt idx="8">
                  <c:v>8621.0231897999984</c:v>
                </c:pt>
                <c:pt idx="9">
                  <c:v>9715.8885376000017</c:v>
                </c:pt>
                <c:pt idx="10">
                  <c:v>9145.5647799999988</c:v>
                </c:pt>
                <c:pt idx="11">
                  <c:v>7635.2630787999997</c:v>
                </c:pt>
                <c:pt idx="12">
                  <c:v>7423.7061147999984</c:v>
                </c:pt>
              </c:numCache>
            </c:numRef>
          </c:val>
        </c:ser>
        <c:ser>
          <c:idx val="1"/>
          <c:order val="1"/>
          <c:tx>
            <c:strRef>
              <c:f>'Turnover charts'!$C$3</c:f>
              <c:strCache>
                <c:ptCount val="1"/>
                <c:pt idx="0">
                  <c:v>NCDEX </c:v>
                </c:pt>
              </c:strCache>
            </c:strRef>
          </c:tx>
          <c:spPr>
            <a:solidFill>
              <a:schemeClr val="accent2"/>
            </a:solidFill>
            <a:ln>
              <a:noFill/>
            </a:ln>
            <a:effectLst/>
          </c:spPr>
          <c:invertIfNegative val="0"/>
          <c:cat>
            <c:numRef>
              <c:f>'Turnover charts'!$A$13:$A$25</c:f>
              <c:numCache>
                <c:formatCode>mmm\-yy</c:formatCode>
                <c:ptCount val="13"/>
                <c:pt idx="0">
                  <c:v>42979</c:v>
                </c:pt>
                <c:pt idx="1">
                  <c:v>43009</c:v>
                </c:pt>
                <c:pt idx="2">
                  <c:v>43040</c:v>
                </c:pt>
                <c:pt idx="3">
                  <c:v>43070</c:v>
                </c:pt>
                <c:pt idx="4">
                  <c:v>43101</c:v>
                </c:pt>
                <c:pt idx="5">
                  <c:v>43132</c:v>
                </c:pt>
                <c:pt idx="6">
                  <c:v>43160</c:v>
                </c:pt>
                <c:pt idx="7">
                  <c:v>43191</c:v>
                </c:pt>
                <c:pt idx="8">
                  <c:v>43221</c:v>
                </c:pt>
                <c:pt idx="9">
                  <c:v>43252</c:v>
                </c:pt>
                <c:pt idx="10">
                  <c:v>43282</c:v>
                </c:pt>
                <c:pt idx="11">
                  <c:v>43313</c:v>
                </c:pt>
                <c:pt idx="12">
                  <c:v>43344</c:v>
                </c:pt>
              </c:numCache>
            </c:numRef>
          </c:cat>
          <c:val>
            <c:numRef>
              <c:f>'Turnover charts'!$C$13:$C$25</c:f>
              <c:numCache>
                <c:formatCode>[&gt;=10000000]#\,##\,##\,##0;[&gt;=100000]#\,##\,##0;##,##0</c:formatCode>
                <c:ptCount val="13"/>
                <c:pt idx="0">
                  <c:v>50573.88257999999</c:v>
                </c:pt>
                <c:pt idx="1">
                  <c:v>40810.803785000018</c:v>
                </c:pt>
                <c:pt idx="2">
                  <c:v>56073.365120000017</c:v>
                </c:pt>
                <c:pt idx="3" formatCode="0">
                  <c:v>51460.59096999999</c:v>
                </c:pt>
                <c:pt idx="4" formatCode="0">
                  <c:v>69725.763788999975</c:v>
                </c:pt>
                <c:pt idx="5" formatCode="0">
                  <c:v>57193.955470000059</c:v>
                </c:pt>
                <c:pt idx="6" formatCode="0">
                  <c:v>43353.1</c:v>
                </c:pt>
                <c:pt idx="7" formatCode="0">
                  <c:v>39618.825600000011</c:v>
                </c:pt>
                <c:pt idx="8" formatCode="0">
                  <c:v>41737.886115000008</c:v>
                </c:pt>
                <c:pt idx="9" formatCode="0">
                  <c:v>41893.866110000024</c:v>
                </c:pt>
                <c:pt idx="10" formatCode="0">
                  <c:v>61323.259640000011</c:v>
                </c:pt>
                <c:pt idx="11" formatCode="0">
                  <c:v>58371.162804999993</c:v>
                </c:pt>
                <c:pt idx="12" formatCode="0">
                  <c:v>38248.203240000032</c:v>
                </c:pt>
              </c:numCache>
            </c:numRef>
          </c:val>
        </c:ser>
        <c:ser>
          <c:idx val="2"/>
          <c:order val="2"/>
          <c:tx>
            <c:strRef>
              <c:f>'Turnover charts'!$D$3</c:f>
              <c:strCache>
                <c:ptCount val="1"/>
                <c:pt idx="0">
                  <c:v>NMCE  </c:v>
                </c:pt>
              </c:strCache>
            </c:strRef>
          </c:tx>
          <c:spPr>
            <a:solidFill>
              <a:schemeClr val="accent3"/>
            </a:solidFill>
            <a:ln>
              <a:noFill/>
            </a:ln>
            <a:effectLst/>
          </c:spPr>
          <c:invertIfNegative val="0"/>
          <c:cat>
            <c:numRef>
              <c:f>'Turnover charts'!$A$13:$A$25</c:f>
              <c:numCache>
                <c:formatCode>mmm\-yy</c:formatCode>
                <c:ptCount val="13"/>
                <c:pt idx="0">
                  <c:v>42979</c:v>
                </c:pt>
                <c:pt idx="1">
                  <c:v>43009</c:v>
                </c:pt>
                <c:pt idx="2">
                  <c:v>43040</c:v>
                </c:pt>
                <c:pt idx="3">
                  <c:v>43070</c:v>
                </c:pt>
                <c:pt idx="4">
                  <c:v>43101</c:v>
                </c:pt>
                <c:pt idx="5">
                  <c:v>43132</c:v>
                </c:pt>
                <c:pt idx="6">
                  <c:v>43160</c:v>
                </c:pt>
                <c:pt idx="7">
                  <c:v>43191</c:v>
                </c:pt>
                <c:pt idx="8">
                  <c:v>43221</c:v>
                </c:pt>
                <c:pt idx="9">
                  <c:v>43252</c:v>
                </c:pt>
                <c:pt idx="10">
                  <c:v>43282</c:v>
                </c:pt>
                <c:pt idx="11">
                  <c:v>43313</c:v>
                </c:pt>
                <c:pt idx="12">
                  <c:v>43344</c:v>
                </c:pt>
              </c:numCache>
            </c:numRef>
          </c:cat>
          <c:val>
            <c:numRef>
              <c:f>'Turnover charts'!$D$13:$D$25</c:f>
              <c:numCache>
                <c:formatCode>[&gt;=10000000]#\,##\,##\,##0;[&gt;=100000]#\,##\,##0;##,##0</c:formatCode>
                <c:ptCount val="13"/>
                <c:pt idx="0">
                  <c:v>3092.5516235999999</c:v>
                </c:pt>
                <c:pt idx="1">
                  <c:v>2664.654333</c:v>
                </c:pt>
                <c:pt idx="2">
                  <c:v>2840.3662906999998</c:v>
                </c:pt>
                <c:pt idx="3" formatCode="0">
                  <c:v>2847.979863</c:v>
                </c:pt>
                <c:pt idx="4" formatCode="0">
                  <c:v>3404.57474</c:v>
                </c:pt>
                <c:pt idx="5" formatCode="0">
                  <c:v>2905.06149</c:v>
                </c:pt>
                <c:pt idx="6" formatCode="0">
                  <c:v>3223.2846380000001</c:v>
                </c:pt>
                <c:pt idx="7" formatCode="0">
                  <c:v>3165.9945440000001</c:v>
                </c:pt>
                <c:pt idx="8" formatCode="0">
                  <c:v>3122.501499</c:v>
                </c:pt>
                <c:pt idx="9" formatCode="0">
                  <c:v>2385.4702685000002</c:v>
                </c:pt>
                <c:pt idx="10" formatCode="0">
                  <c:v>2441.2125058000001</c:v>
                </c:pt>
                <c:pt idx="11" formatCode="0">
                  <c:v>1546.6436670000001</c:v>
                </c:pt>
                <c:pt idx="12" formatCode="0">
                  <c:v>1013.634625</c:v>
                </c:pt>
              </c:numCache>
            </c:numRef>
          </c:val>
        </c:ser>
        <c:dLbls>
          <c:showLegendKey val="0"/>
          <c:showVal val="0"/>
          <c:showCatName val="0"/>
          <c:showSerName val="0"/>
          <c:showPercent val="0"/>
          <c:showBubbleSize val="0"/>
        </c:dLbls>
        <c:gapWidth val="219"/>
        <c:overlap val="-27"/>
        <c:axId val="494866136"/>
        <c:axId val="494859864"/>
      </c:barChart>
      <c:dateAx>
        <c:axId val="494866136"/>
        <c:scaling>
          <c:orientation val="minMax"/>
          <c:min val="43009"/>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4859864"/>
        <c:crosses val="autoZero"/>
        <c:auto val="1"/>
        <c:lblOffset val="100"/>
        <c:baseTimeUnit val="months"/>
      </c:dateAx>
      <c:valAx>
        <c:axId val="494859864"/>
        <c:scaling>
          <c:orientation val="minMax"/>
          <c:max val="8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4866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'Turnover charts'!$K$3</c:f>
              <c:strCache>
                <c:ptCount val="1"/>
                <c:pt idx="0">
                  <c:v>MCX Non- Agri</c:v>
                </c:pt>
              </c:strCache>
            </c:strRef>
          </c:tx>
          <c:spPr>
            <a:solidFill>
              <a:schemeClr val="accent1"/>
            </a:solidFill>
            <a:ln>
              <a:noFill/>
            </a:ln>
            <a:effectLst/>
          </c:spPr>
          <c:invertIfNegative val="0"/>
          <c:cat>
            <c:numRef>
              <c:f>'Turnover charts'!$J$4:$J$25</c:f>
              <c:numCache>
                <c:formatCode>mmm\-yy</c:formatCode>
                <c:ptCount val="14"/>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numCache>
              <c:extLst/>
            </c:numRef>
          </c:cat>
          <c:val>
            <c:numRef>
              <c:f>'Turnover charts'!$K$4:$K$25</c:f>
              <c:numCache>
                <c:formatCode>_(* #,##0_);_(* \(#,##0\);_(* "-"??_);_(@_)</c:formatCode>
                <c:ptCount val="14"/>
                <c:pt idx="0">
                  <c:v>479332.95668715</c:v>
                </c:pt>
                <c:pt idx="1">
                  <c:v>464092.60453309998</c:v>
                </c:pt>
                <c:pt idx="2">
                  <c:v>399934.46095704997</c:v>
                </c:pt>
                <c:pt idx="3">
                  <c:v>458862.48602249986</c:v>
                </c:pt>
                <c:pt idx="4">
                  <c:v>385391.4466501</c:v>
                </c:pt>
                <c:pt idx="5">
                  <c:v>478741.19604870002</c:v>
                </c:pt>
                <c:pt idx="6">
                  <c:v>487769.06760395004</c:v>
                </c:pt>
                <c:pt idx="7">
                  <c:v>502333.84615715011</c:v>
                </c:pt>
                <c:pt idx="8">
                  <c:v>554481.07702095003</c:v>
                </c:pt>
                <c:pt idx="9">
                  <c:v>514263.34081070009</c:v>
                </c:pt>
                <c:pt idx="10">
                  <c:v>488935.25250099995</c:v>
                </c:pt>
                <c:pt idx="11">
                  <c:v>510099.26815124979</c:v>
                </c:pt>
                <c:pt idx="12">
                  <c:v>503460.0791320501</c:v>
                </c:pt>
                <c:pt idx="13">
                  <c:v>540136.1876240999</c:v>
                </c:pt>
              </c:numCache>
              <c:extLst/>
            </c:numRef>
          </c:val>
        </c:ser>
        <c:ser>
          <c:idx val="1"/>
          <c:order val="1"/>
          <c:tx>
            <c:strRef>
              <c:f>'Turnover charts'!$L$3</c:f>
              <c:strCache>
                <c:ptCount val="1"/>
                <c:pt idx="0">
                  <c:v>MCX Options</c:v>
                </c:pt>
              </c:strCache>
            </c:strRef>
          </c:tx>
          <c:spPr>
            <a:solidFill>
              <a:schemeClr val="accent6">
                <a:lumMod val="75000"/>
              </a:schemeClr>
            </a:solidFill>
            <a:ln w="38100">
              <a:solidFill>
                <a:schemeClr val="accent6">
                  <a:lumMod val="75000"/>
                </a:schemeClr>
              </a:solidFill>
            </a:ln>
            <a:effectLst/>
          </c:spPr>
          <c:invertIfNegative val="0"/>
          <c:cat>
            <c:numRef>
              <c:f>'Turnover charts'!$J$4:$J$25</c:f>
              <c:numCache>
                <c:formatCode>mmm\-yy</c:formatCode>
                <c:ptCount val="14"/>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numCache>
              <c:extLst/>
            </c:numRef>
          </c:cat>
          <c:val>
            <c:numRef>
              <c:f>'Turnover charts'!$L$5:$L$25</c:f>
              <c:numCache>
                <c:formatCode>General</c:formatCode>
                <c:ptCount val="14"/>
                <c:pt idx="2" formatCode="0">
                  <c:v>3297.59</c:v>
                </c:pt>
                <c:pt idx="3" formatCode="0">
                  <c:v>2865.77</c:v>
                </c:pt>
                <c:pt idx="4" formatCode="0">
                  <c:v>1275.47</c:v>
                </c:pt>
                <c:pt idx="5" formatCode="0">
                  <c:v>1704.58</c:v>
                </c:pt>
                <c:pt idx="6" formatCode="_(* #,##0_);_(* \(#,##0\);_(* &quot;-&quot;??_);_(@_)">
                  <c:v>506.57000000000005</c:v>
                </c:pt>
                <c:pt idx="7" formatCode="_(* #,##0_);_(* \(#,##0\);_(* &quot;-&quot;??_);_(@_)">
                  <c:v>703.93000000000006</c:v>
                </c:pt>
                <c:pt idx="8" formatCode="_(* #,##0_);_(* \(#,##0\);_(* &quot;-&quot;??_);_(@_)">
                  <c:v>2640.42</c:v>
                </c:pt>
                <c:pt idx="9" formatCode="_(* #,##0_);_(* \(#,##0\);_(* &quot;-&quot;??_);_(@_)">
                  <c:v>16870.32</c:v>
                </c:pt>
                <c:pt idx="10" formatCode="_(* #,##0_);_(* \(#,##0\);_(* &quot;-&quot;??_);_(@_)">
                  <c:v>15987.750000000002</c:v>
                </c:pt>
                <c:pt idx="11" formatCode="_(* #,##0_);_(* \(#,##0\);_(* &quot;-&quot;??_);_(@_)">
                  <c:v>19672.011136500001</c:v>
                </c:pt>
                <c:pt idx="12" formatCode="_(* #,##0_);_(* \(#,##0\);_(* &quot;-&quot;??_);_(@_)">
                  <c:v>11041.360000000002</c:v>
                </c:pt>
                <c:pt idx="13" formatCode="_(* #,##0_);_(* \(#,##0\);_(* &quot;-&quot;??_);_(@_)">
                  <c:v>46624.133279499998</c:v>
                </c:pt>
              </c:numCache>
              <c:extLst/>
            </c:numRef>
          </c:val>
        </c:ser>
        <c:dLbls>
          <c:showLegendKey val="0"/>
          <c:showVal val="0"/>
          <c:showCatName val="0"/>
          <c:showSerName val="0"/>
          <c:showPercent val="0"/>
          <c:showBubbleSize val="0"/>
        </c:dLbls>
        <c:gapWidth val="219"/>
        <c:overlap val="100"/>
        <c:axId val="494869272"/>
        <c:axId val="494870448"/>
      </c:barChart>
      <c:lineChart>
        <c:grouping val="standard"/>
        <c:varyColors val="0"/>
        <c:ser>
          <c:idx val="2"/>
          <c:order val="2"/>
          <c:tx>
            <c:strRef>
              <c:f>'Turnover charts'!$M$3</c:f>
              <c:strCache>
                <c:ptCount val="1"/>
                <c:pt idx="0">
                  <c:v>ICEX (RHS)</c:v>
                </c:pt>
              </c:strCache>
            </c:strRef>
          </c:tx>
          <c:spPr>
            <a:ln w="28575" cap="rnd">
              <a:solidFill>
                <a:schemeClr val="accent3"/>
              </a:solidFill>
              <a:round/>
            </a:ln>
            <a:effectLst/>
          </c:spPr>
          <c:marker>
            <c:symbol val="none"/>
          </c:marker>
          <c:cat>
            <c:numRef>
              <c:f>'Turnover charts'!$J$5:$J$25</c:f>
              <c:numCache>
                <c:formatCode>mmm\-yy</c:formatCode>
                <c:ptCount val="14"/>
                <c:pt idx="0">
                  <c:v>42948</c:v>
                </c:pt>
                <c:pt idx="1">
                  <c:v>42979</c:v>
                </c:pt>
                <c:pt idx="2">
                  <c:v>43009</c:v>
                </c:pt>
                <c:pt idx="3">
                  <c:v>43040</c:v>
                </c:pt>
                <c:pt idx="4">
                  <c:v>43070</c:v>
                </c:pt>
                <c:pt idx="5">
                  <c:v>43101</c:v>
                </c:pt>
                <c:pt idx="6">
                  <c:v>43132</c:v>
                </c:pt>
                <c:pt idx="7">
                  <c:v>43160</c:v>
                </c:pt>
                <c:pt idx="8">
                  <c:v>43191</c:v>
                </c:pt>
                <c:pt idx="9">
                  <c:v>43221</c:v>
                </c:pt>
                <c:pt idx="10">
                  <c:v>43252</c:v>
                </c:pt>
                <c:pt idx="11">
                  <c:v>43282</c:v>
                </c:pt>
                <c:pt idx="12">
                  <c:v>43313</c:v>
                </c:pt>
                <c:pt idx="13">
                  <c:v>43344</c:v>
                </c:pt>
              </c:numCache>
              <c:extLst/>
            </c:numRef>
          </c:cat>
          <c:val>
            <c:numRef>
              <c:f>'Turnover charts'!$M$4:$M$25</c:f>
              <c:numCache>
                <c:formatCode>0</c:formatCode>
                <c:ptCount val="14"/>
                <c:pt idx="0">
                  <c:v>8.23</c:v>
                </c:pt>
                <c:pt idx="1">
                  <c:v>141.6703</c:v>
                </c:pt>
                <c:pt idx="2">
                  <c:v>165.3657</c:v>
                </c:pt>
                <c:pt idx="3">
                  <c:v>257.23</c:v>
                </c:pt>
                <c:pt idx="4">
                  <c:v>268.16000000000003</c:v>
                </c:pt>
                <c:pt idx="5">
                  <c:v>392.57</c:v>
                </c:pt>
                <c:pt idx="6" formatCode="_(* #,##0_);_(* \(#,##0\);_(* &quot;-&quot;??_);_(@_)">
                  <c:v>509.18130000000002</c:v>
                </c:pt>
                <c:pt idx="7" formatCode="_(* #,##0_);_(* \(#,##0\);_(* &quot;-&quot;??_);_(@_)">
                  <c:v>416.07</c:v>
                </c:pt>
                <c:pt idx="8" formatCode="_(* #,##0_);_(* \(#,##0\);_(* &quot;-&quot;??_);_(@_)">
                  <c:v>479.26</c:v>
                </c:pt>
                <c:pt idx="9" formatCode="_(* #,##0_);_(* \(#,##0\);_(* &quot;-&quot;??_);_(@_)">
                  <c:v>362.4169</c:v>
                </c:pt>
                <c:pt idx="10" formatCode="_(* #,##0_);_(* \(#,##0\);_(* &quot;-&quot;??_);_(@_)">
                  <c:v>294.87927165000002</c:v>
                </c:pt>
                <c:pt idx="11" formatCode="_(* #,##0_);_(* \(#,##0\);_(* &quot;-&quot;??_);_(@_)">
                  <c:v>465.09</c:v>
                </c:pt>
                <c:pt idx="12" formatCode="_(* #,##0_);_(* \(#,##0\);_(* &quot;-&quot;??_);_(@_)">
                  <c:v>432.48</c:v>
                </c:pt>
                <c:pt idx="13" formatCode="_(* #,##0_);_(* \(#,##0\);_(* &quot;-&quot;??_);_(@_)">
                  <c:v>931.1400000000001</c:v>
                </c:pt>
              </c:numCache>
              <c:extLst/>
            </c:numRef>
          </c:val>
          <c:smooth val="0"/>
        </c:ser>
        <c:dLbls>
          <c:showLegendKey val="0"/>
          <c:showVal val="0"/>
          <c:showCatName val="0"/>
          <c:showSerName val="0"/>
          <c:showPercent val="0"/>
          <c:showBubbleSize val="0"/>
        </c:dLbls>
        <c:marker val="1"/>
        <c:smooth val="0"/>
        <c:axId val="494861432"/>
        <c:axId val="494861040"/>
      </c:lineChart>
      <c:dateAx>
        <c:axId val="494869272"/>
        <c:scaling>
          <c:orientation val="minMax"/>
          <c:min val="43009"/>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400000" spcFirstLastPara="1" vertOverflow="ellipsis" wrap="square" anchor="ctr" anchorCtr="1"/>
          <a:lstStyle/>
          <a:p>
            <a:pPr>
              <a:defRPr sz="1000" b="0" i="0" u="none" strike="noStrike" kern="1200" baseline="0">
                <a:solidFill>
                  <a:sysClr val="windowText" lastClr="000000"/>
                </a:solidFill>
                <a:latin typeface="Palatino Linotype" panose="02040502050505030304" pitchFamily="18" charset="0"/>
                <a:ea typeface="+mn-ea"/>
                <a:cs typeface="+mn-cs"/>
              </a:defRPr>
            </a:pPr>
            <a:endParaRPr lang="en-US"/>
          </a:p>
        </c:txPr>
        <c:crossAx val="494870448"/>
        <c:crosses val="autoZero"/>
        <c:auto val="1"/>
        <c:lblOffset val="100"/>
        <c:baseTimeUnit val="months"/>
      </c:dateAx>
      <c:valAx>
        <c:axId val="494870448"/>
        <c:scaling>
          <c:orientation val="minMax"/>
          <c:max val="600000"/>
          <c:min val="10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869272"/>
        <c:crosses val="autoZero"/>
        <c:crossBetween val="between"/>
        <c:majorUnit val="100000"/>
      </c:valAx>
      <c:valAx>
        <c:axId val="494861040"/>
        <c:scaling>
          <c:orientation val="minMax"/>
          <c:max val="50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861432"/>
        <c:crosses val="max"/>
        <c:crossBetween val="between"/>
        <c:majorUnit val="1000"/>
      </c:valAx>
      <c:dateAx>
        <c:axId val="494861432"/>
        <c:scaling>
          <c:orientation val="minMax"/>
        </c:scaling>
        <c:delete val="1"/>
        <c:axPos val="b"/>
        <c:numFmt formatCode="mmm\-yy" sourceLinked="1"/>
        <c:majorTickMark val="out"/>
        <c:minorTickMark val="none"/>
        <c:tickLblPos val="nextTo"/>
        <c:crossAx val="494861040"/>
        <c:crosses val="autoZero"/>
        <c:auto val="1"/>
        <c:lblOffset val="100"/>
        <c:baseTimeUnit val="months"/>
      </c:dateAx>
      <c:spPr>
        <a:noFill/>
        <a:ln>
          <a:noFill/>
        </a:ln>
        <a:effectLst/>
      </c:spPr>
    </c:plotArea>
    <c:legend>
      <c:legendPos val="b"/>
      <c:layout>
        <c:manualLayout>
          <c:xMode val="edge"/>
          <c:yMode val="edge"/>
          <c:x val="0.10590535324986756"/>
          <c:y val="0.89371655459899835"/>
          <c:w val="0.84449560979208516"/>
          <c:h val="8.113751983294129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legend>
    <c:plotVisOnly val="1"/>
    <c:dispBlanksAs val="gap"/>
    <c:showDLblsOverMax val="0"/>
  </c:chart>
  <c:spPr>
    <a:solidFill>
      <a:schemeClr val="bg1"/>
    </a:solidFill>
    <a:ln w="9525" cap="flat" cmpd="sng" algn="ctr">
      <a:solidFill>
        <a:srgbClr val="0070C0"/>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257997541962519"/>
          <c:y val="2.5424868531353336E-2"/>
          <c:w val="0.70242596231569632"/>
          <c:h val="0.92321328439762484"/>
        </c:manualLayout>
      </c:layout>
      <c:barChart>
        <c:barDir val="bar"/>
        <c:grouping val="clustered"/>
        <c:varyColors val="0"/>
        <c:ser>
          <c:idx val="0"/>
          <c:order val="0"/>
          <c:spPr>
            <a:solidFill>
              <a:schemeClr val="accent6">
                <a:lumMod val="75000"/>
              </a:schemeClr>
            </a:solidFill>
            <a:ln>
              <a:solidFill>
                <a:schemeClr val="accent6">
                  <a:lumMod val="50000"/>
                </a:schemeClr>
              </a:solidFill>
            </a:ln>
            <a:effectLst/>
          </c:spPr>
          <c:invertIfNegative val="0"/>
          <c:dPt>
            <c:idx val="1"/>
            <c:invertIfNegative val="0"/>
            <c:bubble3D val="0"/>
            <c:spPr>
              <a:solidFill>
                <a:schemeClr val="accent1">
                  <a:lumMod val="50000"/>
                </a:schemeClr>
              </a:solidFill>
              <a:ln>
                <a:solidFill>
                  <a:schemeClr val="accent6">
                    <a:lumMod val="50000"/>
                  </a:schemeClr>
                </a:solidFill>
              </a:ln>
              <a:effectLst/>
            </c:spPr>
          </c:dPt>
          <c:dPt>
            <c:idx val="2"/>
            <c:invertIfNegative val="0"/>
            <c:bubble3D val="0"/>
            <c:spPr>
              <a:solidFill>
                <a:srgbClr val="FF0000"/>
              </a:solidFill>
              <a:ln>
                <a:solidFill>
                  <a:schemeClr val="accent6">
                    <a:lumMod val="50000"/>
                  </a:schemeClr>
                </a:solidFill>
              </a:ln>
              <a:effectLst/>
            </c:spPr>
          </c:dPt>
          <c:dPt>
            <c:idx val="3"/>
            <c:invertIfNegative val="0"/>
            <c:bubble3D val="0"/>
            <c:spPr>
              <a:solidFill>
                <a:schemeClr val="accent2">
                  <a:lumMod val="75000"/>
                </a:schemeClr>
              </a:solidFill>
              <a:ln>
                <a:solidFill>
                  <a:schemeClr val="accent6">
                    <a:lumMod val="50000"/>
                  </a:schemeClr>
                </a:solidFill>
              </a:ln>
              <a:effectLst/>
            </c:spPr>
          </c:dPt>
          <c:dPt>
            <c:idx val="4"/>
            <c:invertIfNegative val="0"/>
            <c:bubble3D val="0"/>
            <c:spPr>
              <a:solidFill>
                <a:srgbClr val="FF0000"/>
              </a:solidFill>
              <a:ln>
                <a:solidFill>
                  <a:schemeClr val="accent6">
                    <a:lumMod val="50000"/>
                  </a:schemeClr>
                </a:solidFill>
              </a:ln>
              <a:effectLst/>
            </c:spPr>
          </c:dPt>
          <c:dPt>
            <c:idx val="5"/>
            <c:invertIfNegative val="0"/>
            <c:bubble3D val="0"/>
            <c:spPr>
              <a:solidFill>
                <a:schemeClr val="bg2">
                  <a:lumMod val="50000"/>
                </a:schemeClr>
              </a:solidFill>
              <a:ln>
                <a:solidFill>
                  <a:schemeClr val="accent6">
                    <a:lumMod val="50000"/>
                  </a:schemeClr>
                </a:solidFill>
              </a:ln>
              <a:effectLst/>
            </c:spPr>
          </c:dPt>
          <c:dPt>
            <c:idx val="6"/>
            <c:invertIfNegative val="0"/>
            <c:bubble3D val="0"/>
            <c:spPr>
              <a:solidFill>
                <a:schemeClr val="accent5">
                  <a:lumMod val="75000"/>
                </a:schemeClr>
              </a:solidFill>
              <a:ln>
                <a:solidFill>
                  <a:schemeClr val="accent6">
                    <a:lumMod val="50000"/>
                  </a:schemeClr>
                </a:solidFill>
              </a:ln>
              <a:effectLst/>
            </c:spPr>
          </c:dPt>
          <c:dPt>
            <c:idx val="10"/>
            <c:invertIfNegative val="0"/>
            <c:bubble3D val="0"/>
            <c:spPr>
              <a:solidFill>
                <a:schemeClr val="accent2">
                  <a:lumMod val="75000"/>
                </a:schemeClr>
              </a:solidFill>
              <a:ln>
                <a:solidFill>
                  <a:schemeClr val="accent6">
                    <a:lumMod val="50000"/>
                  </a:schemeClr>
                </a:solidFill>
              </a:ln>
              <a:effectLst/>
            </c:spPr>
          </c:dPt>
          <c:dPt>
            <c:idx val="11"/>
            <c:invertIfNegative val="0"/>
            <c:bubble3D val="0"/>
            <c:spPr>
              <a:solidFill>
                <a:schemeClr val="accent2">
                  <a:lumMod val="75000"/>
                </a:schemeClr>
              </a:solidFill>
              <a:ln>
                <a:solidFill>
                  <a:schemeClr val="accent6">
                    <a:lumMod val="50000"/>
                  </a:schemeClr>
                </a:solidFill>
              </a:ln>
              <a:effectLst/>
            </c:spPr>
          </c:dPt>
          <c:dPt>
            <c:idx val="14"/>
            <c:invertIfNegative val="0"/>
            <c:bubble3D val="0"/>
            <c:spPr>
              <a:solidFill>
                <a:schemeClr val="accent1">
                  <a:lumMod val="50000"/>
                </a:schemeClr>
              </a:solidFill>
              <a:ln>
                <a:solidFill>
                  <a:schemeClr val="accent6">
                    <a:lumMod val="50000"/>
                  </a:schemeClr>
                </a:solidFill>
              </a:ln>
              <a:effectLst/>
            </c:spPr>
          </c:dPt>
          <c:dPt>
            <c:idx val="16"/>
            <c:invertIfNegative val="0"/>
            <c:bubble3D val="0"/>
            <c:spPr>
              <a:solidFill>
                <a:srgbClr val="FFFF00"/>
              </a:solidFill>
              <a:ln>
                <a:solidFill>
                  <a:schemeClr val="accent6">
                    <a:lumMod val="50000"/>
                  </a:schemeClr>
                </a:solidFill>
              </a:ln>
              <a:effectLst/>
            </c:spPr>
          </c:dPt>
          <c:dPt>
            <c:idx val="23"/>
            <c:invertIfNegative val="0"/>
            <c:bubble3D val="0"/>
            <c:spPr>
              <a:solidFill>
                <a:schemeClr val="accent1">
                  <a:lumMod val="50000"/>
                </a:schemeClr>
              </a:solidFill>
              <a:ln>
                <a:solidFill>
                  <a:schemeClr val="accent6">
                    <a:lumMod val="50000"/>
                  </a:schemeClr>
                </a:solidFill>
              </a:ln>
              <a:effectLst/>
            </c:spPr>
          </c:dPt>
          <c:dPt>
            <c:idx val="26"/>
            <c:invertIfNegative val="0"/>
            <c:bubble3D val="0"/>
            <c:spPr>
              <a:solidFill>
                <a:schemeClr val="accent1">
                  <a:lumMod val="50000"/>
                </a:schemeClr>
              </a:solidFill>
              <a:ln>
                <a:solidFill>
                  <a:schemeClr val="accent6">
                    <a:lumMod val="50000"/>
                  </a:schemeClr>
                </a:solidFill>
              </a:ln>
              <a:effectLst/>
            </c:spPr>
          </c:dPt>
          <c:dPt>
            <c:idx val="28"/>
            <c:invertIfNegative val="0"/>
            <c:bubble3D val="0"/>
            <c:spPr>
              <a:solidFill>
                <a:schemeClr val="accent1">
                  <a:lumMod val="50000"/>
                </a:schemeClr>
              </a:solidFill>
              <a:ln>
                <a:solidFill>
                  <a:schemeClr val="accent6">
                    <a:lumMod val="50000"/>
                  </a:schemeClr>
                </a:solidFill>
              </a:ln>
              <a:effectLst/>
            </c:spPr>
          </c:dPt>
          <c:dPt>
            <c:idx val="36"/>
            <c:invertIfNegative val="0"/>
            <c:bubble3D val="0"/>
            <c:spPr>
              <a:solidFill>
                <a:schemeClr val="accent6">
                  <a:lumMod val="75000"/>
                </a:schemeClr>
              </a:solidFill>
              <a:ln>
                <a:solidFill>
                  <a:srgbClr val="00B050"/>
                </a:solidFill>
              </a:ln>
              <a:effectLst/>
            </c:spPr>
          </c:dPt>
          <c:dLbls>
            <c:dLbl>
              <c:idx val="1"/>
              <c:layout>
                <c:manualLayout>
                  <c:x val="1.9610927958788335E-3"/>
                  <c:y val="-2.587135512170567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2"/>
              <c:layout>
                <c:manualLayout>
                  <c:x val="-3.8807775229490185E-3"/>
                  <c:y val="-7.5040947897524765E-4"/>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Palatino Linotype" panose="0204050205050503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 Domestic futures'!$A$56:$A$92</c:f>
              <c:strCache>
                <c:ptCount val="37"/>
                <c:pt idx="0">
                  <c:v>Raw Jute</c:v>
                </c:pt>
                <c:pt idx="1">
                  <c:v>Copper</c:v>
                </c:pt>
                <c:pt idx="2">
                  <c:v>Crude Oil</c:v>
                </c:pt>
                <c:pt idx="3">
                  <c:v>DIAMOND 0.3CT</c:v>
                </c:pt>
                <c:pt idx="4">
                  <c:v>Natural Gas</c:v>
                </c:pt>
                <c:pt idx="5">
                  <c:v>Silver</c:v>
                </c:pt>
                <c:pt idx="6">
                  <c:v>Zinc</c:v>
                </c:pt>
                <c:pt idx="7">
                  <c:v>Cardamom</c:v>
                </c:pt>
                <c:pt idx="8">
                  <c:v>RM seed  NMCE</c:v>
                </c:pt>
                <c:pt idx="9">
                  <c:v>Guar Gum</c:v>
                </c:pt>
                <c:pt idx="10">
                  <c:v>DIAMOND 1CT</c:v>
                </c:pt>
                <c:pt idx="11">
                  <c:v>DIAMOND 0.5CT</c:v>
                </c:pt>
                <c:pt idx="12">
                  <c:v>Jeera </c:v>
                </c:pt>
                <c:pt idx="13">
                  <c:v>Guar seed</c:v>
                </c:pt>
                <c:pt idx="14">
                  <c:v>Brass</c:v>
                </c:pt>
                <c:pt idx="15">
                  <c:v>Turmeric</c:v>
                </c:pt>
                <c:pt idx="16">
                  <c:v>Gold</c:v>
                </c:pt>
                <c:pt idx="17">
                  <c:v>Castor Seed  NMCE</c:v>
                </c:pt>
                <c:pt idx="18">
                  <c:v>Kapas</c:v>
                </c:pt>
                <c:pt idx="19">
                  <c:v>Cotton seed oil cake</c:v>
                </c:pt>
                <c:pt idx="20">
                  <c:v>CPO</c:v>
                </c:pt>
                <c:pt idx="21">
                  <c:v>Maize Rabi</c:v>
                </c:pt>
                <c:pt idx="22">
                  <c:v>Castor Seed</c:v>
                </c:pt>
                <c:pt idx="23">
                  <c:v>Lead</c:v>
                </c:pt>
                <c:pt idx="24">
                  <c:v>Soybean</c:v>
                </c:pt>
                <c:pt idx="25">
                  <c:v>Ref.Soy Oil</c:v>
                </c:pt>
                <c:pt idx="26">
                  <c:v>Nickel</c:v>
                </c:pt>
                <c:pt idx="27">
                  <c:v>Wheat FAQ</c:v>
                </c:pt>
                <c:pt idx="28">
                  <c:v>Aluminium</c:v>
                </c:pt>
                <c:pt idx="29">
                  <c:v>Rubber</c:v>
                </c:pt>
                <c:pt idx="30">
                  <c:v>Coriander </c:v>
                </c:pt>
                <c:pt idx="31">
                  <c:v>Rubber  NMCE</c:v>
                </c:pt>
                <c:pt idx="32">
                  <c:v>Cotton</c:v>
                </c:pt>
                <c:pt idx="33">
                  <c:v>RM seed</c:v>
                </c:pt>
                <c:pt idx="34">
                  <c:v>Chana</c:v>
                </c:pt>
                <c:pt idx="35">
                  <c:v>Barley </c:v>
                </c:pt>
                <c:pt idx="36">
                  <c:v>Mentha Oil</c:v>
                </c:pt>
              </c:strCache>
            </c:strRef>
          </c:cat>
          <c:val>
            <c:numRef>
              <c:f>'Graph - Domestic futures'!$B$56:$B$92</c:f>
              <c:numCache>
                <c:formatCode>0.0</c:formatCode>
                <c:ptCount val="37"/>
                <c:pt idx="0">
                  <c:v>9.4289185905224784</c:v>
                </c:pt>
                <c:pt idx="1">
                  <c:v>9.3553838725253495</c:v>
                </c:pt>
                <c:pt idx="2">
                  <c:v>7.5821738253680175</c:v>
                </c:pt>
                <c:pt idx="3">
                  <c:v>6.700672385810341</c:v>
                </c:pt>
                <c:pt idx="4">
                  <c:v>5.3649105848235834</c:v>
                </c:pt>
                <c:pt idx="5">
                  <c:v>5.1115773412168606</c:v>
                </c:pt>
                <c:pt idx="6">
                  <c:v>5.0957207207207267</c:v>
                </c:pt>
                <c:pt idx="7">
                  <c:v>4.9555555555555619</c:v>
                </c:pt>
                <c:pt idx="8">
                  <c:v>4.502923976608181</c:v>
                </c:pt>
                <c:pt idx="9">
                  <c:v>3.170309456827527</c:v>
                </c:pt>
                <c:pt idx="10">
                  <c:v>2.6360786548874322</c:v>
                </c:pt>
                <c:pt idx="11">
                  <c:v>2.4864864864864864</c:v>
                </c:pt>
                <c:pt idx="12">
                  <c:v>2.3974427277570589</c:v>
                </c:pt>
                <c:pt idx="13">
                  <c:v>2.2853828306264501</c:v>
                </c:pt>
                <c:pt idx="14">
                  <c:v>1.3287671232876774</c:v>
                </c:pt>
                <c:pt idx="15">
                  <c:v>1.188001188001188</c:v>
                </c:pt>
                <c:pt idx="16">
                  <c:v>1.1683096020445418</c:v>
                </c:pt>
                <c:pt idx="17">
                  <c:v>0.77586206896551724</c:v>
                </c:pt>
                <c:pt idx="18">
                  <c:v>0.57268722466960353</c:v>
                </c:pt>
                <c:pt idx="19">
                  <c:v>0.48207291352817111</c:v>
                </c:pt>
                <c:pt idx="20">
                  <c:v>-0.15141318977119403</c:v>
                </c:pt>
                <c:pt idx="21">
                  <c:v>-0.21978021978021978</c:v>
                </c:pt>
                <c:pt idx="22">
                  <c:v>-0.27825342465753422</c:v>
                </c:pt>
                <c:pt idx="23">
                  <c:v>-0.71794871794872572</c:v>
                </c:pt>
                <c:pt idx="24">
                  <c:v>-0.8310249307479225</c:v>
                </c:pt>
                <c:pt idx="25">
                  <c:v>-1.4400535833891492</c:v>
                </c:pt>
                <c:pt idx="26">
                  <c:v>-1.843817787418655</c:v>
                </c:pt>
                <c:pt idx="27">
                  <c:v>-2.0048899755501224</c:v>
                </c:pt>
                <c:pt idx="28">
                  <c:v>-2.6034712950600838</c:v>
                </c:pt>
                <c:pt idx="29">
                  <c:v>-3.0150375939849625</c:v>
                </c:pt>
                <c:pt idx="30">
                  <c:v>-3.8255861785273551</c:v>
                </c:pt>
                <c:pt idx="31">
                  <c:v>-4.2680196985524548</c:v>
                </c:pt>
                <c:pt idx="32">
                  <c:v>-4.4619422572178475</c:v>
                </c:pt>
                <c:pt idx="33">
                  <c:v>-4.5682850992585502</c:v>
                </c:pt>
                <c:pt idx="34">
                  <c:v>-5.5935515388373229</c:v>
                </c:pt>
                <c:pt idx="35">
                  <c:v>-8.6858432036097017</c:v>
                </c:pt>
                <c:pt idx="36">
                  <c:v>-10.589206780978277</c:v>
                </c:pt>
              </c:numCache>
            </c:numRef>
          </c:val>
        </c:ser>
        <c:dLbls>
          <c:dLblPos val="outEnd"/>
          <c:showLegendKey val="0"/>
          <c:showVal val="1"/>
          <c:showCatName val="0"/>
          <c:showSerName val="0"/>
          <c:showPercent val="0"/>
          <c:showBubbleSize val="0"/>
        </c:dLbls>
        <c:gapWidth val="120"/>
        <c:overlap val="30"/>
        <c:axId val="494861824"/>
        <c:axId val="494863000"/>
      </c:barChart>
      <c:catAx>
        <c:axId val="494861824"/>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Garamond" panose="02020404030301010803" pitchFamily="18" charset="0"/>
                <a:ea typeface="+mn-ea"/>
                <a:cs typeface="+mn-cs"/>
              </a:defRPr>
            </a:pPr>
            <a:endParaRPr lang="en-US"/>
          </a:p>
        </c:txPr>
        <c:crossAx val="494863000"/>
        <c:crosses val="autoZero"/>
        <c:auto val="1"/>
        <c:lblAlgn val="ctr"/>
        <c:lblOffset val="100"/>
        <c:noMultiLvlLbl val="0"/>
      </c:catAx>
      <c:valAx>
        <c:axId val="494863000"/>
        <c:scaling>
          <c:orientation val="minMax"/>
          <c:max val="11"/>
          <c:min val="-13"/>
        </c:scaling>
        <c:delete val="0"/>
        <c:axPos val="t"/>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Palatino Linotype" panose="02040502050505030304" pitchFamily="18" charset="0"/>
                <a:ea typeface="+mn-ea"/>
                <a:cs typeface="+mn-cs"/>
              </a:defRPr>
            </a:pPr>
            <a:endParaRPr lang="en-US"/>
          </a:p>
        </c:txPr>
        <c:crossAx val="494861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sz="1050" b="1">
          <a:solidFill>
            <a:schemeClr val="tx1">
              <a:lumMod val="95000"/>
              <a:lumOff val="5000"/>
            </a:schemeClr>
          </a:solidFill>
          <a:latin typeface="Garamond" panose="02020404030301010803"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9001914253641821E-2"/>
          <c:y val="7.9804761246949393E-2"/>
          <c:w val="0.93251912442983453"/>
          <c:h val="0.6071945049422014"/>
        </c:manualLayout>
      </c:layout>
      <c:barChart>
        <c:barDir val="col"/>
        <c:grouping val="clustered"/>
        <c:varyColors val="0"/>
        <c:ser>
          <c:idx val="0"/>
          <c:order val="0"/>
          <c:tx>
            <c:strRef>
              <c:f>'F11'!$B$2</c:f>
              <c:strCache>
                <c:ptCount val="1"/>
                <c:pt idx="0">
                  <c:v>BSE</c:v>
                </c:pt>
              </c:strCache>
            </c:strRef>
          </c:tx>
          <c:spPr>
            <a:solidFill>
              <a:srgbClr val="FFC000"/>
            </a:solidFill>
          </c:spPr>
          <c:invertIfNegative val="0"/>
          <c:dLbls>
            <c:spPr>
              <a:noFill/>
              <a:ln>
                <a:noFill/>
              </a:ln>
              <a:effectLst/>
            </c:spPr>
            <c:txPr>
              <a:bodyPr rot="-5400000" vert="horz" anchor="ctr" anchorCtr="0"/>
              <a:lstStyle/>
              <a:p>
                <a:pPr>
                  <a:defRPr lang="en-IN"/>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'F11'!$A$3:$A$15</c:f>
              <c:numCache>
                <c:formatCode>[$-409]mmm\-yy;@</c:formatCode>
                <c:ptCount val="13"/>
                <c:pt idx="1">
                  <c:v>43034</c:v>
                </c:pt>
                <c:pt idx="2">
                  <c:v>43066</c:v>
                </c:pt>
                <c:pt idx="3">
                  <c:v>43098</c:v>
                </c:pt>
                <c:pt idx="4">
                  <c:v>43130</c:v>
                </c:pt>
                <c:pt idx="5">
                  <c:v>43134</c:v>
                </c:pt>
                <c:pt idx="6">
                  <c:v>43163</c:v>
                </c:pt>
                <c:pt idx="7">
                  <c:v>43220</c:v>
                </c:pt>
                <c:pt idx="8">
                  <c:v>43221</c:v>
                </c:pt>
                <c:pt idx="9">
                  <c:v>43252</c:v>
                </c:pt>
                <c:pt idx="10">
                  <c:v>43282</c:v>
                </c:pt>
                <c:pt idx="11">
                  <c:v>43313</c:v>
                </c:pt>
                <c:pt idx="12">
                  <c:v>43344</c:v>
                </c:pt>
              </c:numCache>
            </c:numRef>
          </c:cat>
          <c:val>
            <c:numRef>
              <c:f>'F11'!$B$3:$B$15</c:f>
              <c:numCache>
                <c:formatCode>_(* #,##0_);_(* \(#,##0\);_(* "-"??_);_(@_)</c:formatCode>
                <c:ptCount val="13"/>
                <c:pt idx="1">
                  <c:v>38274.01</c:v>
                </c:pt>
                <c:pt idx="2">
                  <c:v>40696.370000000003</c:v>
                </c:pt>
                <c:pt idx="3">
                  <c:v>42513.38</c:v>
                </c:pt>
                <c:pt idx="4">
                  <c:v>45962.82</c:v>
                </c:pt>
                <c:pt idx="5">
                  <c:v>38638.800000000003</c:v>
                </c:pt>
                <c:pt idx="6">
                  <c:v>59836.7</c:v>
                </c:pt>
                <c:pt idx="7">
                  <c:v>49273.73</c:v>
                </c:pt>
                <c:pt idx="8">
                  <c:v>49383.75</c:v>
                </c:pt>
                <c:pt idx="9">
                  <c:v>53079.63</c:v>
                </c:pt>
                <c:pt idx="10">
                  <c:v>54314.01</c:v>
                </c:pt>
                <c:pt idx="11">
                  <c:v>43548.04</c:v>
                </c:pt>
                <c:pt idx="12">
                  <c:v>37395</c:v>
                </c:pt>
              </c:numCache>
            </c:numRef>
          </c:val>
        </c:ser>
        <c:ser>
          <c:idx val="1"/>
          <c:order val="1"/>
          <c:tx>
            <c:strRef>
              <c:f>'F11'!$C$2</c:f>
              <c:strCache>
                <c:ptCount val="1"/>
                <c:pt idx="0">
                  <c:v>NSE</c:v>
                </c:pt>
              </c:strCache>
            </c:strRef>
          </c:tx>
          <c:spPr>
            <a:solidFill>
              <a:schemeClr val="accent5">
                <a:lumMod val="40000"/>
                <a:lumOff val="60000"/>
              </a:schemeClr>
            </a:solidFill>
          </c:spPr>
          <c:invertIfNegative val="0"/>
          <c:dLbls>
            <c:spPr>
              <a:noFill/>
              <a:ln>
                <a:noFill/>
              </a:ln>
              <a:effectLst/>
            </c:spPr>
            <c:txPr>
              <a:bodyPr rot="-5400000" vert="horz"/>
              <a:lstStyle/>
              <a:p>
                <a:pPr>
                  <a:defRPr lang="en-IN"/>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'F11'!$A$3:$A$15</c:f>
              <c:numCache>
                <c:formatCode>[$-409]mmm\-yy;@</c:formatCode>
                <c:ptCount val="13"/>
                <c:pt idx="1">
                  <c:v>43034</c:v>
                </c:pt>
                <c:pt idx="2">
                  <c:v>43066</c:v>
                </c:pt>
                <c:pt idx="3">
                  <c:v>43098</c:v>
                </c:pt>
                <c:pt idx="4">
                  <c:v>43130</c:v>
                </c:pt>
                <c:pt idx="5">
                  <c:v>43134</c:v>
                </c:pt>
                <c:pt idx="6">
                  <c:v>43163</c:v>
                </c:pt>
                <c:pt idx="7">
                  <c:v>43220</c:v>
                </c:pt>
                <c:pt idx="8">
                  <c:v>43221</c:v>
                </c:pt>
                <c:pt idx="9">
                  <c:v>43252</c:v>
                </c:pt>
                <c:pt idx="10">
                  <c:v>43282</c:v>
                </c:pt>
                <c:pt idx="11">
                  <c:v>43313</c:v>
                </c:pt>
                <c:pt idx="12">
                  <c:v>43344</c:v>
                </c:pt>
              </c:numCache>
            </c:numRef>
          </c:cat>
          <c:val>
            <c:numRef>
              <c:f>'F11'!$C$3:$C$15</c:f>
              <c:numCache>
                <c:formatCode>_(* #,##0_);_(* \(#,##0\);_(* "-"??_);_(@_)</c:formatCode>
                <c:ptCount val="13"/>
                <c:pt idx="1">
                  <c:v>104884.8</c:v>
                </c:pt>
                <c:pt idx="2">
                  <c:v>117574.91</c:v>
                </c:pt>
                <c:pt idx="3">
                  <c:v>103839.72</c:v>
                </c:pt>
                <c:pt idx="4">
                  <c:v>94874.68</c:v>
                </c:pt>
                <c:pt idx="5">
                  <c:v>84030.09</c:v>
                </c:pt>
                <c:pt idx="6">
                  <c:v>136590.73000000001</c:v>
                </c:pt>
                <c:pt idx="7">
                  <c:v>113974.59</c:v>
                </c:pt>
                <c:pt idx="8">
                  <c:v>96401.97</c:v>
                </c:pt>
                <c:pt idx="9">
                  <c:v>103335.67</c:v>
                </c:pt>
                <c:pt idx="10">
                  <c:v>91539.73</c:v>
                </c:pt>
                <c:pt idx="11">
                  <c:v>92454.69</c:v>
                </c:pt>
                <c:pt idx="12">
                  <c:v>85624</c:v>
                </c:pt>
              </c:numCache>
            </c:numRef>
          </c:val>
        </c:ser>
        <c:dLbls>
          <c:showLegendKey val="0"/>
          <c:showVal val="0"/>
          <c:showCatName val="0"/>
          <c:showSerName val="0"/>
          <c:showPercent val="0"/>
          <c:showBubbleSize val="0"/>
        </c:dLbls>
        <c:gapWidth val="150"/>
        <c:axId val="494864960"/>
        <c:axId val="494873584"/>
      </c:barChart>
      <c:dateAx>
        <c:axId val="494864960"/>
        <c:scaling>
          <c:orientation val="minMax"/>
        </c:scaling>
        <c:delete val="0"/>
        <c:axPos val="b"/>
        <c:numFmt formatCode="[$-409]mmm\-yy;@" sourceLinked="1"/>
        <c:majorTickMark val="none"/>
        <c:minorTickMark val="none"/>
        <c:tickLblPos val="nextTo"/>
        <c:txPr>
          <a:bodyPr rot="-5400000" vert="horz"/>
          <a:lstStyle/>
          <a:p>
            <a:pPr>
              <a:defRPr lang="en-IN" cap="none" baseline="0"/>
            </a:pPr>
            <a:endParaRPr lang="en-US"/>
          </a:p>
        </c:txPr>
        <c:crossAx val="494873584"/>
        <c:crosses val="autoZero"/>
        <c:auto val="1"/>
        <c:lblOffset val="100"/>
        <c:baseTimeUnit val="months"/>
      </c:dateAx>
      <c:valAx>
        <c:axId val="494873584"/>
        <c:scaling>
          <c:orientation val="minMax"/>
        </c:scaling>
        <c:delete val="1"/>
        <c:axPos val="l"/>
        <c:numFmt formatCode="_(* #,##0_);_(* \(#,##0\);_(* &quot;-&quot;??_);_(@_)" sourceLinked="1"/>
        <c:majorTickMark val="out"/>
        <c:minorTickMark val="none"/>
        <c:tickLblPos val="none"/>
        <c:crossAx val="494864960"/>
        <c:crosses val="autoZero"/>
        <c:crossBetween val="between"/>
      </c:valAx>
    </c:plotArea>
    <c:legend>
      <c:legendPos val="b"/>
      <c:layout>
        <c:manualLayout>
          <c:xMode val="edge"/>
          <c:yMode val="edge"/>
          <c:x val="0.407783789767931"/>
          <c:y val="0.88040341765789909"/>
          <c:w val="0.15087916840112744"/>
          <c:h val="6.8697515018857125E-2"/>
        </c:manualLayout>
      </c:layout>
      <c:overlay val="0"/>
      <c:spPr>
        <a:ln w="3175">
          <a:solidFill>
            <a:srgbClr val="F79646">
              <a:lumMod val="50000"/>
            </a:srgbClr>
          </a:solidFill>
        </a:ln>
      </c:spPr>
      <c:txPr>
        <a:bodyPr/>
        <a:lstStyle/>
        <a:p>
          <a:pPr>
            <a:defRPr lang="en-IN"/>
          </a:pPr>
          <a:endParaRPr lang="en-US"/>
        </a:p>
      </c:txPr>
    </c:legend>
    <c:plotVisOnly val="1"/>
    <c:dispBlanksAs val="gap"/>
    <c:showDLblsOverMax val="0"/>
  </c:chart>
  <c:spPr>
    <a:ln w="3175">
      <a:solidFill>
        <a:srgbClr val="F79646">
          <a:lumMod val="50000"/>
        </a:srgbClr>
      </a:solidFill>
    </a:ln>
  </c:spPr>
  <c:txPr>
    <a:bodyPr/>
    <a:lstStyle/>
    <a:p>
      <a:pPr>
        <a:defRPr sz="900" b="1" i="0" baseline="0">
          <a:latin typeface="Garamond"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049422852158805E-2"/>
          <c:y val="1.7634166896961276E-2"/>
          <c:w val="0.94887912865055546"/>
          <c:h val="0.75365404142000514"/>
        </c:manualLayout>
      </c:layout>
      <c:barChart>
        <c:barDir val="col"/>
        <c:grouping val="clustered"/>
        <c:varyColors val="0"/>
        <c:ser>
          <c:idx val="0"/>
          <c:order val="0"/>
          <c:tx>
            <c:strRef>
              <c:f>'F12'!$B$2</c:f>
              <c:strCache>
                <c:ptCount val="1"/>
                <c:pt idx="0">
                  <c:v>Equity</c:v>
                </c:pt>
              </c:strCache>
            </c:strRef>
          </c:tx>
          <c:spPr>
            <a:solidFill>
              <a:schemeClr val="accent4">
                <a:lumMod val="75000"/>
              </a:schemeClr>
            </a:solidFill>
          </c:spPr>
          <c:invertIfNegative val="0"/>
          <c:cat>
            <c:numRef>
              <c:f>'F12'!$A$3:$A$14</c:f>
              <c:numCache>
                <c:formatCode>[$-409]mmm\-yy;@</c:formatCode>
                <c:ptCount val="12"/>
                <c:pt idx="0">
                  <c:v>43032</c:v>
                </c:pt>
                <c:pt idx="1">
                  <c:v>43064</c:v>
                </c:pt>
                <c:pt idx="2">
                  <c:v>43096</c:v>
                </c:pt>
                <c:pt idx="3">
                  <c:v>43128</c:v>
                </c:pt>
                <c:pt idx="4">
                  <c:v>43132</c:v>
                </c:pt>
                <c:pt idx="5">
                  <c:v>43160</c:v>
                </c:pt>
                <c:pt idx="6">
                  <c:v>43220</c:v>
                </c:pt>
                <c:pt idx="7">
                  <c:v>43221</c:v>
                </c:pt>
                <c:pt idx="8">
                  <c:v>43252</c:v>
                </c:pt>
                <c:pt idx="9">
                  <c:v>43282</c:v>
                </c:pt>
                <c:pt idx="10">
                  <c:v>43313</c:v>
                </c:pt>
                <c:pt idx="11">
                  <c:v>43344</c:v>
                </c:pt>
              </c:numCache>
            </c:numRef>
          </c:cat>
          <c:val>
            <c:numRef>
              <c:f>'F12'!$B$3:$B$14</c:f>
              <c:numCache>
                <c:formatCode>#,##0</c:formatCode>
                <c:ptCount val="12"/>
                <c:pt idx="0">
                  <c:v>9990.5</c:v>
                </c:pt>
                <c:pt idx="1">
                  <c:v>12080.1</c:v>
                </c:pt>
                <c:pt idx="2">
                  <c:v>8333.2999999999993</c:v>
                </c:pt>
                <c:pt idx="3">
                  <c:v>9023.16</c:v>
                </c:pt>
                <c:pt idx="4">
                  <c:v>16180.88</c:v>
                </c:pt>
                <c:pt idx="5" formatCode="[&gt;9999999]##\,##\,##\,##0;[&gt;99999]##\,##\,##0;##,##0">
                  <c:v>9255.51</c:v>
                </c:pt>
                <c:pt idx="6" formatCode="[&gt;9999999]##\,##\,##\,##0;[&gt;99999]##\,##\,##0;##,##0">
                  <c:v>11293.46</c:v>
                </c:pt>
                <c:pt idx="7" formatCode="[&gt;9999999]##\,##\,##\,##0;[&gt;99999]##\,##\,##0;##,##0">
                  <c:v>13618.82</c:v>
                </c:pt>
                <c:pt idx="8" formatCode="[&gt;9999999]##\,##\,##\,##0;[&gt;99999]##\,##\,##0;##,##0">
                  <c:v>9231.2800000000007</c:v>
                </c:pt>
                <c:pt idx="9" formatCode="[&gt;9999999]##\,##\,##\,##0;[&gt;99999]##\,##\,##0;##,##0">
                  <c:v>3995.02</c:v>
                </c:pt>
                <c:pt idx="10" formatCode="[&gt;9999999]##\,##\,##\,##0;[&gt;99999]##\,##\,##0;##,##0">
                  <c:v>4094.53</c:v>
                </c:pt>
                <c:pt idx="11" formatCode="[&gt;9999999]##\,##\,##\,##0;[&gt;99999]##\,##\,##0;##,##0">
                  <c:v>11638.18</c:v>
                </c:pt>
              </c:numCache>
            </c:numRef>
          </c:val>
        </c:ser>
        <c:ser>
          <c:idx val="1"/>
          <c:order val="1"/>
          <c:tx>
            <c:strRef>
              <c:f>'F12'!$C$2</c:f>
              <c:strCache>
                <c:ptCount val="1"/>
                <c:pt idx="0">
                  <c:v>Debt</c:v>
                </c:pt>
              </c:strCache>
            </c:strRef>
          </c:tx>
          <c:invertIfNegative val="0"/>
          <c:cat>
            <c:numRef>
              <c:f>'F12'!$A$3:$A$14</c:f>
              <c:numCache>
                <c:formatCode>[$-409]mmm\-yy;@</c:formatCode>
                <c:ptCount val="12"/>
                <c:pt idx="0">
                  <c:v>43032</c:v>
                </c:pt>
                <c:pt idx="1">
                  <c:v>43064</c:v>
                </c:pt>
                <c:pt idx="2">
                  <c:v>43096</c:v>
                </c:pt>
                <c:pt idx="3">
                  <c:v>43128</c:v>
                </c:pt>
                <c:pt idx="4">
                  <c:v>43132</c:v>
                </c:pt>
                <c:pt idx="5">
                  <c:v>43160</c:v>
                </c:pt>
                <c:pt idx="6">
                  <c:v>43220</c:v>
                </c:pt>
                <c:pt idx="7">
                  <c:v>43221</c:v>
                </c:pt>
                <c:pt idx="8">
                  <c:v>43252</c:v>
                </c:pt>
                <c:pt idx="9">
                  <c:v>43282</c:v>
                </c:pt>
                <c:pt idx="10">
                  <c:v>43313</c:v>
                </c:pt>
                <c:pt idx="11">
                  <c:v>43344</c:v>
                </c:pt>
              </c:numCache>
            </c:numRef>
          </c:cat>
          <c:val>
            <c:numRef>
              <c:f>'F12'!$C$3:$C$14</c:f>
              <c:numCache>
                <c:formatCode>#,##0</c:formatCode>
                <c:ptCount val="12"/>
                <c:pt idx="0">
                  <c:v>29088.49</c:v>
                </c:pt>
                <c:pt idx="1">
                  <c:v>41978.37</c:v>
                </c:pt>
                <c:pt idx="2">
                  <c:v>18997.55</c:v>
                </c:pt>
                <c:pt idx="3">
                  <c:v>22240.3</c:v>
                </c:pt>
                <c:pt idx="4">
                  <c:v>33659.07</c:v>
                </c:pt>
                <c:pt idx="5" formatCode="[&gt;9999999]##\,##\,##\,##0;[&gt;99999]##\,##\,##0;##,##0">
                  <c:v>37977.51</c:v>
                </c:pt>
                <c:pt idx="6" formatCode="[&gt;9999999]##\,##\,##\,##0;[&gt;99999]##\,##\,##0;##,##0">
                  <c:v>20164.82</c:v>
                </c:pt>
                <c:pt idx="7" formatCode="[&gt;9999999]##\,##\,##\,##0;[&gt;99999]##\,##\,##0;##,##0">
                  <c:v>-14085.55</c:v>
                </c:pt>
                <c:pt idx="8" formatCode="[&gt;9999999]##\,##\,##\,##0;[&gt;99999]##\,##\,##0;##,##0">
                  <c:v>39845.22</c:v>
                </c:pt>
                <c:pt idx="9" formatCode="[&gt;9999999]##\,##\,##\,##0;[&gt;99999]##\,##\,##0;##,##0">
                  <c:v>-3635.21</c:v>
                </c:pt>
                <c:pt idx="10" formatCode="[&gt;9999999]##\,##\,##\,##0;[&gt;99999]##\,##\,##0;##,##0">
                  <c:v>35744.36</c:v>
                </c:pt>
                <c:pt idx="11" formatCode="[&gt;9999999]##\,##\,##\,##0;[&gt;99999]##\,##\,##0;##,##0">
                  <c:v>18686.48</c:v>
                </c:pt>
              </c:numCache>
            </c:numRef>
          </c:val>
        </c:ser>
        <c:dLbls>
          <c:showLegendKey val="0"/>
          <c:showVal val="0"/>
          <c:showCatName val="0"/>
          <c:showSerName val="0"/>
          <c:showPercent val="0"/>
          <c:showBubbleSize val="0"/>
        </c:dLbls>
        <c:gapWidth val="150"/>
        <c:axId val="494873976"/>
        <c:axId val="494870840"/>
      </c:barChart>
      <c:lineChart>
        <c:grouping val="standard"/>
        <c:varyColors val="0"/>
        <c:ser>
          <c:idx val="2"/>
          <c:order val="2"/>
          <c:tx>
            <c:strRef>
              <c:f>'F12'!$D$2</c:f>
              <c:strCache>
                <c:ptCount val="1"/>
                <c:pt idx="0">
                  <c:v>Total</c:v>
                </c:pt>
              </c:strCache>
            </c:strRef>
          </c:tx>
          <c:marker>
            <c:symbol val="diamond"/>
            <c:size val="4"/>
            <c:spPr>
              <a:solidFill>
                <a:schemeClr val="tx2"/>
              </a:solidFill>
              <a:ln cap="sq">
                <a:solidFill>
                  <a:schemeClr val="tx2"/>
                </a:solidFill>
                <a:bevel/>
                <a:headEnd type="diamond"/>
              </a:ln>
            </c:spPr>
          </c:marker>
          <c:cat>
            <c:numRef>
              <c:f>'F12'!$A$3:$A$14</c:f>
              <c:numCache>
                <c:formatCode>[$-409]mmm\-yy;@</c:formatCode>
                <c:ptCount val="12"/>
                <c:pt idx="0">
                  <c:v>43032</c:v>
                </c:pt>
                <c:pt idx="1">
                  <c:v>43064</c:v>
                </c:pt>
                <c:pt idx="2">
                  <c:v>43096</c:v>
                </c:pt>
                <c:pt idx="3">
                  <c:v>43128</c:v>
                </c:pt>
                <c:pt idx="4">
                  <c:v>43132</c:v>
                </c:pt>
                <c:pt idx="5">
                  <c:v>43160</c:v>
                </c:pt>
                <c:pt idx="6">
                  <c:v>43220</c:v>
                </c:pt>
                <c:pt idx="7">
                  <c:v>43221</c:v>
                </c:pt>
                <c:pt idx="8">
                  <c:v>43252</c:v>
                </c:pt>
                <c:pt idx="9">
                  <c:v>43282</c:v>
                </c:pt>
                <c:pt idx="10">
                  <c:v>43313</c:v>
                </c:pt>
                <c:pt idx="11">
                  <c:v>43344</c:v>
                </c:pt>
              </c:numCache>
            </c:numRef>
          </c:cat>
          <c:val>
            <c:numRef>
              <c:f>'F12'!$D$3:$D$14</c:f>
              <c:numCache>
                <c:formatCode>[&gt;9999999]##\,##\,##\,##0;[&gt;99999]##\,##\,##0;##,##0</c:formatCode>
                <c:ptCount val="12"/>
                <c:pt idx="0">
                  <c:v>39078.990000000005</c:v>
                </c:pt>
                <c:pt idx="1">
                  <c:v>54058.47</c:v>
                </c:pt>
                <c:pt idx="2">
                  <c:v>27330.85</c:v>
                </c:pt>
                <c:pt idx="3">
                  <c:v>31263.46</c:v>
                </c:pt>
                <c:pt idx="4">
                  <c:v>49839.95</c:v>
                </c:pt>
                <c:pt idx="5">
                  <c:v>47233.020000000004</c:v>
                </c:pt>
                <c:pt idx="6">
                  <c:v>31458.28</c:v>
                </c:pt>
                <c:pt idx="7">
                  <c:v>-466.72999999999956</c:v>
                </c:pt>
                <c:pt idx="8">
                  <c:v>49076.5</c:v>
                </c:pt>
                <c:pt idx="9">
                  <c:v>359.80999999999995</c:v>
                </c:pt>
                <c:pt idx="10">
                  <c:v>39838.89</c:v>
                </c:pt>
                <c:pt idx="11">
                  <c:v>30324.66</c:v>
                </c:pt>
              </c:numCache>
            </c:numRef>
          </c:val>
          <c:smooth val="0"/>
        </c:ser>
        <c:dLbls>
          <c:showLegendKey val="0"/>
          <c:showVal val="0"/>
          <c:showCatName val="0"/>
          <c:showSerName val="0"/>
          <c:showPercent val="0"/>
          <c:showBubbleSize val="0"/>
        </c:dLbls>
        <c:marker val="1"/>
        <c:smooth val="0"/>
        <c:axId val="494873976"/>
        <c:axId val="494870840"/>
      </c:lineChart>
      <c:catAx>
        <c:axId val="494873976"/>
        <c:scaling>
          <c:orientation val="minMax"/>
        </c:scaling>
        <c:delete val="0"/>
        <c:axPos val="b"/>
        <c:numFmt formatCode="[$-409]mmm\-yy;@" sourceLinked="1"/>
        <c:majorTickMark val="none"/>
        <c:minorTickMark val="none"/>
        <c:tickLblPos val="low"/>
        <c:txPr>
          <a:bodyPr rot="-5400000" vert="horz" anchor="ctr" anchorCtr="0"/>
          <a:lstStyle/>
          <a:p>
            <a:pPr>
              <a:defRPr lang="en-IN"/>
            </a:pPr>
            <a:endParaRPr lang="en-US"/>
          </a:p>
        </c:txPr>
        <c:crossAx val="494870840"/>
        <c:crosses val="autoZero"/>
        <c:auto val="0"/>
        <c:lblAlgn val="ctr"/>
        <c:lblOffset val="1"/>
        <c:noMultiLvlLbl val="0"/>
      </c:catAx>
      <c:valAx>
        <c:axId val="494870840"/>
        <c:scaling>
          <c:orientation val="minMax"/>
        </c:scaling>
        <c:delete val="0"/>
        <c:axPos val="l"/>
        <c:numFmt formatCode="#,##0" sourceLinked="1"/>
        <c:majorTickMark val="out"/>
        <c:minorTickMark val="none"/>
        <c:tickLblPos val="nextTo"/>
        <c:crossAx val="494873976"/>
        <c:crosses val="autoZero"/>
        <c:crossBetween val="between"/>
      </c:valAx>
    </c:plotArea>
    <c:legend>
      <c:legendPos val="b"/>
      <c:layout>
        <c:manualLayout>
          <c:xMode val="edge"/>
          <c:yMode val="edge"/>
          <c:x val="0.36607182630193003"/>
          <c:y val="0.91854172483758678"/>
          <c:w val="0.3657829633147584"/>
          <c:h val="6.9774466716542874E-2"/>
        </c:manualLayout>
      </c:layout>
      <c:overlay val="0"/>
      <c:spPr>
        <a:noFill/>
        <a:ln w="3175">
          <a:noFill/>
        </a:ln>
      </c:spPr>
      <c:txPr>
        <a:bodyPr/>
        <a:lstStyle/>
        <a:p>
          <a:pPr>
            <a:defRPr lang="en-IN"/>
          </a:pPr>
          <a:endParaRPr lang="en-US"/>
        </a:p>
      </c:txPr>
    </c:legend>
    <c:plotVisOnly val="1"/>
    <c:dispBlanksAs val="gap"/>
    <c:showDLblsOverMax val="0"/>
  </c:chart>
  <c:spPr>
    <a:solidFill>
      <a:schemeClr val="bg1"/>
    </a:solidFill>
    <a:ln w="3175">
      <a:solidFill>
        <a:schemeClr val="accent6"/>
      </a:solidFill>
    </a:ln>
  </c:spPr>
  <c:txPr>
    <a:bodyPr/>
    <a:lstStyle/>
    <a:p>
      <a:pPr>
        <a:defRPr sz="900" b="1" i="0" baseline="0">
          <a:latin typeface="Garamond"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'F13'!$B$3</c:f>
              <c:strCache>
                <c:ptCount val="1"/>
                <c:pt idx="0">
                  <c:v>Equity (LHS)</c:v>
                </c:pt>
              </c:strCache>
            </c:strRef>
          </c:tx>
          <c:spPr>
            <a:solidFill>
              <a:schemeClr val="accent1"/>
            </a:solidFill>
            <a:ln>
              <a:noFill/>
            </a:ln>
            <a:effectLst/>
          </c:spPr>
          <c:invertIfNegative val="0"/>
          <c:cat>
            <c:numRef>
              <c:f>'F13'!$A$4:$A$15</c:f>
              <c:numCache>
                <c:formatCode>[$-409]mmm\-yy;@</c:formatCode>
                <c:ptCount val="12"/>
                <c:pt idx="0">
                  <c:v>43034</c:v>
                </c:pt>
                <c:pt idx="1">
                  <c:v>43066</c:v>
                </c:pt>
                <c:pt idx="2">
                  <c:v>43098</c:v>
                </c:pt>
                <c:pt idx="3">
                  <c:v>43130</c:v>
                </c:pt>
                <c:pt idx="4">
                  <c:v>43134</c:v>
                </c:pt>
                <c:pt idx="5">
                  <c:v>43163</c:v>
                </c:pt>
                <c:pt idx="6">
                  <c:v>43220</c:v>
                </c:pt>
                <c:pt idx="7">
                  <c:v>43221</c:v>
                </c:pt>
                <c:pt idx="8">
                  <c:v>43252</c:v>
                </c:pt>
                <c:pt idx="9">
                  <c:v>43282</c:v>
                </c:pt>
                <c:pt idx="10">
                  <c:v>43313</c:v>
                </c:pt>
                <c:pt idx="11">
                  <c:v>43344</c:v>
                </c:pt>
              </c:numCache>
            </c:numRef>
          </c:cat>
          <c:val>
            <c:numRef>
              <c:f>'F13'!$B$4:$B$15</c:f>
              <c:numCache>
                <c:formatCode>#,##0</c:formatCode>
                <c:ptCount val="12"/>
                <c:pt idx="0">
                  <c:v>3055.44</c:v>
                </c:pt>
                <c:pt idx="1">
                  <c:v>19727.650000000001</c:v>
                </c:pt>
                <c:pt idx="2">
                  <c:v>-5882.6799999999985</c:v>
                </c:pt>
                <c:pt idx="3">
                  <c:v>13781.460000000001</c:v>
                </c:pt>
                <c:pt idx="4">
                  <c:v>-11423</c:v>
                </c:pt>
                <c:pt idx="5">
                  <c:v>11654</c:v>
                </c:pt>
                <c:pt idx="6">
                  <c:v>-5552</c:v>
                </c:pt>
                <c:pt idx="7">
                  <c:v>-10060</c:v>
                </c:pt>
                <c:pt idx="8">
                  <c:v>-4831</c:v>
                </c:pt>
                <c:pt idx="9">
                  <c:v>2264</c:v>
                </c:pt>
                <c:pt idx="10">
                  <c:v>1775.41</c:v>
                </c:pt>
                <c:pt idx="11">
                  <c:v>-10824.7</c:v>
                </c:pt>
              </c:numCache>
            </c:numRef>
          </c:val>
        </c:ser>
        <c:ser>
          <c:idx val="1"/>
          <c:order val="1"/>
          <c:tx>
            <c:strRef>
              <c:f>'F13'!$C$3</c:f>
              <c:strCache>
                <c:ptCount val="1"/>
                <c:pt idx="0">
                  <c:v>Debt (LHS)</c:v>
                </c:pt>
              </c:strCache>
            </c:strRef>
          </c:tx>
          <c:spPr>
            <a:solidFill>
              <a:schemeClr val="accent2"/>
            </a:solidFill>
            <a:ln>
              <a:noFill/>
            </a:ln>
            <a:effectLst/>
          </c:spPr>
          <c:invertIfNegative val="0"/>
          <c:cat>
            <c:numRef>
              <c:f>'F13'!$A$4:$A$15</c:f>
              <c:numCache>
                <c:formatCode>[$-409]mmm\-yy;@</c:formatCode>
                <c:ptCount val="12"/>
                <c:pt idx="0">
                  <c:v>43034</c:v>
                </c:pt>
                <c:pt idx="1">
                  <c:v>43066</c:v>
                </c:pt>
                <c:pt idx="2">
                  <c:v>43098</c:v>
                </c:pt>
                <c:pt idx="3">
                  <c:v>43130</c:v>
                </c:pt>
                <c:pt idx="4">
                  <c:v>43134</c:v>
                </c:pt>
                <c:pt idx="5">
                  <c:v>43163</c:v>
                </c:pt>
                <c:pt idx="6">
                  <c:v>43220</c:v>
                </c:pt>
                <c:pt idx="7">
                  <c:v>43221</c:v>
                </c:pt>
                <c:pt idx="8">
                  <c:v>43252</c:v>
                </c:pt>
                <c:pt idx="9">
                  <c:v>43282</c:v>
                </c:pt>
                <c:pt idx="10">
                  <c:v>43313</c:v>
                </c:pt>
                <c:pt idx="11">
                  <c:v>43344</c:v>
                </c:pt>
              </c:numCache>
            </c:numRef>
          </c:cat>
          <c:val>
            <c:numRef>
              <c:f>'F13'!$C$4:$C$15</c:f>
              <c:numCache>
                <c:formatCode>#,##0</c:formatCode>
                <c:ptCount val="12"/>
                <c:pt idx="0">
                  <c:v>16063.65</c:v>
                </c:pt>
                <c:pt idx="1">
                  <c:v>530.53999999999962</c:v>
                </c:pt>
                <c:pt idx="2">
                  <c:v>2350.23</c:v>
                </c:pt>
                <c:pt idx="3">
                  <c:v>8522.92</c:v>
                </c:pt>
                <c:pt idx="4">
                  <c:v>-253.85000000000059</c:v>
                </c:pt>
                <c:pt idx="5">
                  <c:v>-9044</c:v>
                </c:pt>
                <c:pt idx="6">
                  <c:v>-10036</c:v>
                </c:pt>
                <c:pt idx="7">
                  <c:v>-19654</c:v>
                </c:pt>
                <c:pt idx="8">
                  <c:v>-10970</c:v>
                </c:pt>
                <c:pt idx="9">
                  <c:v>43</c:v>
                </c:pt>
                <c:pt idx="10">
                  <c:v>3414.07</c:v>
                </c:pt>
                <c:pt idx="11">
                  <c:v>-10198.469999999999</c:v>
                </c:pt>
              </c:numCache>
            </c:numRef>
          </c:val>
        </c:ser>
        <c:dLbls>
          <c:showLegendKey val="0"/>
          <c:showVal val="0"/>
          <c:showCatName val="0"/>
          <c:showSerName val="0"/>
          <c:showPercent val="0"/>
          <c:showBubbleSize val="0"/>
        </c:dLbls>
        <c:gapWidth val="219"/>
        <c:axId val="494872016"/>
        <c:axId val="494871232"/>
      </c:barChart>
      <c:barChart>
        <c:barDir val="col"/>
        <c:grouping val="clustered"/>
        <c:varyColors val="0"/>
        <c:ser>
          <c:idx val="2"/>
          <c:order val="2"/>
          <c:tx>
            <c:strRef>
              <c:f>'F13'!$D$3</c:f>
              <c:strCache>
                <c:ptCount val="1"/>
                <c:pt idx="0">
                  <c:v>Hybrid (RHS)</c:v>
                </c:pt>
              </c:strCache>
            </c:strRef>
          </c:tx>
          <c:spPr>
            <a:solidFill>
              <a:schemeClr val="accent3"/>
            </a:solidFill>
            <a:ln>
              <a:noFill/>
            </a:ln>
            <a:effectLst/>
          </c:spPr>
          <c:invertIfNegative val="0"/>
          <c:cat>
            <c:numRef>
              <c:f>'F13'!$A$4:$A$15</c:f>
              <c:numCache>
                <c:formatCode>[$-409]mmm\-yy;@</c:formatCode>
                <c:ptCount val="12"/>
                <c:pt idx="0">
                  <c:v>43034</c:v>
                </c:pt>
                <c:pt idx="1">
                  <c:v>43066</c:v>
                </c:pt>
                <c:pt idx="2">
                  <c:v>43098</c:v>
                </c:pt>
                <c:pt idx="3">
                  <c:v>43130</c:v>
                </c:pt>
                <c:pt idx="4">
                  <c:v>43134</c:v>
                </c:pt>
                <c:pt idx="5">
                  <c:v>43163</c:v>
                </c:pt>
                <c:pt idx="6">
                  <c:v>43220</c:v>
                </c:pt>
                <c:pt idx="7">
                  <c:v>43221</c:v>
                </c:pt>
                <c:pt idx="8">
                  <c:v>43252</c:v>
                </c:pt>
                <c:pt idx="9">
                  <c:v>43282</c:v>
                </c:pt>
                <c:pt idx="10">
                  <c:v>43313</c:v>
                </c:pt>
                <c:pt idx="11">
                  <c:v>43344</c:v>
                </c:pt>
              </c:numCache>
            </c:numRef>
          </c:cat>
          <c:val>
            <c:numRef>
              <c:f>'F13'!$D$4:$D$15</c:f>
              <c:numCache>
                <c:formatCode>#,##0</c:formatCode>
                <c:ptCount val="12"/>
                <c:pt idx="0">
                  <c:v>0</c:v>
                </c:pt>
                <c:pt idx="1">
                  <c:v>0</c:v>
                </c:pt>
                <c:pt idx="2">
                  <c:v>-11.33</c:v>
                </c:pt>
                <c:pt idx="3">
                  <c:v>-32.42</c:v>
                </c:pt>
                <c:pt idx="4">
                  <c:v>2.8</c:v>
                </c:pt>
                <c:pt idx="5">
                  <c:v>51</c:v>
                </c:pt>
                <c:pt idx="6">
                  <c:v>26</c:v>
                </c:pt>
                <c:pt idx="7">
                  <c:v>-61</c:v>
                </c:pt>
                <c:pt idx="8">
                  <c:v>7</c:v>
                </c:pt>
                <c:pt idx="9">
                  <c:v>-43</c:v>
                </c:pt>
                <c:pt idx="10">
                  <c:v>-43.94</c:v>
                </c:pt>
                <c:pt idx="11">
                  <c:v>-11.37</c:v>
                </c:pt>
              </c:numCache>
            </c:numRef>
          </c:val>
        </c:ser>
        <c:dLbls>
          <c:showLegendKey val="0"/>
          <c:showVal val="0"/>
          <c:showCatName val="0"/>
          <c:showSerName val="0"/>
          <c:showPercent val="0"/>
          <c:showBubbleSize val="0"/>
        </c:dLbls>
        <c:gapWidth val="219"/>
        <c:axId val="491530824"/>
        <c:axId val="494872800"/>
      </c:barChart>
      <c:lineChart>
        <c:grouping val="standard"/>
        <c:varyColors val="0"/>
        <c:ser>
          <c:idx val="3"/>
          <c:order val="3"/>
          <c:tx>
            <c:strRef>
              <c:f>'F13'!$E$3</c:f>
              <c:strCache>
                <c:ptCount val="1"/>
                <c:pt idx="0">
                  <c:v>Total (LHS)</c:v>
                </c:pt>
              </c:strCache>
            </c:strRef>
          </c:tx>
          <c:spPr>
            <a:ln w="28575" cap="rnd">
              <a:solidFill>
                <a:schemeClr val="accent4"/>
              </a:solidFill>
              <a:round/>
            </a:ln>
            <a:effectLst/>
          </c:spPr>
          <c:marker>
            <c:symbol val="none"/>
          </c:marker>
          <c:cat>
            <c:numRef>
              <c:f>'F13'!$A$4:$A$15</c:f>
              <c:numCache>
                <c:formatCode>[$-409]mmm\-yy;@</c:formatCode>
                <c:ptCount val="12"/>
                <c:pt idx="0">
                  <c:v>43034</c:v>
                </c:pt>
                <c:pt idx="1">
                  <c:v>43066</c:v>
                </c:pt>
                <c:pt idx="2">
                  <c:v>43098</c:v>
                </c:pt>
                <c:pt idx="3">
                  <c:v>43130</c:v>
                </c:pt>
                <c:pt idx="4">
                  <c:v>43134</c:v>
                </c:pt>
                <c:pt idx="5">
                  <c:v>43163</c:v>
                </c:pt>
                <c:pt idx="6">
                  <c:v>43220</c:v>
                </c:pt>
                <c:pt idx="7">
                  <c:v>43221</c:v>
                </c:pt>
                <c:pt idx="8">
                  <c:v>43252</c:v>
                </c:pt>
                <c:pt idx="9">
                  <c:v>43282</c:v>
                </c:pt>
                <c:pt idx="10">
                  <c:v>43313</c:v>
                </c:pt>
                <c:pt idx="11">
                  <c:v>43344</c:v>
                </c:pt>
              </c:numCache>
            </c:numRef>
          </c:cat>
          <c:val>
            <c:numRef>
              <c:f>'F13'!$E$4:$E$15</c:f>
              <c:numCache>
                <c:formatCode>#,##0</c:formatCode>
                <c:ptCount val="12"/>
                <c:pt idx="0">
                  <c:v>19119.09</c:v>
                </c:pt>
                <c:pt idx="1">
                  <c:v>20258.189999999999</c:v>
                </c:pt>
                <c:pt idx="2">
                  <c:v>-3543.7799999999997</c:v>
                </c:pt>
                <c:pt idx="3">
                  <c:v>22271.960000000003</c:v>
                </c:pt>
                <c:pt idx="4">
                  <c:v>-11674.050000000001</c:v>
                </c:pt>
                <c:pt idx="5">
                  <c:v>2661</c:v>
                </c:pt>
                <c:pt idx="6">
                  <c:v>-15561</c:v>
                </c:pt>
                <c:pt idx="7">
                  <c:v>-29776</c:v>
                </c:pt>
                <c:pt idx="8">
                  <c:v>-15795</c:v>
                </c:pt>
                <c:pt idx="9">
                  <c:v>2264</c:v>
                </c:pt>
                <c:pt idx="10">
                  <c:v>5145.5400000000009</c:v>
                </c:pt>
                <c:pt idx="11">
                  <c:v>-21034.539999999997</c:v>
                </c:pt>
              </c:numCache>
            </c:numRef>
          </c:val>
          <c:smooth val="0"/>
        </c:ser>
        <c:dLbls>
          <c:showLegendKey val="0"/>
          <c:showVal val="0"/>
          <c:showCatName val="0"/>
          <c:showSerName val="0"/>
          <c:showPercent val="0"/>
          <c:showBubbleSize val="0"/>
        </c:dLbls>
        <c:marker val="1"/>
        <c:smooth val="0"/>
        <c:axId val="494872016"/>
        <c:axId val="494871232"/>
      </c:lineChart>
      <c:dateAx>
        <c:axId val="494872016"/>
        <c:scaling>
          <c:orientation val="minMax"/>
        </c:scaling>
        <c:delete val="0"/>
        <c:axPos val="b"/>
        <c:numFmt formatCode="[$-409]mmm\-yy;@" sourceLinked="1"/>
        <c:majorTickMark val="out"/>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494871232"/>
        <c:crosses val="autoZero"/>
        <c:auto val="1"/>
        <c:lblOffset val="100"/>
        <c:baseTimeUnit val="months"/>
      </c:dateAx>
      <c:valAx>
        <c:axId val="494871232"/>
        <c:scaling>
          <c:orientation val="minMax"/>
          <c:min val="-3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494872016"/>
        <c:crosses val="autoZero"/>
        <c:crossBetween val="between"/>
      </c:valAx>
      <c:valAx>
        <c:axId val="494872800"/>
        <c:scaling>
          <c:orientation val="minMax"/>
          <c:max val="300"/>
          <c:min val="-3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491530824"/>
        <c:crosses val="max"/>
        <c:crossBetween val="between"/>
      </c:valAx>
      <c:dateAx>
        <c:axId val="491530824"/>
        <c:scaling>
          <c:orientation val="minMax"/>
        </c:scaling>
        <c:delete val="1"/>
        <c:axPos val="b"/>
        <c:numFmt formatCode="[$-409]mmm\-yy;@" sourceLinked="1"/>
        <c:majorTickMark val="out"/>
        <c:minorTickMark val="none"/>
        <c:tickLblPos val="nextTo"/>
        <c:crossAx val="494872800"/>
        <c:crossesAt val="0"/>
        <c:auto val="1"/>
        <c:lblOffset val="100"/>
        <c:baseTimeUnit val="days"/>
        <c:majorUnit val="1"/>
        <c:minorUnit val="1"/>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Palatino Linotype" panose="02040502050505030304" pitchFamily="18"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9954889858322"/>
          <c:y val="3.7421959310923701E-2"/>
          <c:w val="0.80321091036782566"/>
          <c:h val="0.65934684744964323"/>
        </c:manualLayout>
      </c:layout>
      <c:barChart>
        <c:barDir val="col"/>
        <c:grouping val="clustered"/>
        <c:varyColors val="0"/>
        <c:ser>
          <c:idx val="0"/>
          <c:order val="0"/>
          <c:tx>
            <c:strRef>
              <c:f>'F14'!$D$5</c:f>
              <c:strCache>
                <c:ptCount val="1"/>
                <c:pt idx="0">
                  <c:v>Amount (Rs. crore) - (LHS)</c:v>
                </c:pt>
              </c:strCache>
            </c:strRef>
          </c:tx>
          <c:spPr>
            <a:solidFill>
              <a:schemeClr val="accent6">
                <a:lumMod val="75000"/>
              </a:schemeClr>
            </a:solidFill>
            <a:ln>
              <a:noFill/>
            </a:ln>
            <a:effectLst/>
          </c:spPr>
          <c:invertIfNegative val="0"/>
          <c:dLbls>
            <c:dLbl>
              <c:idx val="10"/>
              <c:layout>
                <c:manualLayout>
                  <c:x val="0"/>
                  <c:y val="-6.758307149063878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'F14'!$C$7:$C$18</c:f>
              <c:numCache>
                <c:formatCode>[$-409]mmm\-yy;@</c:formatCode>
                <c:ptCount val="12"/>
                <c:pt idx="0">
                  <c:v>43009</c:v>
                </c:pt>
                <c:pt idx="1">
                  <c:v>43040</c:v>
                </c:pt>
                <c:pt idx="2">
                  <c:v>43070</c:v>
                </c:pt>
                <c:pt idx="3">
                  <c:v>43101</c:v>
                </c:pt>
                <c:pt idx="4">
                  <c:v>43132</c:v>
                </c:pt>
                <c:pt idx="5">
                  <c:v>43160</c:v>
                </c:pt>
                <c:pt idx="6">
                  <c:v>43220</c:v>
                </c:pt>
                <c:pt idx="7">
                  <c:v>43249</c:v>
                </c:pt>
                <c:pt idx="8">
                  <c:v>43280</c:v>
                </c:pt>
                <c:pt idx="9">
                  <c:v>43310</c:v>
                </c:pt>
                <c:pt idx="10">
                  <c:v>43341</c:v>
                </c:pt>
                <c:pt idx="11">
                  <c:v>43372</c:v>
                </c:pt>
              </c:numCache>
            </c:numRef>
          </c:cat>
          <c:val>
            <c:numRef>
              <c:f>'F14'!$D$7:$D$18</c:f>
              <c:numCache>
                <c:formatCode>[&gt;=10000000]#.##\,##\,##0;[&gt;=100000]#.##\,##0;##,##0</c:formatCode>
                <c:ptCount val="12"/>
                <c:pt idx="0">
                  <c:v>134.02000000000001</c:v>
                </c:pt>
                <c:pt idx="1">
                  <c:v>357.94</c:v>
                </c:pt>
                <c:pt idx="2">
                  <c:v>12.79</c:v>
                </c:pt>
                <c:pt idx="3">
                  <c:v>3.33</c:v>
                </c:pt>
                <c:pt idx="4">
                  <c:v>10.220000000000001</c:v>
                </c:pt>
                <c:pt idx="5">
                  <c:v>9</c:v>
                </c:pt>
                <c:pt idx="6">
                  <c:v>1814.5900000000001</c:v>
                </c:pt>
                <c:pt idx="7">
                  <c:v>463.49</c:v>
                </c:pt>
                <c:pt idx="8">
                  <c:v>959.65</c:v>
                </c:pt>
                <c:pt idx="9">
                  <c:v>3714.2</c:v>
                </c:pt>
                <c:pt idx="10">
                  <c:v>2.23</c:v>
                </c:pt>
                <c:pt idx="11">
                  <c:v>1319</c:v>
                </c:pt>
              </c:numCache>
            </c:numRef>
          </c:val>
        </c:ser>
        <c:dLbls>
          <c:showLegendKey val="0"/>
          <c:showVal val="0"/>
          <c:showCatName val="0"/>
          <c:showSerName val="0"/>
          <c:showPercent val="0"/>
          <c:showBubbleSize val="0"/>
        </c:dLbls>
        <c:gapWidth val="219"/>
        <c:overlap val="-27"/>
        <c:axId val="491529648"/>
        <c:axId val="491533960"/>
      </c:barChart>
      <c:lineChart>
        <c:grouping val="standard"/>
        <c:varyColors val="0"/>
        <c:ser>
          <c:idx val="1"/>
          <c:order val="1"/>
          <c:tx>
            <c:strRef>
              <c:f>'F14'!$E$5</c:f>
              <c:strCache>
                <c:ptCount val="1"/>
                <c:pt idx="0">
                  <c:v>Number of Open Offers - (RHS)</c:v>
                </c:pt>
              </c:strCache>
            </c:strRef>
          </c:tx>
          <c:spPr>
            <a:ln w="28575" cap="rnd">
              <a:solidFill>
                <a:schemeClr val="tx2">
                  <a:lumMod val="60000"/>
                  <a:lumOff val="40000"/>
                </a:schemeClr>
              </a:solidFill>
              <a:round/>
            </a:ln>
            <a:effectLst/>
          </c:spPr>
          <c:marker>
            <c:symbol val="none"/>
          </c:marker>
          <c:dLbls>
            <c:dLbl>
              <c:idx val="10"/>
              <c:layout>
                <c:manualLayout>
                  <c:x val="-4.6002642465922811E-2"/>
                  <c:y val="2.175747746011694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2222222222222223E-2"/>
                  <c:y val="-1.26903553299492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Palatino Linotype" panose="020405020505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'F14'!$C$7:$C$18</c:f>
              <c:numCache>
                <c:formatCode>[$-409]mmm\-yy;@</c:formatCode>
                <c:ptCount val="12"/>
                <c:pt idx="0">
                  <c:v>43009</c:v>
                </c:pt>
                <c:pt idx="1">
                  <c:v>43040</c:v>
                </c:pt>
                <c:pt idx="2">
                  <c:v>43070</c:v>
                </c:pt>
                <c:pt idx="3">
                  <c:v>43101</c:v>
                </c:pt>
                <c:pt idx="4">
                  <c:v>43132</c:v>
                </c:pt>
                <c:pt idx="5">
                  <c:v>43160</c:v>
                </c:pt>
                <c:pt idx="6">
                  <c:v>43220</c:v>
                </c:pt>
                <c:pt idx="7">
                  <c:v>43249</c:v>
                </c:pt>
                <c:pt idx="8">
                  <c:v>43280</c:v>
                </c:pt>
                <c:pt idx="9">
                  <c:v>43310</c:v>
                </c:pt>
                <c:pt idx="10">
                  <c:v>43341</c:v>
                </c:pt>
                <c:pt idx="11">
                  <c:v>43372</c:v>
                </c:pt>
              </c:numCache>
            </c:numRef>
          </c:cat>
          <c:val>
            <c:numRef>
              <c:f>'F14'!$E$7:$E$18</c:f>
              <c:numCache>
                <c:formatCode>[&gt;=10000000]#.##\,##\,##0;[&gt;=100000]#.##\,##0;##,##0</c:formatCode>
                <c:ptCount val="12"/>
                <c:pt idx="0">
                  <c:v>5</c:v>
                </c:pt>
                <c:pt idx="1">
                  <c:v>5</c:v>
                </c:pt>
                <c:pt idx="2">
                  <c:v>4</c:v>
                </c:pt>
                <c:pt idx="3">
                  <c:v>2</c:v>
                </c:pt>
                <c:pt idx="4">
                  <c:v>2</c:v>
                </c:pt>
                <c:pt idx="5">
                  <c:v>4</c:v>
                </c:pt>
                <c:pt idx="6">
                  <c:v>15</c:v>
                </c:pt>
                <c:pt idx="7">
                  <c:v>8</c:v>
                </c:pt>
                <c:pt idx="8">
                  <c:v>9</c:v>
                </c:pt>
                <c:pt idx="9">
                  <c:v>7</c:v>
                </c:pt>
                <c:pt idx="10">
                  <c:v>1</c:v>
                </c:pt>
                <c:pt idx="11">
                  <c:v>3</c:v>
                </c:pt>
              </c:numCache>
            </c:numRef>
          </c:val>
          <c:smooth val="0"/>
        </c:ser>
        <c:dLbls>
          <c:showLegendKey val="0"/>
          <c:showVal val="0"/>
          <c:showCatName val="0"/>
          <c:showSerName val="0"/>
          <c:showPercent val="0"/>
          <c:showBubbleSize val="0"/>
        </c:dLbls>
        <c:marker val="1"/>
        <c:smooth val="0"/>
        <c:axId val="491530040"/>
        <c:axId val="491533568"/>
      </c:lineChart>
      <c:dateAx>
        <c:axId val="491529648"/>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491533960"/>
        <c:crosses val="autoZero"/>
        <c:auto val="1"/>
        <c:lblOffset val="100"/>
        <c:baseTimeUnit val="months"/>
      </c:dateAx>
      <c:valAx>
        <c:axId val="491533960"/>
        <c:scaling>
          <c:orientation val="minMax"/>
        </c:scaling>
        <c:delete val="0"/>
        <c:axPos val="l"/>
        <c:numFmt formatCode="[&gt;=10000000]#.##\,##\,##0;[&gt;=1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29648"/>
        <c:crosses val="autoZero"/>
        <c:crossBetween val="between"/>
        <c:majorUnit val="500"/>
      </c:valAx>
      <c:valAx>
        <c:axId val="491533568"/>
        <c:scaling>
          <c:orientation val="minMax"/>
        </c:scaling>
        <c:delete val="0"/>
        <c:axPos val="r"/>
        <c:numFmt formatCode="[&gt;=10000000]#.##\,##\,##0;[&gt;=1000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30040"/>
        <c:crosses val="max"/>
        <c:crossBetween val="between"/>
        <c:majorUnit val="4"/>
      </c:valAx>
      <c:dateAx>
        <c:axId val="491530040"/>
        <c:scaling>
          <c:orientation val="minMax"/>
        </c:scaling>
        <c:delete val="1"/>
        <c:axPos val="b"/>
        <c:numFmt formatCode="[$-409]mmm\-yy;@" sourceLinked="1"/>
        <c:majorTickMark val="out"/>
        <c:minorTickMark val="none"/>
        <c:tickLblPos val="nextTo"/>
        <c:crossAx val="491533568"/>
        <c:crosses val="autoZero"/>
        <c:auto val="1"/>
        <c:lblOffset val="100"/>
        <c:baseTimeUnit val="months"/>
      </c:dateAx>
      <c:spPr>
        <a:noFill/>
        <a:ln>
          <a:noFill/>
        </a:ln>
        <a:effectLst/>
      </c:spPr>
    </c:plotArea>
    <c:legend>
      <c:legendPos val="b"/>
      <c:layout>
        <c:manualLayout>
          <c:xMode val="edge"/>
          <c:yMode val="edge"/>
          <c:x val="0.14888375726965436"/>
          <c:y val="0.89565617690038934"/>
          <c:w val="0.64863884821305307"/>
          <c:h val="8.16835013230416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885402786190192E-2"/>
          <c:y val="3.9426523297491037E-2"/>
          <c:w val="0.89555049464970726"/>
          <c:h val="0.74435977760844407"/>
        </c:manualLayout>
      </c:layout>
      <c:lineChart>
        <c:grouping val="standard"/>
        <c:varyColors val="0"/>
        <c:ser>
          <c:idx val="0"/>
          <c:order val="0"/>
          <c:tx>
            <c:strRef>
              <c:f>Index_Charts!$B$1</c:f>
              <c:strCache>
                <c:ptCount val="1"/>
                <c:pt idx="0">
                  <c:v>Dow Jones Industrial Average</c:v>
                </c:pt>
              </c:strCache>
            </c:strRef>
          </c:tx>
          <c:spPr>
            <a:ln w="28575" cap="rnd">
              <a:solidFill>
                <a:schemeClr val="accent1"/>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Index_Charts!$B$2:$B$183</c:f>
              <c:numCache>
                <c:formatCode>0.00</c:formatCode>
                <c:ptCount val="182"/>
                <c:pt idx="0">
                  <c:v>100</c:v>
                </c:pt>
                <c:pt idx="1">
                  <c:v>100</c:v>
                </c:pt>
                <c:pt idx="2">
                  <c:v>98.096013336038368</c:v>
                </c:pt>
                <c:pt idx="3">
                  <c:v>99.710618256316295</c:v>
                </c:pt>
                <c:pt idx="4">
                  <c:v>100.66875187475806</c:v>
                </c:pt>
                <c:pt idx="5">
                  <c:v>101.66829093838928</c:v>
                </c:pt>
                <c:pt idx="6">
                  <c:v>99.293244730659225</c:v>
                </c:pt>
                <c:pt idx="7">
                  <c:v>99.293244730659225</c:v>
                </c:pt>
                <c:pt idx="8">
                  <c:v>99.293244730659225</c:v>
                </c:pt>
                <c:pt idx="9">
                  <c:v>99.485502078362501</c:v>
                </c:pt>
                <c:pt idx="10">
                  <c:v>101.26494049937953</c:v>
                </c:pt>
                <c:pt idx="11">
                  <c:v>100.35821103583729</c:v>
                </c:pt>
                <c:pt idx="12">
                  <c:v>101.57631110674099</c:v>
                </c:pt>
                <c:pt idx="13">
                  <c:v>101.06637691152717</c:v>
                </c:pt>
                <c:pt idx="14">
                  <c:v>101.06637691152717</c:v>
                </c:pt>
                <c:pt idx="15">
                  <c:v>101.06637691152717</c:v>
                </c:pt>
                <c:pt idx="16">
                  <c:v>101.94966541662052</c:v>
                </c:pt>
                <c:pt idx="17">
                  <c:v>102.83581662283414</c:v>
                </c:pt>
                <c:pt idx="18">
                  <c:v>102.67583726747296</c:v>
                </c:pt>
                <c:pt idx="19">
                  <c:v>102.33073657299825</c:v>
                </c:pt>
                <c:pt idx="20">
                  <c:v>101.49287789003161</c:v>
                </c:pt>
                <c:pt idx="21">
                  <c:v>101.49287789003161</c:v>
                </c:pt>
                <c:pt idx="22">
                  <c:v>101.49287789003161</c:v>
                </c:pt>
                <c:pt idx="23">
                  <c:v>101.43375688863388</c:v>
                </c:pt>
                <c:pt idx="24">
                  <c:v>99.672324442779384</c:v>
                </c:pt>
                <c:pt idx="25">
                  <c:v>99.920010322319413</c:v>
                </c:pt>
                <c:pt idx="26">
                  <c:v>100.90955067624053</c:v>
                </c:pt>
                <c:pt idx="27">
                  <c:v>100.86329108567318</c:v>
                </c:pt>
                <c:pt idx="28">
                  <c:v>100.86329108567318</c:v>
                </c:pt>
                <c:pt idx="29">
                  <c:v>100.86329108567318</c:v>
                </c:pt>
                <c:pt idx="30">
                  <c:v>100.24909648588918</c:v>
                </c:pt>
                <c:pt idx="31">
                  <c:v>99.983155700654393</c:v>
                </c:pt>
                <c:pt idx="32">
                  <c:v>99.260966738317165</c:v>
                </c:pt>
                <c:pt idx="33">
                  <c:v>99.282416252508497</c:v>
                </c:pt>
                <c:pt idx="34">
                  <c:v>100.66132544721407</c:v>
                </c:pt>
                <c:pt idx="35">
                  <c:v>100.66132544721407</c:v>
                </c:pt>
                <c:pt idx="36">
                  <c:v>100.66132544721407</c:v>
                </c:pt>
                <c:pt idx="37">
                  <c:v>101.05467717651374</c:v>
                </c:pt>
                <c:pt idx="38">
                  <c:v>101.06666733048142</c:v>
                </c:pt>
                <c:pt idx="39">
                  <c:v>101.82312572941832</c:v>
                </c:pt>
                <c:pt idx="40">
                  <c:v>102.64040615505634</c:v>
                </c:pt>
                <c:pt idx="41">
                  <c:v>103.02060605457137</c:v>
                </c:pt>
                <c:pt idx="42">
                  <c:v>103.02060605457137</c:v>
                </c:pt>
                <c:pt idx="43">
                  <c:v>103.02060605457137</c:v>
                </c:pt>
                <c:pt idx="44">
                  <c:v>103.30372304652802</c:v>
                </c:pt>
                <c:pt idx="45">
                  <c:v>102.50299650128136</c:v>
                </c:pt>
                <c:pt idx="46">
                  <c:v>102.76238211583484</c:v>
                </c:pt>
                <c:pt idx="47">
                  <c:v>102.53440323676072</c:v>
                </c:pt>
                <c:pt idx="48">
                  <c:v>102.53900845160646</c:v>
                </c:pt>
                <c:pt idx="49">
                  <c:v>102.53900845160646</c:v>
                </c:pt>
                <c:pt idx="50">
                  <c:v>102.53900845160646</c:v>
                </c:pt>
                <c:pt idx="51">
                  <c:v>103.77619319664558</c:v>
                </c:pt>
                <c:pt idx="52">
                  <c:v>103.03404830331024</c:v>
                </c:pt>
                <c:pt idx="53">
                  <c:v>103.25144763476581</c:v>
                </c:pt>
                <c:pt idx="54">
                  <c:v>102.94007702740433</c:v>
                </c:pt>
                <c:pt idx="55">
                  <c:v>102.69666445533376</c:v>
                </c:pt>
                <c:pt idx="56">
                  <c:v>102.69666445533376</c:v>
                </c:pt>
                <c:pt idx="57">
                  <c:v>102.69666445533376</c:v>
                </c:pt>
                <c:pt idx="58">
                  <c:v>102.69666445533376</c:v>
                </c:pt>
                <c:pt idx="59">
                  <c:v>101.07181189481358</c:v>
                </c:pt>
                <c:pt idx="60">
                  <c:v>102.34272672696594</c:v>
                </c:pt>
                <c:pt idx="61">
                  <c:v>101.2974674222538</c:v>
                </c:pt>
                <c:pt idx="62">
                  <c:v>102.2075989364028</c:v>
                </c:pt>
                <c:pt idx="63">
                  <c:v>102.2075989364028</c:v>
                </c:pt>
                <c:pt idx="64">
                  <c:v>102.2075989364028</c:v>
                </c:pt>
                <c:pt idx="65">
                  <c:v>102.94808429285681</c:v>
                </c:pt>
                <c:pt idx="66">
                  <c:v>102.89120366624887</c:v>
                </c:pt>
                <c:pt idx="67">
                  <c:v>104.32840409391153</c:v>
                </c:pt>
                <c:pt idx="68">
                  <c:v>104.72262708007389</c:v>
                </c:pt>
                <c:pt idx="69">
                  <c:v>105.03428810638957</c:v>
                </c:pt>
                <c:pt idx="70">
                  <c:v>105.03428810638957</c:v>
                </c:pt>
                <c:pt idx="71">
                  <c:v>105.03428810638957</c:v>
                </c:pt>
                <c:pt idx="72">
                  <c:v>105.05826841432496</c:v>
                </c:pt>
                <c:pt idx="73">
                  <c:v>105.05171324364366</c:v>
                </c:pt>
                <c:pt idx="74">
                  <c:v>104.55580213507719</c:v>
                </c:pt>
                <c:pt idx="75">
                  <c:v>104.44838861043245</c:v>
                </c:pt>
                <c:pt idx="76">
                  <c:v>104.0964423263222</c:v>
                </c:pt>
                <c:pt idx="77">
                  <c:v>104.0964423263222</c:v>
                </c:pt>
                <c:pt idx="78">
                  <c:v>104.0964423263222</c:v>
                </c:pt>
                <c:pt idx="79">
                  <c:v>103.66907009095507</c:v>
                </c:pt>
                <c:pt idx="80">
                  <c:v>102.47727367962058</c:v>
                </c:pt>
                <c:pt idx="81">
                  <c:v>102.3013212817765</c:v>
                </c:pt>
                <c:pt idx="82">
                  <c:v>101.48773332569947</c:v>
                </c:pt>
                <c:pt idx="83">
                  <c:v>101.9822338279168</c:v>
                </c:pt>
                <c:pt idx="84">
                  <c:v>101.9822338279168</c:v>
                </c:pt>
                <c:pt idx="85">
                  <c:v>101.9822338279168</c:v>
                </c:pt>
                <c:pt idx="86">
                  <c:v>100.62104018941953</c:v>
                </c:pt>
                <c:pt idx="87">
                  <c:v>100.74679159660309</c:v>
                </c:pt>
                <c:pt idx="88">
                  <c:v>100.06007523510452</c:v>
                </c:pt>
                <c:pt idx="89">
                  <c:v>100.4685702384464</c:v>
                </c:pt>
                <c:pt idx="90">
                  <c:v>100.69825014282389</c:v>
                </c:pt>
                <c:pt idx="91">
                  <c:v>100.69825014282389</c:v>
                </c:pt>
                <c:pt idx="92">
                  <c:v>100.69825014282389</c:v>
                </c:pt>
                <c:pt idx="93">
                  <c:v>100.84665422843774</c:v>
                </c:pt>
                <c:pt idx="94">
                  <c:v>100.29751347440225</c:v>
                </c:pt>
                <c:pt idx="95">
                  <c:v>100.29751347440225</c:v>
                </c:pt>
                <c:pt idx="96">
                  <c:v>101.0522708480358</c:v>
                </c:pt>
                <c:pt idx="97">
                  <c:v>101.46607636939797</c:v>
                </c:pt>
                <c:pt idx="98">
                  <c:v>101.46607636939797</c:v>
                </c:pt>
                <c:pt idx="99">
                  <c:v>101.46607636939797</c:v>
                </c:pt>
                <c:pt idx="100">
                  <c:v>102.79416224711251</c:v>
                </c:pt>
                <c:pt idx="101">
                  <c:v>103.38773710114586</c:v>
                </c:pt>
                <c:pt idx="102">
                  <c:v>102.4782694017494</c:v>
                </c:pt>
                <c:pt idx="103">
                  <c:v>103.40943554586939</c:v>
                </c:pt>
                <c:pt idx="104">
                  <c:v>103.80158411093008</c:v>
                </c:pt>
                <c:pt idx="105">
                  <c:v>103.80158411093008</c:v>
                </c:pt>
                <c:pt idx="106">
                  <c:v>103.80158411093008</c:v>
                </c:pt>
                <c:pt idx="107">
                  <c:v>103.98807456797068</c:v>
                </c:pt>
                <c:pt idx="108">
                  <c:v>104.21845977552273</c:v>
                </c:pt>
                <c:pt idx="109">
                  <c:v>104.54787784646878</c:v>
                </c:pt>
                <c:pt idx="110">
                  <c:v>103.98865540587916</c:v>
                </c:pt>
                <c:pt idx="111">
                  <c:v>103.96218579262178</c:v>
                </c:pt>
                <c:pt idx="112">
                  <c:v>103.96218579262178</c:v>
                </c:pt>
                <c:pt idx="113">
                  <c:v>103.96218579262178</c:v>
                </c:pt>
                <c:pt idx="114">
                  <c:v>103.90480730494944</c:v>
                </c:pt>
                <c:pt idx="115">
                  <c:v>104.72482596644166</c:v>
                </c:pt>
                <c:pt idx="116">
                  <c:v>105.43909064017049</c:v>
                </c:pt>
                <c:pt idx="117">
                  <c:v>105.90778534388301</c:v>
                </c:pt>
                <c:pt idx="118">
                  <c:v>105.59243184800633</c:v>
                </c:pt>
                <c:pt idx="119">
                  <c:v>105.59243184800633</c:v>
                </c:pt>
                <c:pt idx="120">
                  <c:v>105.59243184800633</c:v>
                </c:pt>
                <c:pt idx="121">
                  <c:v>104.99404433701709</c:v>
                </c:pt>
                <c:pt idx="122">
                  <c:v>105.44361287817215</c:v>
                </c:pt>
                <c:pt idx="123">
                  <c:v>105.10602158808551</c:v>
                </c:pt>
                <c:pt idx="124">
                  <c:v>105.07424145680785</c:v>
                </c:pt>
                <c:pt idx="125">
                  <c:v>105.64022651018894</c:v>
                </c:pt>
                <c:pt idx="126">
                  <c:v>105.64022651018894</c:v>
                </c:pt>
                <c:pt idx="127">
                  <c:v>105.64022651018894</c:v>
                </c:pt>
                <c:pt idx="128">
                  <c:v>105.80452066144161</c:v>
                </c:pt>
                <c:pt idx="129">
                  <c:v>106.33030343387222</c:v>
                </c:pt>
                <c:pt idx="130">
                  <c:v>106.14294171996892</c:v>
                </c:pt>
                <c:pt idx="131">
                  <c:v>105.83376999897523</c:v>
                </c:pt>
                <c:pt idx="132">
                  <c:v>105.02022353132023</c:v>
                </c:pt>
                <c:pt idx="133">
                  <c:v>105.02022353132023</c:v>
                </c:pt>
                <c:pt idx="134">
                  <c:v>105.02022353132023</c:v>
                </c:pt>
                <c:pt idx="135">
                  <c:v>104.49979276533195</c:v>
                </c:pt>
                <c:pt idx="136">
                  <c:v>104.96537583739195</c:v>
                </c:pt>
                <c:pt idx="137">
                  <c:v>104.39486854600921</c:v>
                </c:pt>
                <c:pt idx="138">
                  <c:v>106.03913768804108</c:v>
                </c:pt>
                <c:pt idx="139">
                  <c:v>106.49795814730962</c:v>
                </c:pt>
                <c:pt idx="140">
                  <c:v>106.49795814730962</c:v>
                </c:pt>
                <c:pt idx="141">
                  <c:v>106.49795814730962</c:v>
                </c:pt>
                <c:pt idx="142">
                  <c:v>106.86874017502306</c:v>
                </c:pt>
                <c:pt idx="143">
                  <c:v>107.13260653915614</c:v>
                </c:pt>
                <c:pt idx="144">
                  <c:v>106.76464572414099</c:v>
                </c:pt>
                <c:pt idx="145">
                  <c:v>106.44676143452028</c:v>
                </c:pt>
                <c:pt idx="146">
                  <c:v>107.00009251918112</c:v>
                </c:pt>
                <c:pt idx="147">
                  <c:v>107.00009251918112</c:v>
                </c:pt>
                <c:pt idx="148">
                  <c:v>107.00009251918112</c:v>
                </c:pt>
                <c:pt idx="149">
                  <c:v>108.07584581408788</c:v>
                </c:pt>
                <c:pt idx="150">
                  <c:v>108.13550616497207</c:v>
                </c:pt>
                <c:pt idx="151">
                  <c:v>108.38671856038494</c:v>
                </c:pt>
                <c:pt idx="152">
                  <c:v>107.81563043109375</c:v>
                </c:pt>
                <c:pt idx="153">
                  <c:v>107.7239410183997</c:v>
                </c:pt>
                <c:pt idx="154">
                  <c:v>107.7239410183997</c:v>
                </c:pt>
                <c:pt idx="155">
                  <c:v>107.7239410183997</c:v>
                </c:pt>
                <c:pt idx="156">
                  <c:v>107.7239410183997</c:v>
                </c:pt>
                <c:pt idx="157">
                  <c:v>107.67274430561035</c:v>
                </c:pt>
                <c:pt idx="158">
                  <c:v>107.76613474360779</c:v>
                </c:pt>
                <c:pt idx="159">
                  <c:v>107.85276256881373</c:v>
                </c:pt>
                <c:pt idx="160">
                  <c:v>107.52363491682193</c:v>
                </c:pt>
                <c:pt idx="161">
                  <c:v>107.52363491682193</c:v>
                </c:pt>
                <c:pt idx="162">
                  <c:v>107.52363491682193</c:v>
                </c:pt>
                <c:pt idx="163">
                  <c:v>107.27690327098868</c:v>
                </c:pt>
                <c:pt idx="164">
                  <c:v>107.7498297937486</c:v>
                </c:pt>
                <c:pt idx="165">
                  <c:v>107.86541653753395</c:v>
                </c:pt>
                <c:pt idx="166">
                  <c:v>108.47558676038072</c:v>
                </c:pt>
                <c:pt idx="167">
                  <c:v>108.5115987107058</c:v>
                </c:pt>
                <c:pt idx="168">
                  <c:v>108.5115987107058</c:v>
                </c:pt>
                <c:pt idx="169">
                  <c:v>108.5115987107058</c:v>
                </c:pt>
                <c:pt idx="170">
                  <c:v>108.12762336478569</c:v>
                </c:pt>
                <c:pt idx="171">
                  <c:v>108.89449535765301</c:v>
                </c:pt>
                <c:pt idx="172">
                  <c:v>109.55333149954507</c:v>
                </c:pt>
                <c:pt idx="173">
                  <c:v>110.59560363787079</c:v>
                </c:pt>
                <c:pt idx="174">
                  <c:v>110.95456146530469</c:v>
                </c:pt>
                <c:pt idx="175">
                  <c:v>110.95456146530469</c:v>
                </c:pt>
                <c:pt idx="176">
                  <c:v>110.95456146530469</c:v>
                </c:pt>
                <c:pt idx="177">
                  <c:v>110.20175404750671</c:v>
                </c:pt>
                <c:pt idx="178">
                  <c:v>109.91199890802473</c:v>
                </c:pt>
                <c:pt idx="179">
                  <c:v>109.46836321122045</c:v>
                </c:pt>
                <c:pt idx="180">
                  <c:v>109.69509743763356</c:v>
                </c:pt>
                <c:pt idx="181">
                  <c:v>109.77135315733115</c:v>
                </c:pt>
              </c:numCache>
            </c:numRef>
          </c:val>
          <c:smooth val="0"/>
          <c:extLst xmlns:c16r2="http://schemas.microsoft.com/office/drawing/2015/06/chart">
            <c:ext xmlns:c16="http://schemas.microsoft.com/office/drawing/2014/chart" uri="{C3380CC4-5D6E-409C-BE32-E72D297353CC}">
              <c16:uniqueId val="{00000000-9E3C-7245-829D-25A2AB0980D3}"/>
            </c:ext>
          </c:extLst>
        </c:ser>
        <c:ser>
          <c:idx val="1"/>
          <c:order val="1"/>
          <c:tx>
            <c:strRef>
              <c:f>Index_Charts!$C$1</c:f>
              <c:strCache>
                <c:ptCount val="1"/>
                <c:pt idx="0">
                  <c:v>NASDAQ Composite</c:v>
                </c:pt>
              </c:strCache>
            </c:strRef>
          </c:tx>
          <c:spPr>
            <a:ln w="28575" cap="rnd">
              <a:solidFill>
                <a:schemeClr val="accent2"/>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Index_Charts!$C$2:$C$183</c:f>
              <c:numCache>
                <c:formatCode>0.00</c:formatCode>
                <c:ptCount val="182"/>
                <c:pt idx="0">
                  <c:v>100</c:v>
                </c:pt>
                <c:pt idx="1">
                  <c:v>100</c:v>
                </c:pt>
                <c:pt idx="2">
                  <c:v>97.263006932169787</c:v>
                </c:pt>
                <c:pt idx="3">
                  <c:v>98.270489824724336</c:v>
                </c:pt>
                <c:pt idx="4">
                  <c:v>99.697909447868568</c:v>
                </c:pt>
                <c:pt idx="5">
                  <c:v>100.18556101165932</c:v>
                </c:pt>
                <c:pt idx="6">
                  <c:v>97.899976569506805</c:v>
                </c:pt>
                <c:pt idx="7">
                  <c:v>97.899976569506805</c:v>
                </c:pt>
                <c:pt idx="8">
                  <c:v>97.899976569506805</c:v>
                </c:pt>
                <c:pt idx="9">
                  <c:v>98.398784162685487</c:v>
                </c:pt>
                <c:pt idx="10">
                  <c:v>100.43682650604629</c:v>
                </c:pt>
                <c:pt idx="11">
                  <c:v>100.079012436566</c:v>
                </c:pt>
                <c:pt idx="12">
                  <c:v>101.08733061558488</c:v>
                </c:pt>
                <c:pt idx="13">
                  <c:v>100.61167036764638</c:v>
                </c:pt>
                <c:pt idx="14">
                  <c:v>100.61167036764638</c:v>
                </c:pt>
                <c:pt idx="15">
                  <c:v>100.61167036764638</c:v>
                </c:pt>
                <c:pt idx="16">
                  <c:v>101.31437280250644</c:v>
                </c:pt>
                <c:pt idx="17">
                  <c:v>103.0814142390859</c:v>
                </c:pt>
                <c:pt idx="18">
                  <c:v>103.28155737037663</c:v>
                </c:pt>
                <c:pt idx="19">
                  <c:v>102.47203736986697</c:v>
                </c:pt>
                <c:pt idx="20">
                  <c:v>101.17054779926792</c:v>
                </c:pt>
                <c:pt idx="21">
                  <c:v>101.17054779926792</c:v>
                </c:pt>
                <c:pt idx="22">
                  <c:v>101.17054779926792</c:v>
                </c:pt>
                <c:pt idx="23">
                  <c:v>100.92245356196588</c:v>
                </c:pt>
                <c:pt idx="24">
                  <c:v>99.205883248188385</c:v>
                </c:pt>
                <c:pt idx="25">
                  <c:v>99.154690098103686</c:v>
                </c:pt>
                <c:pt idx="26">
                  <c:v>100.78194138978927</c:v>
                </c:pt>
                <c:pt idx="27">
                  <c:v>100.79782599000913</c:v>
                </c:pt>
                <c:pt idx="28">
                  <c:v>100.79782599000913</c:v>
                </c:pt>
                <c:pt idx="29">
                  <c:v>100.79782599000913</c:v>
                </c:pt>
                <c:pt idx="30">
                  <c:v>100.03993801891286</c:v>
                </c:pt>
                <c:pt idx="31">
                  <c:v>100.95221241193212</c:v>
                </c:pt>
                <c:pt idx="32">
                  <c:v>100.5302087012782</c:v>
                </c:pt>
                <c:pt idx="33">
                  <c:v>100.34977266758642</c:v>
                </c:pt>
                <c:pt idx="34">
                  <c:v>102.06942929406262</c:v>
                </c:pt>
                <c:pt idx="35">
                  <c:v>102.06942929406262</c:v>
                </c:pt>
                <c:pt idx="36">
                  <c:v>102.06942929406262</c:v>
                </c:pt>
                <c:pt idx="37">
                  <c:v>102.8565098192171</c:v>
                </c:pt>
                <c:pt idx="38">
                  <c:v>102.88042166393312</c:v>
                </c:pt>
                <c:pt idx="39">
                  <c:v>103.91395416825642</c:v>
                </c:pt>
                <c:pt idx="40">
                  <c:v>104.83517603662236</c:v>
                </c:pt>
                <c:pt idx="41">
                  <c:v>104.80555876063309</c:v>
                </c:pt>
                <c:pt idx="42">
                  <c:v>104.80555876063309</c:v>
                </c:pt>
                <c:pt idx="43">
                  <c:v>104.80555876063309</c:v>
                </c:pt>
                <c:pt idx="44">
                  <c:v>104.92493393804298</c:v>
                </c:pt>
                <c:pt idx="45">
                  <c:v>104.07990718410069</c:v>
                </c:pt>
                <c:pt idx="46">
                  <c:v>104.7406046199836</c:v>
                </c:pt>
                <c:pt idx="47">
                  <c:v>104.51660627356765</c:v>
                </c:pt>
                <c:pt idx="48">
                  <c:v>104.11830204666421</c:v>
                </c:pt>
                <c:pt idx="49">
                  <c:v>104.11830204666421</c:v>
                </c:pt>
                <c:pt idx="50">
                  <c:v>104.11830204666421</c:v>
                </c:pt>
                <c:pt idx="51">
                  <c:v>104.68030826317754</c:v>
                </c:pt>
                <c:pt idx="52">
                  <c:v>104.45972184960739</c:v>
                </c:pt>
                <c:pt idx="53">
                  <c:v>105.13221239777475</c:v>
                </c:pt>
                <c:pt idx="54">
                  <c:v>105.11059405148622</c:v>
                </c:pt>
                <c:pt idx="55">
                  <c:v>105.24402752481261</c:v>
                </c:pt>
                <c:pt idx="56">
                  <c:v>105.24402752481261</c:v>
                </c:pt>
                <c:pt idx="57">
                  <c:v>105.24402752481261</c:v>
                </c:pt>
                <c:pt idx="58">
                  <c:v>105.24402752481261</c:v>
                </c:pt>
                <c:pt idx="59">
                  <c:v>104.7165228864952</c:v>
                </c:pt>
                <c:pt idx="60">
                  <c:v>105.64892909904444</c:v>
                </c:pt>
                <c:pt idx="61">
                  <c:v>105.36101010201114</c:v>
                </c:pt>
                <c:pt idx="62">
                  <c:v>106.94968248496308</c:v>
                </c:pt>
                <c:pt idx="63">
                  <c:v>106.94968248496308</c:v>
                </c:pt>
                <c:pt idx="64">
                  <c:v>106.94968248496308</c:v>
                </c:pt>
                <c:pt idx="65">
                  <c:v>107.68766515489254</c:v>
                </c:pt>
                <c:pt idx="66">
                  <c:v>108.13226407227636</c:v>
                </c:pt>
                <c:pt idx="67">
                  <c:v>108.85967116612363</c:v>
                </c:pt>
                <c:pt idx="68">
                  <c:v>108.0927224604991</c:v>
                </c:pt>
                <c:pt idx="69">
                  <c:v>108.24053984988913</c:v>
                </c:pt>
                <c:pt idx="70">
                  <c:v>108.24053984988913</c:v>
                </c:pt>
                <c:pt idx="71">
                  <c:v>108.24053984988913</c:v>
                </c:pt>
                <c:pt idx="72">
                  <c:v>108.44460458034288</c:v>
                </c:pt>
                <c:pt idx="73">
                  <c:v>109.06567546006234</c:v>
                </c:pt>
                <c:pt idx="74">
                  <c:v>108.95107132567747</c:v>
                </c:pt>
                <c:pt idx="75">
                  <c:v>109.87615816361564</c:v>
                </c:pt>
                <c:pt idx="76">
                  <c:v>109.66855408373677</c:v>
                </c:pt>
                <c:pt idx="77">
                  <c:v>109.66855408373677</c:v>
                </c:pt>
                <c:pt idx="78">
                  <c:v>109.66855408373677</c:v>
                </c:pt>
                <c:pt idx="79">
                  <c:v>109.67771392004893</c:v>
                </c:pt>
                <c:pt idx="80">
                  <c:v>109.37417931335204</c:v>
                </c:pt>
                <c:pt idx="81">
                  <c:v>110.16600256673621</c:v>
                </c:pt>
                <c:pt idx="82">
                  <c:v>109.19532890820274</c:v>
                </c:pt>
                <c:pt idx="83">
                  <c:v>108.9102697055049</c:v>
                </c:pt>
                <c:pt idx="84">
                  <c:v>108.9102697055049</c:v>
                </c:pt>
                <c:pt idx="85">
                  <c:v>108.9102697055049</c:v>
                </c:pt>
                <c:pt idx="86">
                  <c:v>106.63360442390363</c:v>
                </c:pt>
                <c:pt idx="87">
                  <c:v>107.0529607011876</c:v>
                </c:pt>
                <c:pt idx="88">
                  <c:v>105.40302925838596</c:v>
                </c:pt>
                <c:pt idx="89">
                  <c:v>106.23262444883481</c:v>
                </c:pt>
                <c:pt idx="90">
                  <c:v>106.32636057900926</c:v>
                </c:pt>
                <c:pt idx="91">
                  <c:v>106.32636057900926</c:v>
                </c:pt>
                <c:pt idx="92">
                  <c:v>106.32636057900926</c:v>
                </c:pt>
                <c:pt idx="93">
                  <c:v>107.1387545312521</c:v>
                </c:pt>
                <c:pt idx="94">
                  <c:v>106.21832547715739</c:v>
                </c:pt>
                <c:pt idx="95">
                  <c:v>106.21832547715739</c:v>
                </c:pt>
                <c:pt idx="96">
                  <c:v>107.40405000676017</c:v>
                </c:pt>
                <c:pt idx="97">
                  <c:v>108.84755243369206</c:v>
                </c:pt>
                <c:pt idx="98">
                  <c:v>108.84755243369206</c:v>
                </c:pt>
                <c:pt idx="99">
                  <c:v>108.84755243369206</c:v>
                </c:pt>
                <c:pt idx="100">
                  <c:v>109.80762220134793</c:v>
                </c:pt>
                <c:pt idx="101">
                  <c:v>109.85005192225607</c:v>
                </c:pt>
                <c:pt idx="102">
                  <c:v>109.24713082638856</c:v>
                </c:pt>
                <c:pt idx="103">
                  <c:v>110.76629038663145</c:v>
                </c:pt>
                <c:pt idx="104">
                  <c:v>110.79545462589431</c:v>
                </c:pt>
                <c:pt idx="105">
                  <c:v>110.79545462589431</c:v>
                </c:pt>
                <c:pt idx="106">
                  <c:v>110.79545462589431</c:v>
                </c:pt>
                <c:pt idx="107">
                  <c:v>110.50866822067702</c:v>
                </c:pt>
                <c:pt idx="108">
                  <c:v>111.20802950967979</c:v>
                </c:pt>
                <c:pt idx="109">
                  <c:v>111.1984874236297</c:v>
                </c:pt>
                <c:pt idx="110">
                  <c:v>110.78582759545803</c:v>
                </c:pt>
                <c:pt idx="111">
                  <c:v>110.71365318198131</c:v>
                </c:pt>
                <c:pt idx="112">
                  <c:v>110.71365318198131</c:v>
                </c:pt>
                <c:pt idx="113">
                  <c:v>110.71365318198131</c:v>
                </c:pt>
                <c:pt idx="114">
                  <c:v>111.02051477713779</c:v>
                </c:pt>
                <c:pt idx="115">
                  <c:v>111.00487085267883</c:v>
                </c:pt>
                <c:pt idx="116">
                  <c:v>112.29986217773337</c:v>
                </c:pt>
                <c:pt idx="117">
                  <c:v>111.16650586222447</c:v>
                </c:pt>
                <c:pt idx="118">
                  <c:v>109.54171795773875</c:v>
                </c:pt>
                <c:pt idx="119">
                  <c:v>109.54171795773875</c:v>
                </c:pt>
                <c:pt idx="120">
                  <c:v>109.54171795773875</c:v>
                </c:pt>
                <c:pt idx="121">
                  <c:v>108.02100108374879</c:v>
                </c:pt>
                <c:pt idx="122">
                  <c:v>108.61256794666059</c:v>
                </c:pt>
                <c:pt idx="123">
                  <c:v>109.11511309283219</c:v>
                </c:pt>
                <c:pt idx="124">
                  <c:v>110.46571467605398</c:v>
                </c:pt>
                <c:pt idx="125">
                  <c:v>110.59780319659885</c:v>
                </c:pt>
                <c:pt idx="126">
                  <c:v>110.59780319659885</c:v>
                </c:pt>
                <c:pt idx="127">
                  <c:v>110.59780319659885</c:v>
                </c:pt>
                <c:pt idx="128">
                  <c:v>111.27258724319367</c:v>
                </c:pt>
                <c:pt idx="129">
                  <c:v>111.61216658443578</c:v>
                </c:pt>
                <c:pt idx="130">
                  <c:v>111.67816837251512</c:v>
                </c:pt>
                <c:pt idx="131">
                  <c:v>111.72709633896775</c:v>
                </c:pt>
                <c:pt idx="132">
                  <c:v>110.98139788729154</c:v>
                </c:pt>
                <c:pt idx="133">
                  <c:v>110.98139788729154</c:v>
                </c:pt>
                <c:pt idx="134">
                  <c:v>110.98139788729154</c:v>
                </c:pt>
                <c:pt idx="135">
                  <c:v>110.70668774231271</c:v>
                </c:pt>
                <c:pt idx="136">
                  <c:v>111.43139077319921</c:v>
                </c:pt>
                <c:pt idx="137">
                  <c:v>110.06128029594626</c:v>
                </c:pt>
                <c:pt idx="138">
                  <c:v>110.52006492582586</c:v>
                </c:pt>
                <c:pt idx="139">
                  <c:v>110.65889236767612</c:v>
                </c:pt>
                <c:pt idx="140">
                  <c:v>110.65889236767612</c:v>
                </c:pt>
                <c:pt idx="141">
                  <c:v>110.65889236767612</c:v>
                </c:pt>
                <c:pt idx="142">
                  <c:v>110.72509235932327</c:v>
                </c:pt>
                <c:pt idx="143">
                  <c:v>111.26543775735496</c:v>
                </c:pt>
                <c:pt idx="144">
                  <c:v>111.68908372614213</c:v>
                </c:pt>
                <c:pt idx="145">
                  <c:v>111.53846317200743</c:v>
                </c:pt>
                <c:pt idx="146">
                  <c:v>112.49432819254628</c:v>
                </c:pt>
                <c:pt idx="147">
                  <c:v>112.49432819254628</c:v>
                </c:pt>
                <c:pt idx="148">
                  <c:v>112.49432819254628</c:v>
                </c:pt>
                <c:pt idx="149">
                  <c:v>113.51252823516005</c:v>
                </c:pt>
                <c:pt idx="150">
                  <c:v>113.68445567283388</c:v>
                </c:pt>
                <c:pt idx="151">
                  <c:v>114.81207824227413</c:v>
                </c:pt>
                <c:pt idx="152">
                  <c:v>114.51017173631281</c:v>
                </c:pt>
                <c:pt idx="153">
                  <c:v>114.80994047522137</c:v>
                </c:pt>
                <c:pt idx="154">
                  <c:v>114.80994047522137</c:v>
                </c:pt>
                <c:pt idx="155">
                  <c:v>114.80994047522137</c:v>
                </c:pt>
                <c:pt idx="156">
                  <c:v>114.80994047522137</c:v>
                </c:pt>
                <c:pt idx="157">
                  <c:v>114.5509875138831</c:v>
                </c:pt>
                <c:pt idx="158">
                  <c:v>113.19082968721352</c:v>
                </c:pt>
                <c:pt idx="159">
                  <c:v>112.16518285340935</c:v>
                </c:pt>
                <c:pt idx="160">
                  <c:v>111.87942993822419</c:v>
                </c:pt>
                <c:pt idx="161">
                  <c:v>111.87942993822419</c:v>
                </c:pt>
                <c:pt idx="162">
                  <c:v>111.87942993822419</c:v>
                </c:pt>
                <c:pt idx="163">
                  <c:v>112.18548456171173</c:v>
                </c:pt>
                <c:pt idx="164">
                  <c:v>112.86948507420955</c:v>
                </c:pt>
                <c:pt idx="165">
                  <c:v>112.61118335316549</c:v>
                </c:pt>
                <c:pt idx="166">
                  <c:v>113.45327952578381</c:v>
                </c:pt>
                <c:pt idx="167">
                  <c:v>113.40136434841639</c:v>
                </c:pt>
                <c:pt idx="168">
                  <c:v>113.40136434841639</c:v>
                </c:pt>
                <c:pt idx="169">
                  <c:v>113.40136434841639</c:v>
                </c:pt>
                <c:pt idx="170">
                  <c:v>111.78386750374641</c:v>
                </c:pt>
                <c:pt idx="171">
                  <c:v>112.63777094604689</c:v>
                </c:pt>
                <c:pt idx="172">
                  <c:v>112.55184969940306</c:v>
                </c:pt>
                <c:pt idx="173">
                  <c:v>113.65887325518922</c:v>
                </c:pt>
                <c:pt idx="174">
                  <c:v>113.07449835030923</c:v>
                </c:pt>
                <c:pt idx="175">
                  <c:v>113.07449835030923</c:v>
                </c:pt>
                <c:pt idx="176">
                  <c:v>113.07449835030923</c:v>
                </c:pt>
                <c:pt idx="177">
                  <c:v>113.16359085403793</c:v>
                </c:pt>
                <c:pt idx="178">
                  <c:v>113.36495152153093</c:v>
                </c:pt>
                <c:pt idx="179">
                  <c:v>113.12278923386533</c:v>
                </c:pt>
                <c:pt idx="180">
                  <c:v>113.8533392700021</c:v>
                </c:pt>
                <c:pt idx="181">
                  <c:v>113.91541945891844</c:v>
                </c:pt>
              </c:numCache>
            </c:numRef>
          </c:val>
          <c:smooth val="0"/>
          <c:extLst xmlns:c16r2="http://schemas.microsoft.com/office/drawing/2015/06/chart">
            <c:ext xmlns:c16="http://schemas.microsoft.com/office/drawing/2014/chart" uri="{C3380CC4-5D6E-409C-BE32-E72D297353CC}">
              <c16:uniqueId val="{00000001-9E3C-7245-829D-25A2AB0980D3}"/>
            </c:ext>
          </c:extLst>
        </c:ser>
        <c:ser>
          <c:idx val="2"/>
          <c:order val="2"/>
          <c:tx>
            <c:strRef>
              <c:f>Index_Charts!$D$1</c:f>
              <c:strCache>
                <c:ptCount val="1"/>
                <c:pt idx="0">
                  <c:v>FTSE 100</c:v>
                </c:pt>
              </c:strCache>
            </c:strRef>
          </c:tx>
          <c:spPr>
            <a:ln w="28575" cap="rnd">
              <a:solidFill>
                <a:schemeClr val="accent3"/>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Index_Charts!$D$2:$D$183</c:f>
              <c:numCache>
                <c:formatCode>0.00</c:formatCode>
                <c:ptCount val="182"/>
                <c:pt idx="0">
                  <c:v>100</c:v>
                </c:pt>
                <c:pt idx="1">
                  <c:v>100</c:v>
                </c:pt>
                <c:pt idx="2">
                  <c:v>100</c:v>
                </c:pt>
                <c:pt idx="3">
                  <c:v>99.629425460667377</c:v>
                </c:pt>
                <c:pt idx="4">
                  <c:v>99.679732902909478</c:v>
                </c:pt>
                <c:pt idx="5">
                  <c:v>102.0249099780206</c:v>
                </c:pt>
                <c:pt idx="6">
                  <c:v>101.80015616563762</c:v>
                </c:pt>
                <c:pt idx="7">
                  <c:v>101.80015616563762</c:v>
                </c:pt>
                <c:pt idx="8">
                  <c:v>101.80015616563762</c:v>
                </c:pt>
                <c:pt idx="9">
                  <c:v>101.95759720318964</c:v>
                </c:pt>
                <c:pt idx="10">
                  <c:v>102.97791715852229</c:v>
                </c:pt>
                <c:pt idx="11">
                  <c:v>102.84173278670636</c:v>
                </c:pt>
                <c:pt idx="12">
                  <c:v>102.85873811929524</c:v>
                </c:pt>
                <c:pt idx="13">
                  <c:v>102.94688242654759</c:v>
                </c:pt>
                <c:pt idx="14">
                  <c:v>102.94688242654759</c:v>
                </c:pt>
                <c:pt idx="15">
                  <c:v>102.94688242654759</c:v>
                </c:pt>
                <c:pt idx="16">
                  <c:v>102.00648753438266</c:v>
                </c:pt>
                <c:pt idx="17">
                  <c:v>102.40115296154953</c:v>
                </c:pt>
                <c:pt idx="18">
                  <c:v>103.69483363824841</c:v>
                </c:pt>
                <c:pt idx="19">
                  <c:v>103.85893509773108</c:v>
                </c:pt>
                <c:pt idx="20">
                  <c:v>104.41515118449227</c:v>
                </c:pt>
                <c:pt idx="21">
                  <c:v>104.41515118449227</c:v>
                </c:pt>
                <c:pt idx="22">
                  <c:v>104.41515118449227</c:v>
                </c:pt>
                <c:pt idx="23">
                  <c:v>104.85020427655773</c:v>
                </c:pt>
                <c:pt idx="24">
                  <c:v>105.22616383787681</c:v>
                </c:pt>
                <c:pt idx="25">
                  <c:v>104.57315906646392</c:v>
                </c:pt>
                <c:pt idx="26">
                  <c:v>105.16990452922863</c:v>
                </c:pt>
                <c:pt idx="27">
                  <c:v>106.31464683466992</c:v>
                </c:pt>
                <c:pt idx="28">
                  <c:v>106.31464683466992</c:v>
                </c:pt>
                <c:pt idx="29">
                  <c:v>106.31464683466992</c:v>
                </c:pt>
                <c:pt idx="30">
                  <c:v>106.4151200080492</c:v>
                </c:pt>
                <c:pt idx="31">
                  <c:v>106.57185249007668</c:v>
                </c:pt>
                <c:pt idx="32">
                  <c:v>106.895520653685</c:v>
                </c:pt>
                <c:pt idx="33">
                  <c:v>106.32144896770545</c:v>
                </c:pt>
                <c:pt idx="34">
                  <c:v>107.2347770388331</c:v>
                </c:pt>
                <c:pt idx="35">
                  <c:v>107.2347770388331</c:v>
                </c:pt>
                <c:pt idx="36">
                  <c:v>107.2347770388331</c:v>
                </c:pt>
                <c:pt idx="37">
                  <c:v>107.2347770388331</c:v>
                </c:pt>
                <c:pt idx="38">
                  <c:v>107.21507919525098</c:v>
                </c:pt>
                <c:pt idx="39">
                  <c:v>108.58641755743908</c:v>
                </c:pt>
                <c:pt idx="40">
                  <c:v>109.13129675580768</c:v>
                </c:pt>
                <c:pt idx="41">
                  <c:v>109.46545154117912</c:v>
                </c:pt>
                <c:pt idx="42">
                  <c:v>109.46545154117912</c:v>
                </c:pt>
                <c:pt idx="43">
                  <c:v>109.46545154117912</c:v>
                </c:pt>
                <c:pt idx="44">
                  <c:v>109.2731495718199</c:v>
                </c:pt>
                <c:pt idx="45">
                  <c:v>109.44320289770869</c:v>
                </c:pt>
                <c:pt idx="46">
                  <c:v>109.60220275741467</c:v>
                </c:pt>
                <c:pt idx="47">
                  <c:v>110.36418336850132</c:v>
                </c:pt>
                <c:pt idx="48">
                  <c:v>110.23409257419641</c:v>
                </c:pt>
                <c:pt idx="49">
                  <c:v>110.23409257419641</c:v>
                </c:pt>
                <c:pt idx="50">
                  <c:v>110.23409257419641</c:v>
                </c:pt>
                <c:pt idx="51">
                  <c:v>111.37316643544139</c:v>
                </c:pt>
                <c:pt idx="52">
                  <c:v>111.63221433521196</c:v>
                </c:pt>
                <c:pt idx="53">
                  <c:v>110.37084379043193</c:v>
                </c:pt>
                <c:pt idx="54">
                  <c:v>109.35477516824652</c:v>
                </c:pt>
                <c:pt idx="55">
                  <c:v>109.54665200429102</c:v>
                </c:pt>
                <c:pt idx="56">
                  <c:v>109.54665200429102</c:v>
                </c:pt>
                <c:pt idx="57">
                  <c:v>109.54665200429102</c:v>
                </c:pt>
                <c:pt idx="58">
                  <c:v>109.54665200429102</c:v>
                </c:pt>
                <c:pt idx="59">
                  <c:v>108.16298477597601</c:v>
                </c:pt>
                <c:pt idx="60">
                  <c:v>108.96974609621336</c:v>
                </c:pt>
                <c:pt idx="61">
                  <c:v>108.80862056993372</c:v>
                </c:pt>
                <c:pt idx="62">
                  <c:v>109.14263364420027</c:v>
                </c:pt>
                <c:pt idx="63">
                  <c:v>109.14263364420027</c:v>
                </c:pt>
                <c:pt idx="64">
                  <c:v>109.14263364420027</c:v>
                </c:pt>
                <c:pt idx="65">
                  <c:v>109.70267593079397</c:v>
                </c:pt>
                <c:pt idx="66">
                  <c:v>108.93049212015401</c:v>
                </c:pt>
                <c:pt idx="67">
                  <c:v>109.29284741540202</c:v>
                </c:pt>
                <c:pt idx="68">
                  <c:v>109.17990366479088</c:v>
                </c:pt>
                <c:pt idx="69">
                  <c:v>108.84929165704212</c:v>
                </c:pt>
                <c:pt idx="70">
                  <c:v>108.84929165704212</c:v>
                </c:pt>
                <c:pt idx="71">
                  <c:v>108.84929165704212</c:v>
                </c:pt>
                <c:pt idx="72">
                  <c:v>109.64797544429976</c:v>
                </c:pt>
                <c:pt idx="73">
                  <c:v>109.17154270960137</c:v>
                </c:pt>
                <c:pt idx="74">
                  <c:v>109.17012559855227</c:v>
                </c:pt>
                <c:pt idx="75">
                  <c:v>110.0498681378169</c:v>
                </c:pt>
                <c:pt idx="76">
                  <c:v>108.18098208629922</c:v>
                </c:pt>
                <c:pt idx="77">
                  <c:v>108.18098208629922</c:v>
                </c:pt>
                <c:pt idx="78">
                  <c:v>108.18098208629922</c:v>
                </c:pt>
                <c:pt idx="79">
                  <c:v>108.14442062123315</c:v>
                </c:pt>
                <c:pt idx="80">
                  <c:v>107.75499850494785</c:v>
                </c:pt>
                <c:pt idx="81">
                  <c:v>108.08872815700457</c:v>
                </c:pt>
                <c:pt idx="82">
                  <c:v>107.08314615658227</c:v>
                </c:pt>
                <c:pt idx="83">
                  <c:v>108.86629698963102</c:v>
                </c:pt>
                <c:pt idx="84">
                  <c:v>108.86629698963102</c:v>
                </c:pt>
                <c:pt idx="85">
                  <c:v>108.86629698963102</c:v>
                </c:pt>
                <c:pt idx="86">
                  <c:v>106.42277240771418</c:v>
                </c:pt>
                <c:pt idx="87">
                  <c:v>106.82069719029393</c:v>
                </c:pt>
                <c:pt idx="88">
                  <c:v>108.00781111610249</c:v>
                </c:pt>
                <c:pt idx="89">
                  <c:v>107.92193418652867</c:v>
                </c:pt>
                <c:pt idx="90">
                  <c:v>108.22377883998125</c:v>
                </c:pt>
                <c:pt idx="91">
                  <c:v>108.22377883998125</c:v>
                </c:pt>
                <c:pt idx="92">
                  <c:v>108.22377883998125</c:v>
                </c:pt>
                <c:pt idx="93">
                  <c:v>106.9614163174669</c:v>
                </c:pt>
                <c:pt idx="94">
                  <c:v>107.60535157816574</c:v>
                </c:pt>
                <c:pt idx="95">
                  <c:v>107.31909514625295</c:v>
                </c:pt>
                <c:pt idx="96">
                  <c:v>107.74607070533868</c:v>
                </c:pt>
                <c:pt idx="97">
                  <c:v>107.95126838524448</c:v>
                </c:pt>
                <c:pt idx="98">
                  <c:v>107.95126838524448</c:v>
                </c:pt>
                <c:pt idx="99">
                  <c:v>107.95126838524448</c:v>
                </c:pt>
                <c:pt idx="100">
                  <c:v>108.94735574163799</c:v>
                </c:pt>
                <c:pt idx="101">
                  <c:v>109.00474873912545</c:v>
                </c:pt>
                <c:pt idx="102">
                  <c:v>107.58650400121306</c:v>
                </c:pt>
                <c:pt idx="103">
                  <c:v>108.42784283104778</c:v>
                </c:pt>
                <c:pt idx="104">
                  <c:v>108.57720633562009</c:v>
                </c:pt>
                <c:pt idx="105">
                  <c:v>108.57720633562009</c:v>
                </c:pt>
                <c:pt idx="106">
                  <c:v>108.57720633562009</c:v>
                </c:pt>
                <c:pt idx="107">
                  <c:v>107.70681672927935</c:v>
                </c:pt>
                <c:pt idx="108">
                  <c:v>108.0735650687795</c:v>
                </c:pt>
                <c:pt idx="109">
                  <c:v>108.78141203779153</c:v>
                </c:pt>
                <c:pt idx="110">
                  <c:v>108.89038787746526</c:v>
                </c:pt>
                <c:pt idx="111">
                  <c:v>108.81698152512327</c:v>
                </c:pt>
                <c:pt idx="112">
                  <c:v>108.81698152512327</c:v>
                </c:pt>
                <c:pt idx="113">
                  <c:v>108.81698152512327</c:v>
                </c:pt>
                <c:pt idx="114">
                  <c:v>108.49104598383643</c:v>
                </c:pt>
                <c:pt idx="115">
                  <c:v>109.24579932857279</c:v>
                </c:pt>
                <c:pt idx="116">
                  <c:v>108.52604862674855</c:v>
                </c:pt>
                <c:pt idx="117">
                  <c:v>108.59562877925804</c:v>
                </c:pt>
                <c:pt idx="118">
                  <c:v>109.13611493337454</c:v>
                </c:pt>
                <c:pt idx="119">
                  <c:v>109.13611493337454</c:v>
                </c:pt>
                <c:pt idx="120">
                  <c:v>109.13611493337454</c:v>
                </c:pt>
                <c:pt idx="121">
                  <c:v>109.12959622254881</c:v>
                </c:pt>
                <c:pt idx="122">
                  <c:v>109.80853412615974</c:v>
                </c:pt>
                <c:pt idx="123">
                  <c:v>108.45023318562312</c:v>
                </c:pt>
                <c:pt idx="124">
                  <c:v>107.35934110004663</c:v>
                </c:pt>
                <c:pt idx="125">
                  <c:v>108.53795235956076</c:v>
                </c:pt>
                <c:pt idx="126">
                  <c:v>108.53795235956076</c:v>
                </c:pt>
                <c:pt idx="127">
                  <c:v>108.53795235956076</c:v>
                </c:pt>
                <c:pt idx="128">
                  <c:v>108.60427315665737</c:v>
                </c:pt>
                <c:pt idx="129">
                  <c:v>109.37943290050039</c:v>
                </c:pt>
                <c:pt idx="130">
                  <c:v>110.20376639774622</c:v>
                </c:pt>
                <c:pt idx="131">
                  <c:v>109.70947806382954</c:v>
                </c:pt>
                <c:pt idx="132">
                  <c:v>108.65004584354246</c:v>
                </c:pt>
                <c:pt idx="133">
                  <c:v>108.65004584354246</c:v>
                </c:pt>
                <c:pt idx="134">
                  <c:v>108.65004584354246</c:v>
                </c:pt>
                <c:pt idx="135">
                  <c:v>108.30200336989009</c:v>
                </c:pt>
                <c:pt idx="136">
                  <c:v>107.86539145567065</c:v>
                </c:pt>
                <c:pt idx="137">
                  <c:v>106.25314421514014</c:v>
                </c:pt>
                <c:pt idx="138">
                  <c:v>107.08229588995283</c:v>
                </c:pt>
                <c:pt idx="139">
                  <c:v>107.11361404413735</c:v>
                </c:pt>
                <c:pt idx="140">
                  <c:v>107.11361404413735</c:v>
                </c:pt>
                <c:pt idx="141">
                  <c:v>107.11361404413735</c:v>
                </c:pt>
                <c:pt idx="142">
                  <c:v>107.57658422386956</c:v>
                </c:pt>
                <c:pt idx="143">
                  <c:v>107.21437063972645</c:v>
                </c:pt>
                <c:pt idx="144">
                  <c:v>107.33539192331729</c:v>
                </c:pt>
                <c:pt idx="145">
                  <c:v>107.17922628570943</c:v>
                </c:pt>
                <c:pt idx="146">
                  <c:v>107.38144803241217</c:v>
                </c:pt>
                <c:pt idx="147">
                  <c:v>107.38144803241217</c:v>
                </c:pt>
                <c:pt idx="148">
                  <c:v>107.38144803241217</c:v>
                </c:pt>
                <c:pt idx="149">
                  <c:v>107.38144803241217</c:v>
                </c:pt>
                <c:pt idx="150">
                  <c:v>107.94446625220893</c:v>
                </c:pt>
                <c:pt idx="151">
                  <c:v>107.17908457460452</c:v>
                </c:pt>
                <c:pt idx="152">
                  <c:v>106.51049158165182</c:v>
                </c:pt>
                <c:pt idx="153">
                  <c:v>105.32564503352178</c:v>
                </c:pt>
                <c:pt idx="154">
                  <c:v>105.32564503352178</c:v>
                </c:pt>
                <c:pt idx="155">
                  <c:v>105.32564503352178</c:v>
                </c:pt>
                <c:pt idx="156">
                  <c:v>106.34851578874276</c:v>
                </c:pt>
                <c:pt idx="157">
                  <c:v>105.68615808440597</c:v>
                </c:pt>
                <c:pt idx="158">
                  <c:v>104.62927666400724</c:v>
                </c:pt>
                <c:pt idx="159">
                  <c:v>103.71779083724337</c:v>
                </c:pt>
                <c:pt idx="160">
                  <c:v>103.13309081839581</c:v>
                </c:pt>
                <c:pt idx="161">
                  <c:v>103.13309081839581</c:v>
                </c:pt>
                <c:pt idx="162">
                  <c:v>103.13309081839581</c:v>
                </c:pt>
                <c:pt idx="163">
                  <c:v>103.15576459518098</c:v>
                </c:pt>
                <c:pt idx="164">
                  <c:v>103.07413899875438</c:v>
                </c:pt>
                <c:pt idx="165">
                  <c:v>103.63843261849527</c:v>
                </c:pt>
                <c:pt idx="166">
                  <c:v>103.18793301599494</c:v>
                </c:pt>
                <c:pt idx="167">
                  <c:v>103.50635786872166</c:v>
                </c:pt>
                <c:pt idx="168">
                  <c:v>103.50635786872166</c:v>
                </c:pt>
                <c:pt idx="169">
                  <c:v>103.50635786872166</c:v>
                </c:pt>
                <c:pt idx="170">
                  <c:v>103.47886591436965</c:v>
                </c:pt>
                <c:pt idx="171">
                  <c:v>103.45236593775198</c:v>
                </c:pt>
                <c:pt idx="172">
                  <c:v>103.89011154081066</c:v>
                </c:pt>
                <c:pt idx="173">
                  <c:v>104.40310574057514</c:v>
                </c:pt>
                <c:pt idx="174">
                  <c:v>106.14487693099095</c:v>
                </c:pt>
                <c:pt idx="175">
                  <c:v>106.14487693099095</c:v>
                </c:pt>
                <c:pt idx="176">
                  <c:v>106.14487693099095</c:v>
                </c:pt>
                <c:pt idx="177">
                  <c:v>105.69395219517588</c:v>
                </c:pt>
                <c:pt idx="178">
                  <c:v>106.39046227579534</c:v>
                </c:pt>
                <c:pt idx="179">
                  <c:v>106.4461547400239</c:v>
                </c:pt>
                <c:pt idx="180">
                  <c:v>106.92726394118421</c:v>
                </c:pt>
                <c:pt idx="181">
                  <c:v>106.42787400749086</c:v>
                </c:pt>
              </c:numCache>
            </c:numRef>
          </c:val>
          <c:smooth val="0"/>
          <c:extLst xmlns:c16r2="http://schemas.microsoft.com/office/drawing/2015/06/chart">
            <c:ext xmlns:c16="http://schemas.microsoft.com/office/drawing/2014/chart" uri="{C3380CC4-5D6E-409C-BE32-E72D297353CC}">
              <c16:uniqueId val="{00000002-9E3C-7245-829D-25A2AB0980D3}"/>
            </c:ext>
          </c:extLst>
        </c:ser>
        <c:ser>
          <c:idx val="3"/>
          <c:order val="3"/>
          <c:tx>
            <c:strRef>
              <c:f>Index_Charts!$E$1</c:f>
              <c:strCache>
                <c:ptCount val="1"/>
                <c:pt idx="0">
                  <c:v>DAX</c:v>
                </c:pt>
              </c:strCache>
            </c:strRef>
          </c:tx>
          <c:spPr>
            <a:ln w="28575" cap="rnd">
              <a:solidFill>
                <a:schemeClr val="accent4"/>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Index_Charts!$E$2:$E$183</c:f>
              <c:numCache>
                <c:formatCode>0.00</c:formatCode>
                <c:ptCount val="182"/>
                <c:pt idx="0">
                  <c:v>100</c:v>
                </c:pt>
                <c:pt idx="1">
                  <c:v>100</c:v>
                </c:pt>
                <c:pt idx="2">
                  <c:v>100</c:v>
                </c:pt>
                <c:pt idx="3">
                  <c:v>99.220615819316464</c:v>
                </c:pt>
                <c:pt idx="4">
                  <c:v>98.852334473861944</c:v>
                </c:pt>
                <c:pt idx="5">
                  <c:v>101.72327562903365</c:v>
                </c:pt>
                <c:pt idx="6">
                  <c:v>101.19486836525245</c:v>
                </c:pt>
                <c:pt idx="7">
                  <c:v>101.19486836525245</c:v>
                </c:pt>
                <c:pt idx="8">
                  <c:v>101.19486836525245</c:v>
                </c:pt>
                <c:pt idx="9">
                  <c:v>101.36417031710224</c:v>
                </c:pt>
                <c:pt idx="10">
                  <c:v>102.48488641145168</c:v>
                </c:pt>
                <c:pt idx="11">
                  <c:v>101.63052329017842</c:v>
                </c:pt>
                <c:pt idx="12">
                  <c:v>102.63112427904071</c:v>
                </c:pt>
                <c:pt idx="13">
                  <c:v>102.85754910624607</c:v>
                </c:pt>
                <c:pt idx="14">
                  <c:v>102.85754910624607</c:v>
                </c:pt>
                <c:pt idx="15">
                  <c:v>102.85754910624607</c:v>
                </c:pt>
                <c:pt idx="16">
                  <c:v>102.43603023296379</c:v>
                </c:pt>
                <c:pt idx="17">
                  <c:v>104.0410920967898</c:v>
                </c:pt>
                <c:pt idx="18">
                  <c:v>104.08457492231371</c:v>
                </c:pt>
                <c:pt idx="19">
                  <c:v>103.89105154864167</c:v>
                </c:pt>
                <c:pt idx="20">
                  <c:v>103.66851206896411</c:v>
                </c:pt>
                <c:pt idx="21">
                  <c:v>103.66851206896411</c:v>
                </c:pt>
                <c:pt idx="22">
                  <c:v>103.66851206896411</c:v>
                </c:pt>
                <c:pt idx="23">
                  <c:v>103.93213703207395</c:v>
                </c:pt>
                <c:pt idx="24">
                  <c:v>103.75382438063841</c:v>
                </c:pt>
                <c:pt idx="25">
                  <c:v>102.69138849920598</c:v>
                </c:pt>
                <c:pt idx="26">
                  <c:v>103.33759619335143</c:v>
                </c:pt>
                <c:pt idx="27">
                  <c:v>104.00223862151176</c:v>
                </c:pt>
                <c:pt idx="28">
                  <c:v>104.00223862151176</c:v>
                </c:pt>
                <c:pt idx="29">
                  <c:v>104.00223862151176</c:v>
                </c:pt>
                <c:pt idx="30">
                  <c:v>104.26049023165767</c:v>
                </c:pt>
                <c:pt idx="31">
                  <c:v>104.26049023165767</c:v>
                </c:pt>
                <c:pt idx="32">
                  <c:v>105.83231997407565</c:v>
                </c:pt>
                <c:pt idx="33">
                  <c:v>104.90562325521029</c:v>
                </c:pt>
                <c:pt idx="34">
                  <c:v>105.97574716472964</c:v>
                </c:pt>
                <c:pt idx="35">
                  <c:v>105.97574716472964</c:v>
                </c:pt>
                <c:pt idx="36">
                  <c:v>105.97574716472964</c:v>
                </c:pt>
                <c:pt idx="37">
                  <c:v>107.03834838009942</c:v>
                </c:pt>
                <c:pt idx="38">
                  <c:v>106.74132596164418</c:v>
                </c:pt>
                <c:pt idx="39">
                  <c:v>106.99635356001167</c:v>
                </c:pt>
                <c:pt idx="40">
                  <c:v>107.65611863702009</c:v>
                </c:pt>
                <c:pt idx="41">
                  <c:v>107.47730998377247</c:v>
                </c:pt>
                <c:pt idx="42">
                  <c:v>107.47730998377247</c:v>
                </c:pt>
                <c:pt idx="43">
                  <c:v>107.47730998377247</c:v>
                </c:pt>
                <c:pt idx="44">
                  <c:v>107.2827946064763</c:v>
                </c:pt>
                <c:pt idx="45">
                  <c:v>107.2193890415013</c:v>
                </c:pt>
                <c:pt idx="46">
                  <c:v>107.43672050215223</c:v>
                </c:pt>
                <c:pt idx="47">
                  <c:v>108.41450540765976</c:v>
                </c:pt>
                <c:pt idx="48">
                  <c:v>108.10954696021156</c:v>
                </c:pt>
                <c:pt idx="49">
                  <c:v>108.10954696021156</c:v>
                </c:pt>
                <c:pt idx="50">
                  <c:v>108.10954696021156</c:v>
                </c:pt>
                <c:pt idx="51">
                  <c:v>108.10954696021156</c:v>
                </c:pt>
                <c:pt idx="52">
                  <c:v>108.87173641141037</c:v>
                </c:pt>
                <c:pt idx="53">
                  <c:v>107.27560258020144</c:v>
                </c:pt>
                <c:pt idx="54">
                  <c:v>106.26913223656311</c:v>
                </c:pt>
                <c:pt idx="55">
                  <c:v>106.95460674082997</c:v>
                </c:pt>
                <c:pt idx="56">
                  <c:v>106.95460674082997</c:v>
                </c:pt>
                <c:pt idx="57">
                  <c:v>106.95460674082997</c:v>
                </c:pt>
                <c:pt idx="58">
                  <c:v>106.33832448934545</c:v>
                </c:pt>
                <c:pt idx="59">
                  <c:v>104.71019854125868</c:v>
                </c:pt>
                <c:pt idx="60">
                  <c:v>105.67946874899251</c:v>
                </c:pt>
                <c:pt idx="61">
                  <c:v>104.20080468027311</c:v>
                </c:pt>
                <c:pt idx="62">
                  <c:v>105.18768295233507</c:v>
                </c:pt>
                <c:pt idx="63">
                  <c:v>105.18768295233507</c:v>
                </c:pt>
                <c:pt idx="64">
                  <c:v>105.18768295233507</c:v>
                </c:pt>
                <c:pt idx="65">
                  <c:v>105.57191902274417</c:v>
                </c:pt>
                <c:pt idx="66">
                  <c:v>105.70732751743652</c:v>
                </c:pt>
                <c:pt idx="67">
                  <c:v>106.06229948093412</c:v>
                </c:pt>
                <c:pt idx="68">
                  <c:v>105.9050669065111</c:v>
                </c:pt>
                <c:pt idx="69">
                  <c:v>105.53719889589996</c:v>
                </c:pt>
                <c:pt idx="70">
                  <c:v>105.53719889589996</c:v>
                </c:pt>
                <c:pt idx="71">
                  <c:v>105.53719889589996</c:v>
                </c:pt>
                <c:pt idx="72">
                  <c:v>106.16844386871493</c:v>
                </c:pt>
                <c:pt idx="73">
                  <c:v>106.16340118362567</c:v>
                </c:pt>
                <c:pt idx="74">
                  <c:v>106.56251730839656</c:v>
                </c:pt>
                <c:pt idx="75">
                  <c:v>108.3524225141836</c:v>
                </c:pt>
                <c:pt idx="76">
                  <c:v>107.55427293161044</c:v>
                </c:pt>
                <c:pt idx="77">
                  <c:v>107.55427293161044</c:v>
                </c:pt>
                <c:pt idx="78">
                  <c:v>107.55427293161044</c:v>
                </c:pt>
                <c:pt idx="79">
                  <c:v>106.0956969362795</c:v>
                </c:pt>
                <c:pt idx="80">
                  <c:v>104.80493488736211</c:v>
                </c:pt>
                <c:pt idx="81">
                  <c:v>104.94703940651731</c:v>
                </c:pt>
                <c:pt idx="82">
                  <c:v>103.43216720551753</c:v>
                </c:pt>
                <c:pt idx="83">
                  <c:v>103.99273192011395</c:v>
                </c:pt>
                <c:pt idx="84">
                  <c:v>103.99273192011395</c:v>
                </c:pt>
                <c:pt idx="85">
                  <c:v>103.99273192011395</c:v>
                </c:pt>
                <c:pt idx="86">
                  <c:v>101.43509857622681</c:v>
                </c:pt>
                <c:pt idx="87">
                  <c:v>101.13758015595951</c:v>
                </c:pt>
                <c:pt idx="88">
                  <c:v>102.08221560702768</c:v>
                </c:pt>
                <c:pt idx="89">
                  <c:v>100.66546909784711</c:v>
                </c:pt>
                <c:pt idx="90">
                  <c:v>101.72997165349645</c:v>
                </c:pt>
                <c:pt idx="91">
                  <c:v>101.72997165349645</c:v>
                </c:pt>
                <c:pt idx="92">
                  <c:v>101.72997165349645</c:v>
                </c:pt>
                <c:pt idx="93">
                  <c:v>101.16924160496268</c:v>
                </c:pt>
                <c:pt idx="94">
                  <c:v>102.08659695636754</c:v>
                </c:pt>
                <c:pt idx="95">
                  <c:v>101.82594800413005</c:v>
                </c:pt>
                <c:pt idx="96">
                  <c:v>103.03850710067928</c:v>
                </c:pt>
                <c:pt idx="97">
                  <c:v>103.30204939682046</c:v>
                </c:pt>
                <c:pt idx="98">
                  <c:v>103.30204939682046</c:v>
                </c:pt>
                <c:pt idx="99">
                  <c:v>103.30204939682046</c:v>
                </c:pt>
                <c:pt idx="100">
                  <c:v>103.69653617134549</c:v>
                </c:pt>
                <c:pt idx="101">
                  <c:v>104.24180749673673</c:v>
                </c:pt>
                <c:pt idx="102">
                  <c:v>102.64864967640015</c:v>
                </c:pt>
                <c:pt idx="103">
                  <c:v>103.27559596684392</c:v>
                </c:pt>
                <c:pt idx="104">
                  <c:v>103.67041340924365</c:v>
                </c:pt>
                <c:pt idx="105">
                  <c:v>103.67041340924365</c:v>
                </c:pt>
                <c:pt idx="106">
                  <c:v>103.67041340924365</c:v>
                </c:pt>
                <c:pt idx="107">
                  <c:v>103.8381446886886</c:v>
                </c:pt>
                <c:pt idx="108">
                  <c:v>104.66911305782638</c:v>
                </c:pt>
                <c:pt idx="109">
                  <c:v>105.53215621081068</c:v>
                </c:pt>
                <c:pt idx="110">
                  <c:v>104.87371380530111</c:v>
                </c:pt>
                <c:pt idx="111">
                  <c:v>103.84145136743568</c:v>
                </c:pt>
                <c:pt idx="112">
                  <c:v>103.84145136743568</c:v>
                </c:pt>
                <c:pt idx="113">
                  <c:v>103.84145136743568</c:v>
                </c:pt>
                <c:pt idx="114">
                  <c:v>103.73522431268616</c:v>
                </c:pt>
                <c:pt idx="115">
                  <c:v>104.89934056559088</c:v>
                </c:pt>
                <c:pt idx="116">
                  <c:v>103.98950790833557</c:v>
                </c:pt>
                <c:pt idx="117">
                  <c:v>105.89002151821194</c:v>
                </c:pt>
                <c:pt idx="118">
                  <c:v>106.31302839693042</c:v>
                </c:pt>
                <c:pt idx="119">
                  <c:v>106.31302839693042</c:v>
                </c:pt>
                <c:pt idx="120">
                  <c:v>106.31302839693042</c:v>
                </c:pt>
                <c:pt idx="121">
                  <c:v>105.7988398517616</c:v>
                </c:pt>
                <c:pt idx="122">
                  <c:v>105.85918673889556</c:v>
                </c:pt>
                <c:pt idx="123">
                  <c:v>105.29333133830383</c:v>
                </c:pt>
                <c:pt idx="124">
                  <c:v>103.71670691170259</c:v>
                </c:pt>
                <c:pt idx="125">
                  <c:v>104.29066367522464</c:v>
                </c:pt>
                <c:pt idx="126">
                  <c:v>104.29066367522464</c:v>
                </c:pt>
                <c:pt idx="127">
                  <c:v>104.29066367522464</c:v>
                </c:pt>
                <c:pt idx="128">
                  <c:v>104.14558314519708</c:v>
                </c:pt>
                <c:pt idx="129">
                  <c:v>104.55875265464304</c:v>
                </c:pt>
                <c:pt idx="130">
                  <c:v>104.43764554553174</c:v>
                </c:pt>
                <c:pt idx="131">
                  <c:v>104.78955883118827</c:v>
                </c:pt>
                <c:pt idx="132">
                  <c:v>102.70833522778472</c:v>
                </c:pt>
                <c:pt idx="133">
                  <c:v>102.70833522778472</c:v>
                </c:pt>
                <c:pt idx="134">
                  <c:v>102.70833522778472</c:v>
                </c:pt>
                <c:pt idx="135">
                  <c:v>102.16595724629714</c:v>
                </c:pt>
                <c:pt idx="136">
                  <c:v>102.16703191688994</c:v>
                </c:pt>
                <c:pt idx="137">
                  <c:v>100.54791666838889</c:v>
                </c:pt>
                <c:pt idx="138">
                  <c:v>101.16097490809499</c:v>
                </c:pt>
                <c:pt idx="139">
                  <c:v>100.94091543747771</c:v>
                </c:pt>
                <c:pt idx="140">
                  <c:v>100.94091543747771</c:v>
                </c:pt>
                <c:pt idx="141">
                  <c:v>100.94091543747771</c:v>
                </c:pt>
                <c:pt idx="142">
                  <c:v>101.93911908424838</c:v>
                </c:pt>
                <c:pt idx="143">
                  <c:v>102.37882469063955</c:v>
                </c:pt>
                <c:pt idx="144">
                  <c:v>102.38882739384943</c:v>
                </c:pt>
                <c:pt idx="145">
                  <c:v>102.22250145287197</c:v>
                </c:pt>
                <c:pt idx="146">
                  <c:v>102.46173966022224</c:v>
                </c:pt>
                <c:pt idx="147">
                  <c:v>102.46173966022224</c:v>
                </c:pt>
                <c:pt idx="148">
                  <c:v>102.46173966022224</c:v>
                </c:pt>
                <c:pt idx="149">
                  <c:v>103.65040800282389</c:v>
                </c:pt>
                <c:pt idx="150">
                  <c:v>103.56038367393504</c:v>
                </c:pt>
                <c:pt idx="151">
                  <c:v>103.84360070862127</c:v>
                </c:pt>
                <c:pt idx="152">
                  <c:v>103.28609467186587</c:v>
                </c:pt>
                <c:pt idx="153">
                  <c:v>102.20993607363312</c:v>
                </c:pt>
                <c:pt idx="154">
                  <c:v>102.20993607363312</c:v>
                </c:pt>
                <c:pt idx="155">
                  <c:v>102.20993607363312</c:v>
                </c:pt>
                <c:pt idx="156">
                  <c:v>102.06402887391883</c:v>
                </c:pt>
                <c:pt idx="157">
                  <c:v>100.93810476054273</c:v>
                </c:pt>
                <c:pt idx="158">
                  <c:v>99.534832967256435</c:v>
                </c:pt>
                <c:pt idx="159">
                  <c:v>98.830427727162629</c:v>
                </c:pt>
                <c:pt idx="160">
                  <c:v>98.866635859443008</c:v>
                </c:pt>
                <c:pt idx="161">
                  <c:v>98.866635859443008</c:v>
                </c:pt>
                <c:pt idx="162">
                  <c:v>98.866635859443008</c:v>
                </c:pt>
                <c:pt idx="163">
                  <c:v>99.087439332778374</c:v>
                </c:pt>
                <c:pt idx="164">
                  <c:v>98.954593514114976</c:v>
                </c:pt>
                <c:pt idx="165">
                  <c:v>99.467376720816276</c:v>
                </c:pt>
                <c:pt idx="166">
                  <c:v>99.659577422989514</c:v>
                </c:pt>
                <c:pt idx="167">
                  <c:v>100.22816083354758</c:v>
                </c:pt>
                <c:pt idx="168">
                  <c:v>100.22816083354758</c:v>
                </c:pt>
                <c:pt idx="169">
                  <c:v>100.22816083354758</c:v>
                </c:pt>
                <c:pt idx="170">
                  <c:v>99.997354657002347</c:v>
                </c:pt>
                <c:pt idx="171">
                  <c:v>100.50377250711557</c:v>
                </c:pt>
                <c:pt idx="172">
                  <c:v>101.01093435994686</c:v>
                </c:pt>
                <c:pt idx="173">
                  <c:v>101.89927360534622</c:v>
                </c:pt>
                <c:pt idx="174">
                  <c:v>102.76231675833057</c:v>
                </c:pt>
                <c:pt idx="175">
                  <c:v>102.76231675833057</c:v>
                </c:pt>
                <c:pt idx="176">
                  <c:v>102.76231675833057</c:v>
                </c:pt>
                <c:pt idx="177">
                  <c:v>102.10048500710522</c:v>
                </c:pt>
                <c:pt idx="178">
                  <c:v>102.29756306043039</c:v>
                </c:pt>
                <c:pt idx="179">
                  <c:v>102.39039806625428</c:v>
                </c:pt>
                <c:pt idx="180">
                  <c:v>102.80125290057727</c:v>
                </c:pt>
                <c:pt idx="181">
                  <c:v>101.24000453014987</c:v>
                </c:pt>
              </c:numCache>
            </c:numRef>
          </c:val>
          <c:smooth val="0"/>
          <c:extLst xmlns:c16r2="http://schemas.microsoft.com/office/drawing/2015/06/chart">
            <c:ext xmlns:c16="http://schemas.microsoft.com/office/drawing/2014/chart" uri="{C3380CC4-5D6E-409C-BE32-E72D297353CC}">
              <c16:uniqueId val="{00000003-9E3C-7245-829D-25A2AB0980D3}"/>
            </c:ext>
          </c:extLst>
        </c:ser>
        <c:ser>
          <c:idx val="4"/>
          <c:order val="4"/>
          <c:tx>
            <c:strRef>
              <c:f>Index_Charts!$F$1</c:f>
              <c:strCache>
                <c:ptCount val="1"/>
                <c:pt idx="0">
                  <c:v>Hang Seng</c:v>
                </c:pt>
              </c:strCache>
            </c:strRef>
          </c:tx>
          <c:spPr>
            <a:ln w="28575" cap="rnd">
              <a:solidFill>
                <a:schemeClr val="accent5"/>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Index_Charts!$F$2:$F$183</c:f>
              <c:numCache>
                <c:formatCode>0.00</c:formatCode>
                <c:ptCount val="182"/>
                <c:pt idx="0">
                  <c:v>100</c:v>
                </c:pt>
                <c:pt idx="1">
                  <c:v>100</c:v>
                </c:pt>
                <c:pt idx="2">
                  <c:v>100</c:v>
                </c:pt>
                <c:pt idx="3">
                  <c:v>100.28816969047676</c:v>
                </c:pt>
                <c:pt idx="4">
                  <c:v>98.090310892295903</c:v>
                </c:pt>
                <c:pt idx="5">
                  <c:v>98.090310892295903</c:v>
                </c:pt>
                <c:pt idx="6">
                  <c:v>99.174436371055691</c:v>
                </c:pt>
                <c:pt idx="7">
                  <c:v>99.174436371055691</c:v>
                </c:pt>
                <c:pt idx="8">
                  <c:v>99.174436371055691</c:v>
                </c:pt>
                <c:pt idx="9">
                  <c:v>100.45259123435122</c:v>
                </c:pt>
                <c:pt idx="10">
                  <c:v>102.11129490937874</c:v>
                </c:pt>
                <c:pt idx="11">
                  <c:v>102.67278052515204</c:v>
                </c:pt>
                <c:pt idx="12">
                  <c:v>102.45203430123169</c:v>
                </c:pt>
                <c:pt idx="13">
                  <c:v>102.3759378308452</c:v>
                </c:pt>
                <c:pt idx="14">
                  <c:v>102.3759378308452</c:v>
                </c:pt>
                <c:pt idx="15">
                  <c:v>102.3759378308452</c:v>
                </c:pt>
                <c:pt idx="16">
                  <c:v>100.738401601947</c:v>
                </c:pt>
                <c:pt idx="17">
                  <c:v>99.898216817120584</c:v>
                </c:pt>
                <c:pt idx="18">
                  <c:v>100.6342590961866</c:v>
                </c:pt>
                <c:pt idx="19">
                  <c:v>102.04383821292258</c:v>
                </c:pt>
                <c:pt idx="20">
                  <c:v>101.07980559179461</c:v>
                </c:pt>
                <c:pt idx="21">
                  <c:v>101.07980559179461</c:v>
                </c:pt>
                <c:pt idx="22">
                  <c:v>101.07980559179461</c:v>
                </c:pt>
                <c:pt idx="23">
                  <c:v>100.5350678454863</c:v>
                </c:pt>
                <c:pt idx="24">
                  <c:v>101.8039183368568</c:v>
                </c:pt>
                <c:pt idx="25">
                  <c:v>100.78013835601053</c:v>
                </c:pt>
                <c:pt idx="26">
                  <c:v>99.715219759295891</c:v>
                </c:pt>
                <c:pt idx="27">
                  <c:v>100.6223627920825</c:v>
                </c:pt>
                <c:pt idx="28">
                  <c:v>100.6223627920825</c:v>
                </c:pt>
                <c:pt idx="29">
                  <c:v>100.6223627920825</c:v>
                </c:pt>
                <c:pt idx="30">
                  <c:v>102.37617044014331</c:v>
                </c:pt>
                <c:pt idx="31">
                  <c:v>102.37617044014331</c:v>
                </c:pt>
                <c:pt idx="32">
                  <c:v>102.09514517810894</c:v>
                </c:pt>
                <c:pt idx="33">
                  <c:v>100.73102456420648</c:v>
                </c:pt>
                <c:pt idx="34">
                  <c:v>99.445459433270699</c:v>
                </c:pt>
                <c:pt idx="35">
                  <c:v>99.445459433270699</c:v>
                </c:pt>
                <c:pt idx="36">
                  <c:v>99.445459433270699</c:v>
                </c:pt>
                <c:pt idx="37">
                  <c:v>99.670625233855418</c:v>
                </c:pt>
                <c:pt idx="38">
                  <c:v>101.0282327874104</c:v>
                </c:pt>
                <c:pt idx="39">
                  <c:v>101.47128704053847</c:v>
                </c:pt>
                <c:pt idx="40">
                  <c:v>102.37872914242267</c:v>
                </c:pt>
                <c:pt idx="41">
                  <c:v>103.41829332564171</c:v>
                </c:pt>
                <c:pt idx="42">
                  <c:v>103.41829332564171</c:v>
                </c:pt>
                <c:pt idx="43">
                  <c:v>103.41829332564171</c:v>
                </c:pt>
                <c:pt idx="44">
                  <c:v>104.8106925842162</c:v>
                </c:pt>
                <c:pt idx="45">
                  <c:v>103.51788333513883</c:v>
                </c:pt>
                <c:pt idx="46">
                  <c:v>103.37888266455946</c:v>
                </c:pt>
                <c:pt idx="47">
                  <c:v>102.8204541995615</c:v>
                </c:pt>
                <c:pt idx="48">
                  <c:v>103.1718936191282</c:v>
                </c:pt>
                <c:pt idx="49">
                  <c:v>103.1718936191282</c:v>
                </c:pt>
                <c:pt idx="50">
                  <c:v>103.1718936191282</c:v>
                </c:pt>
                <c:pt idx="51">
                  <c:v>103.79143186973347</c:v>
                </c:pt>
                <c:pt idx="52">
                  <c:v>103.79143186973347</c:v>
                </c:pt>
                <c:pt idx="53">
                  <c:v>101.90161424206919</c:v>
                </c:pt>
                <c:pt idx="54">
                  <c:v>102.21653400183031</c:v>
                </c:pt>
                <c:pt idx="55">
                  <c:v>101.64375022014809</c:v>
                </c:pt>
                <c:pt idx="56">
                  <c:v>101.64375022014809</c:v>
                </c:pt>
                <c:pt idx="57">
                  <c:v>101.64375022014809</c:v>
                </c:pt>
                <c:pt idx="58">
                  <c:v>102.32237123247702</c:v>
                </c:pt>
                <c:pt idx="59">
                  <c:v>101.29995367751978</c:v>
                </c:pt>
                <c:pt idx="60">
                  <c:v>99.878411796880243</c:v>
                </c:pt>
                <c:pt idx="61">
                  <c:v>101.24671937814895</c:v>
                </c:pt>
                <c:pt idx="62">
                  <c:v>101.32763418399662</c:v>
                </c:pt>
                <c:pt idx="63">
                  <c:v>101.32763418399662</c:v>
                </c:pt>
                <c:pt idx="64">
                  <c:v>101.32763418399662</c:v>
                </c:pt>
                <c:pt idx="65">
                  <c:v>103.00597672976582</c:v>
                </c:pt>
                <c:pt idx="66">
                  <c:v>103.32322258250817</c:v>
                </c:pt>
                <c:pt idx="67">
                  <c:v>103.87367587157041</c:v>
                </c:pt>
                <c:pt idx="68">
                  <c:v>104.71615351947835</c:v>
                </c:pt>
                <c:pt idx="69">
                  <c:v>102.87382141853125</c:v>
                </c:pt>
                <c:pt idx="70">
                  <c:v>102.87382141853125</c:v>
                </c:pt>
                <c:pt idx="71">
                  <c:v>102.87382141853125</c:v>
                </c:pt>
                <c:pt idx="72">
                  <c:v>103.22436363080519</c:v>
                </c:pt>
                <c:pt idx="73">
                  <c:v>103.35515651615073</c:v>
                </c:pt>
                <c:pt idx="74">
                  <c:v>102.09936537537492</c:v>
                </c:pt>
                <c:pt idx="75">
                  <c:v>101.1523796928095</c:v>
                </c:pt>
                <c:pt idx="76">
                  <c:v>100.71813136311043</c:v>
                </c:pt>
                <c:pt idx="77">
                  <c:v>100.71813136311043</c:v>
                </c:pt>
                <c:pt idx="78">
                  <c:v>100.71813136311043</c:v>
                </c:pt>
                <c:pt idx="79">
                  <c:v>100.71813136311043</c:v>
                </c:pt>
                <c:pt idx="80">
                  <c:v>97.922366979049883</c:v>
                </c:pt>
                <c:pt idx="81">
                  <c:v>98.680075152741225</c:v>
                </c:pt>
                <c:pt idx="82">
                  <c:v>97.350480404660416</c:v>
                </c:pt>
                <c:pt idx="83">
                  <c:v>97.492205927017835</c:v>
                </c:pt>
                <c:pt idx="84">
                  <c:v>97.492205927017835</c:v>
                </c:pt>
                <c:pt idx="85">
                  <c:v>97.492205927017835</c:v>
                </c:pt>
                <c:pt idx="86">
                  <c:v>96.238408580225936</c:v>
                </c:pt>
                <c:pt idx="87">
                  <c:v>95.972602612268872</c:v>
                </c:pt>
                <c:pt idx="88">
                  <c:v>94.227567657737339</c:v>
                </c:pt>
                <c:pt idx="89">
                  <c:v>94.696308623358362</c:v>
                </c:pt>
                <c:pt idx="90">
                  <c:v>96.21754020319419</c:v>
                </c:pt>
                <c:pt idx="91">
                  <c:v>96.21754020319419</c:v>
                </c:pt>
                <c:pt idx="92">
                  <c:v>96.21754020319419</c:v>
                </c:pt>
                <c:pt idx="93">
                  <c:v>96.21754020319419</c:v>
                </c:pt>
                <c:pt idx="94">
                  <c:v>94.856642889565748</c:v>
                </c:pt>
                <c:pt idx="95">
                  <c:v>93.846786236707203</c:v>
                </c:pt>
                <c:pt idx="96">
                  <c:v>93.64880249410335</c:v>
                </c:pt>
                <c:pt idx="97">
                  <c:v>94.092521345226089</c:v>
                </c:pt>
                <c:pt idx="98">
                  <c:v>94.092521345226089</c:v>
                </c:pt>
                <c:pt idx="99">
                  <c:v>94.092521345226089</c:v>
                </c:pt>
                <c:pt idx="100">
                  <c:v>95.331597846436651</c:v>
                </c:pt>
                <c:pt idx="101">
                  <c:v>95.310829159104088</c:v>
                </c:pt>
                <c:pt idx="102">
                  <c:v>94.079461994631373</c:v>
                </c:pt>
                <c:pt idx="103">
                  <c:v>94.641512518700139</c:v>
                </c:pt>
                <c:pt idx="104">
                  <c:v>94.789751101405017</c:v>
                </c:pt>
                <c:pt idx="105">
                  <c:v>94.789751101405017</c:v>
                </c:pt>
                <c:pt idx="106">
                  <c:v>94.789751101405017</c:v>
                </c:pt>
                <c:pt idx="107">
                  <c:v>94.837004018824061</c:v>
                </c:pt>
                <c:pt idx="108">
                  <c:v>93.647440068214337</c:v>
                </c:pt>
                <c:pt idx="109">
                  <c:v>93.433904732535851</c:v>
                </c:pt>
                <c:pt idx="110">
                  <c:v>93.079806920990592</c:v>
                </c:pt>
                <c:pt idx="111">
                  <c:v>93.789664039067716</c:v>
                </c:pt>
                <c:pt idx="112">
                  <c:v>93.789664039067716</c:v>
                </c:pt>
                <c:pt idx="113">
                  <c:v>93.789664039067716</c:v>
                </c:pt>
                <c:pt idx="114">
                  <c:v>93.894803441820088</c:v>
                </c:pt>
                <c:pt idx="115">
                  <c:v>95.245432716431324</c:v>
                </c:pt>
                <c:pt idx="116">
                  <c:v>96.103860716210676</c:v>
                </c:pt>
                <c:pt idx="117">
                  <c:v>95.63943963755483</c:v>
                </c:pt>
                <c:pt idx="118">
                  <c:v>95.716333625534915</c:v>
                </c:pt>
                <c:pt idx="119">
                  <c:v>95.716333625534915</c:v>
                </c:pt>
                <c:pt idx="120">
                  <c:v>95.716333625534915</c:v>
                </c:pt>
                <c:pt idx="121">
                  <c:v>95.479902888941027</c:v>
                </c:pt>
                <c:pt idx="122">
                  <c:v>94.981055634162729</c:v>
                </c:pt>
                <c:pt idx="123">
                  <c:v>94.175994853353131</c:v>
                </c:pt>
                <c:pt idx="124">
                  <c:v>92.095204991928455</c:v>
                </c:pt>
                <c:pt idx="125">
                  <c:v>91.968133855352903</c:v>
                </c:pt>
                <c:pt idx="126">
                  <c:v>91.968133855352903</c:v>
                </c:pt>
                <c:pt idx="127">
                  <c:v>91.968133855352903</c:v>
                </c:pt>
                <c:pt idx="128">
                  <c:v>92.444118939115512</c:v>
                </c:pt>
                <c:pt idx="129">
                  <c:v>93.870744994414054</c:v>
                </c:pt>
                <c:pt idx="130">
                  <c:v>94.237137868860188</c:v>
                </c:pt>
                <c:pt idx="131">
                  <c:v>95.061771060612003</c:v>
                </c:pt>
                <c:pt idx="132">
                  <c:v>94.261993833859805</c:v>
                </c:pt>
                <c:pt idx="133">
                  <c:v>94.261993833859805</c:v>
                </c:pt>
                <c:pt idx="134">
                  <c:v>94.261993833859805</c:v>
                </c:pt>
                <c:pt idx="135">
                  <c:v>92.832941995880816</c:v>
                </c:pt>
                <c:pt idx="136">
                  <c:v>92.222708117200526</c:v>
                </c:pt>
                <c:pt idx="137">
                  <c:v>90.796015602102514</c:v>
                </c:pt>
                <c:pt idx="138">
                  <c:v>90.053227653390877</c:v>
                </c:pt>
                <c:pt idx="139">
                  <c:v>90.429888566854231</c:v>
                </c:pt>
                <c:pt idx="140">
                  <c:v>90.429888566854231</c:v>
                </c:pt>
                <c:pt idx="141">
                  <c:v>90.429888566854231</c:v>
                </c:pt>
                <c:pt idx="142">
                  <c:v>91.70794374045056</c:v>
                </c:pt>
                <c:pt idx="143">
                  <c:v>92.222242898604279</c:v>
                </c:pt>
                <c:pt idx="144">
                  <c:v>92.803068316021665</c:v>
                </c:pt>
                <c:pt idx="145">
                  <c:v>92.347419930895086</c:v>
                </c:pt>
                <c:pt idx="146">
                  <c:v>91.95334654997211</c:v>
                </c:pt>
                <c:pt idx="147">
                  <c:v>91.95334654997211</c:v>
                </c:pt>
                <c:pt idx="148">
                  <c:v>91.95334654997211</c:v>
                </c:pt>
                <c:pt idx="149">
                  <c:v>93.945146739914222</c:v>
                </c:pt>
                <c:pt idx="150">
                  <c:v>94.212148984261646</c:v>
                </c:pt>
                <c:pt idx="151">
                  <c:v>94.42754519432512</c:v>
                </c:pt>
                <c:pt idx="152">
                  <c:v>93.588855754986639</c:v>
                </c:pt>
                <c:pt idx="153">
                  <c:v>92.673372017367271</c:v>
                </c:pt>
                <c:pt idx="154">
                  <c:v>92.673372017367271</c:v>
                </c:pt>
                <c:pt idx="155">
                  <c:v>92.673372017367271</c:v>
                </c:pt>
                <c:pt idx="156">
                  <c:v>92.088492552182572</c:v>
                </c:pt>
                <c:pt idx="157">
                  <c:v>92.95512833719576</c:v>
                </c:pt>
                <c:pt idx="158">
                  <c:v>90.531040381638746</c:v>
                </c:pt>
                <c:pt idx="159">
                  <c:v>89.637056389146053</c:v>
                </c:pt>
                <c:pt idx="160">
                  <c:v>89.632570352682222</c:v>
                </c:pt>
                <c:pt idx="161">
                  <c:v>89.632570352682222</c:v>
                </c:pt>
                <c:pt idx="162">
                  <c:v>89.632570352682222</c:v>
                </c:pt>
                <c:pt idx="163">
                  <c:v>88.43612781282792</c:v>
                </c:pt>
                <c:pt idx="164">
                  <c:v>87.801868716641323</c:v>
                </c:pt>
                <c:pt idx="165">
                  <c:v>87.544303763817823</c:v>
                </c:pt>
                <c:pt idx="166">
                  <c:v>89.768879401383288</c:v>
                </c:pt>
                <c:pt idx="167">
                  <c:v>90.672466834898572</c:v>
                </c:pt>
                <c:pt idx="168">
                  <c:v>90.672466834898572</c:v>
                </c:pt>
                <c:pt idx="169">
                  <c:v>90.672466834898572</c:v>
                </c:pt>
                <c:pt idx="170">
                  <c:v>89.497590499970414</c:v>
                </c:pt>
                <c:pt idx="171">
                  <c:v>90.002053607803447</c:v>
                </c:pt>
                <c:pt idx="172">
                  <c:v>91.074415702058047</c:v>
                </c:pt>
                <c:pt idx="173">
                  <c:v>91.308021897174712</c:v>
                </c:pt>
                <c:pt idx="174">
                  <c:v>92.88946605532513</c:v>
                </c:pt>
                <c:pt idx="175">
                  <c:v>92.88946605532513</c:v>
                </c:pt>
                <c:pt idx="176">
                  <c:v>92.88946605532513</c:v>
                </c:pt>
                <c:pt idx="177">
                  <c:v>91.380197239392842</c:v>
                </c:pt>
                <c:pt idx="178">
                  <c:v>91.380197239392842</c:v>
                </c:pt>
                <c:pt idx="179">
                  <c:v>92.435180096087578</c:v>
                </c:pt>
                <c:pt idx="180">
                  <c:v>92.098893510798703</c:v>
                </c:pt>
                <c:pt idx="181">
                  <c:v>92.340973330347083</c:v>
                </c:pt>
              </c:numCache>
            </c:numRef>
          </c:val>
          <c:smooth val="0"/>
          <c:extLst xmlns:c16r2="http://schemas.microsoft.com/office/drawing/2015/06/chart">
            <c:ext xmlns:c16="http://schemas.microsoft.com/office/drawing/2014/chart" uri="{C3380CC4-5D6E-409C-BE32-E72D297353CC}">
              <c16:uniqueId val="{00000004-9E3C-7245-829D-25A2AB0980D3}"/>
            </c:ext>
          </c:extLst>
        </c:ser>
        <c:ser>
          <c:idx val="5"/>
          <c:order val="5"/>
          <c:tx>
            <c:strRef>
              <c:f>Index_Charts!$G$1</c:f>
              <c:strCache>
                <c:ptCount val="1"/>
                <c:pt idx="0">
                  <c:v>NIKKEI 225</c:v>
                </c:pt>
              </c:strCache>
            </c:strRef>
          </c:tx>
          <c:spPr>
            <a:ln w="28575" cap="rnd">
              <a:solidFill>
                <a:schemeClr val="accent6"/>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Index_Charts!$G$2:$G$183</c:f>
              <c:numCache>
                <c:formatCode>0.00</c:formatCode>
                <c:ptCount val="182"/>
                <c:pt idx="0">
                  <c:v>100</c:v>
                </c:pt>
                <c:pt idx="1">
                  <c:v>100</c:v>
                </c:pt>
                <c:pt idx="2">
                  <c:v>99.693674461529866</c:v>
                </c:pt>
                <c:pt idx="3">
                  <c:v>99.244860004754301</c:v>
                </c:pt>
                <c:pt idx="4">
                  <c:v>99.371920780449614</c:v>
                </c:pt>
                <c:pt idx="5">
                  <c:v>100.89082375094969</c:v>
                </c:pt>
                <c:pt idx="6">
                  <c:v>100.52772637653058</c:v>
                </c:pt>
                <c:pt idx="7">
                  <c:v>100.52772637653058</c:v>
                </c:pt>
                <c:pt idx="8">
                  <c:v>100.52772637653058</c:v>
                </c:pt>
                <c:pt idx="9">
                  <c:v>101.04389329877925</c:v>
                </c:pt>
                <c:pt idx="10">
                  <c:v>101.58485711489071</c:v>
                </c:pt>
                <c:pt idx="11">
                  <c:v>101.08509716000988</c:v>
                </c:pt>
                <c:pt idx="12">
                  <c:v>100.96008725523555</c:v>
                </c:pt>
                <c:pt idx="13">
                  <c:v>101.51223764000692</c:v>
                </c:pt>
                <c:pt idx="14">
                  <c:v>101.51223764000692</c:v>
                </c:pt>
                <c:pt idx="15">
                  <c:v>101.51223764000692</c:v>
                </c:pt>
                <c:pt idx="16">
                  <c:v>101.77693982092168</c:v>
                </c:pt>
                <c:pt idx="17">
                  <c:v>101.83315232843766</c:v>
                </c:pt>
                <c:pt idx="18">
                  <c:v>103.2809273665419</c:v>
                </c:pt>
                <c:pt idx="19">
                  <c:v>103.43464946420997</c:v>
                </c:pt>
                <c:pt idx="20">
                  <c:v>103.29975809045273</c:v>
                </c:pt>
                <c:pt idx="21">
                  <c:v>103.29975809045273</c:v>
                </c:pt>
                <c:pt idx="22">
                  <c:v>103.29975809045273</c:v>
                </c:pt>
                <c:pt idx="23">
                  <c:v>102.95390667605095</c:v>
                </c:pt>
                <c:pt idx="24">
                  <c:v>103.83988291391468</c:v>
                </c:pt>
                <c:pt idx="25">
                  <c:v>103.54716770064742</c:v>
                </c:pt>
                <c:pt idx="26">
                  <c:v>104.03327071962265</c:v>
                </c:pt>
                <c:pt idx="27">
                  <c:v>104.7243209985877</c:v>
                </c:pt>
                <c:pt idx="28">
                  <c:v>104.7243209985877</c:v>
                </c:pt>
                <c:pt idx="29">
                  <c:v>104.7243209985877</c:v>
                </c:pt>
                <c:pt idx="30">
                  <c:v>104.7243209985877</c:v>
                </c:pt>
                <c:pt idx="31">
                  <c:v>104.91150958082996</c:v>
                </c:pt>
                <c:pt idx="32">
                  <c:v>104.74720685363772</c:v>
                </c:pt>
                <c:pt idx="33">
                  <c:v>104.74720685363772</c:v>
                </c:pt>
                <c:pt idx="34">
                  <c:v>104.74720685363772</c:v>
                </c:pt>
                <c:pt idx="35">
                  <c:v>104.74720685363772</c:v>
                </c:pt>
                <c:pt idx="36">
                  <c:v>104.74720685363772</c:v>
                </c:pt>
                <c:pt idx="37">
                  <c:v>104.72101163869247</c:v>
                </c:pt>
                <c:pt idx="38">
                  <c:v>104.91458588721142</c:v>
                </c:pt>
                <c:pt idx="39">
                  <c:v>104.44936446306802</c:v>
                </c:pt>
                <c:pt idx="40">
                  <c:v>104.86093696834669</c:v>
                </c:pt>
                <c:pt idx="41">
                  <c:v>106.0788746311928</c:v>
                </c:pt>
                <c:pt idx="42">
                  <c:v>106.0788746311928</c:v>
                </c:pt>
                <c:pt idx="43">
                  <c:v>106.0788746311928</c:v>
                </c:pt>
                <c:pt idx="44">
                  <c:v>106.57938035731765</c:v>
                </c:pt>
                <c:pt idx="45">
                  <c:v>106.35639475536374</c:v>
                </c:pt>
                <c:pt idx="46">
                  <c:v>105.88660548235084</c:v>
                </c:pt>
                <c:pt idx="47">
                  <c:v>106.45124753545909</c:v>
                </c:pt>
                <c:pt idx="48">
                  <c:v>106.88001939005235</c:v>
                </c:pt>
                <c:pt idx="49">
                  <c:v>106.88001939005235</c:v>
                </c:pt>
                <c:pt idx="50">
                  <c:v>106.88001939005235</c:v>
                </c:pt>
                <c:pt idx="51">
                  <c:v>107.21566306055198</c:v>
                </c:pt>
                <c:pt idx="52">
                  <c:v>107.01975827689554</c:v>
                </c:pt>
                <c:pt idx="53">
                  <c:v>105.75847266049232</c:v>
                </c:pt>
                <c:pt idx="54">
                  <c:v>104.58048036990253</c:v>
                </c:pt>
                <c:pt idx="55">
                  <c:v>104.64470991829144</c:v>
                </c:pt>
                <c:pt idx="56">
                  <c:v>104.64470991829144</c:v>
                </c:pt>
                <c:pt idx="57">
                  <c:v>104.64470991829144</c:v>
                </c:pt>
                <c:pt idx="58">
                  <c:v>104.78594034762263</c:v>
                </c:pt>
                <c:pt idx="59">
                  <c:v>104.21421346769645</c:v>
                </c:pt>
                <c:pt idx="60">
                  <c:v>102.62986907053597</c:v>
                </c:pt>
                <c:pt idx="61">
                  <c:v>103.48424325193551</c:v>
                </c:pt>
                <c:pt idx="62">
                  <c:v>103.34222044065757</c:v>
                </c:pt>
                <c:pt idx="63">
                  <c:v>103.34222044065757</c:v>
                </c:pt>
                <c:pt idx="64">
                  <c:v>103.34222044065757</c:v>
                </c:pt>
                <c:pt idx="65">
                  <c:v>104.76193583570659</c:v>
                </c:pt>
                <c:pt idx="66">
                  <c:v>105.05837990519385</c:v>
                </c:pt>
                <c:pt idx="67">
                  <c:v>105.46011755219233</c:v>
                </c:pt>
                <c:pt idx="68">
                  <c:v>106.38081876360449</c:v>
                </c:pt>
                <c:pt idx="69">
                  <c:v>105.78065935500109</c:v>
                </c:pt>
                <c:pt idx="70">
                  <c:v>105.78065935500109</c:v>
                </c:pt>
                <c:pt idx="71">
                  <c:v>105.78065935500109</c:v>
                </c:pt>
                <c:pt idx="72">
                  <c:v>106.29123299291984</c:v>
                </c:pt>
                <c:pt idx="73">
                  <c:v>106.63759712505185</c:v>
                </c:pt>
                <c:pt idx="74">
                  <c:v>107.04791114135628</c:v>
                </c:pt>
                <c:pt idx="75">
                  <c:v>105.98625916482945</c:v>
                </c:pt>
                <c:pt idx="76">
                  <c:v>106.51361265573802</c:v>
                </c:pt>
                <c:pt idx="77">
                  <c:v>106.51361265573802</c:v>
                </c:pt>
                <c:pt idx="78">
                  <c:v>106.51361265573802</c:v>
                </c:pt>
                <c:pt idx="79">
                  <c:v>105.71461198920498</c:v>
                </c:pt>
                <c:pt idx="80">
                  <c:v>103.84156089921368</c:v>
                </c:pt>
                <c:pt idx="81">
                  <c:v>105.13244431186291</c:v>
                </c:pt>
                <c:pt idx="82">
                  <c:v>105.77385419239967</c:v>
                </c:pt>
                <c:pt idx="83">
                  <c:v>104.95252699924957</c:v>
                </c:pt>
                <c:pt idx="84">
                  <c:v>104.95252699924957</c:v>
                </c:pt>
                <c:pt idx="85">
                  <c:v>104.95252699924957</c:v>
                </c:pt>
                <c:pt idx="86">
                  <c:v>104.11968696252035</c:v>
                </c:pt>
                <c:pt idx="87">
                  <c:v>104.13763208307891</c:v>
                </c:pt>
                <c:pt idx="88">
                  <c:v>103.81028511766873</c:v>
                </c:pt>
                <c:pt idx="89">
                  <c:v>103.80385284068927</c:v>
                </c:pt>
                <c:pt idx="90">
                  <c:v>103.96288855847079</c:v>
                </c:pt>
                <c:pt idx="91">
                  <c:v>103.96288855847079</c:v>
                </c:pt>
                <c:pt idx="92">
                  <c:v>103.96288855847079</c:v>
                </c:pt>
                <c:pt idx="93">
                  <c:v>101.66693856243272</c:v>
                </c:pt>
                <c:pt idx="94">
                  <c:v>101.5439329178766</c:v>
                </c:pt>
                <c:pt idx="95">
                  <c:v>101.2246496040421</c:v>
                </c:pt>
                <c:pt idx="96">
                  <c:v>100.43203460378574</c:v>
                </c:pt>
                <c:pt idx="97">
                  <c:v>101.5560517005915</c:v>
                </c:pt>
                <c:pt idx="98">
                  <c:v>101.5560517005915</c:v>
                </c:pt>
                <c:pt idx="99">
                  <c:v>101.5560517005915</c:v>
                </c:pt>
                <c:pt idx="100">
                  <c:v>102.78676069599102</c:v>
                </c:pt>
                <c:pt idx="101">
                  <c:v>103.46126417547998</c:v>
                </c:pt>
                <c:pt idx="102">
                  <c:v>102.22757209510446</c:v>
                </c:pt>
                <c:pt idx="103">
                  <c:v>103.4196408179246</c:v>
                </c:pt>
                <c:pt idx="104">
                  <c:v>105.32783637778907</c:v>
                </c:pt>
                <c:pt idx="105">
                  <c:v>105.32783637778907</c:v>
                </c:pt>
                <c:pt idx="106">
                  <c:v>105.32783637778907</c:v>
                </c:pt>
                <c:pt idx="107">
                  <c:v>105.32783637778907</c:v>
                </c:pt>
                <c:pt idx="108">
                  <c:v>105.79399001598748</c:v>
                </c:pt>
                <c:pt idx="109">
                  <c:v>106.2453214507115</c:v>
                </c:pt>
                <c:pt idx="110">
                  <c:v>106.10777326689755</c:v>
                </c:pt>
                <c:pt idx="111">
                  <c:v>105.79641377253046</c:v>
                </c:pt>
                <c:pt idx="112">
                  <c:v>105.79641377253046</c:v>
                </c:pt>
                <c:pt idx="113">
                  <c:v>105.79641377253046</c:v>
                </c:pt>
                <c:pt idx="114">
                  <c:v>104.39394433749878</c:v>
                </c:pt>
                <c:pt idx="115">
                  <c:v>104.92292920300359</c:v>
                </c:pt>
                <c:pt idx="116">
                  <c:v>105.40660846543584</c:v>
                </c:pt>
                <c:pt idx="117">
                  <c:v>105.27898836130751</c:v>
                </c:pt>
                <c:pt idx="118">
                  <c:v>105.86572388751905</c:v>
                </c:pt>
                <c:pt idx="119">
                  <c:v>105.86572388751905</c:v>
                </c:pt>
                <c:pt idx="120">
                  <c:v>105.86572388751905</c:v>
                </c:pt>
                <c:pt idx="121">
                  <c:v>105.08308357765111</c:v>
                </c:pt>
                <c:pt idx="122">
                  <c:v>105.12447388169272</c:v>
                </c:pt>
                <c:pt idx="123">
                  <c:v>106.02396722335384</c:v>
                </c:pt>
                <c:pt idx="124">
                  <c:v>104.93248439706726</c:v>
                </c:pt>
                <c:pt idx="125">
                  <c:v>104.99144693604545</c:v>
                </c:pt>
                <c:pt idx="126">
                  <c:v>104.99144693604545</c:v>
                </c:pt>
                <c:pt idx="127">
                  <c:v>104.99144693604545</c:v>
                </c:pt>
                <c:pt idx="128">
                  <c:v>104.90820022093475</c:v>
                </c:pt>
                <c:pt idx="129">
                  <c:v>105.63262376306848</c:v>
                </c:pt>
                <c:pt idx="130">
                  <c:v>105.54672023790104</c:v>
                </c:pt>
                <c:pt idx="131">
                  <c:v>105.33268389087502</c:v>
                </c:pt>
                <c:pt idx="132">
                  <c:v>103.93291787660284</c:v>
                </c:pt>
                <c:pt idx="133">
                  <c:v>103.93291787660284</c:v>
                </c:pt>
                <c:pt idx="134">
                  <c:v>103.93291787660284</c:v>
                </c:pt>
                <c:pt idx="135">
                  <c:v>101.87901725994324</c:v>
                </c:pt>
                <c:pt idx="136">
                  <c:v>104.20325995255031</c:v>
                </c:pt>
                <c:pt idx="137">
                  <c:v>103.4954298205954</c:v>
                </c:pt>
                <c:pt idx="138">
                  <c:v>103.43865798464644</c:v>
                </c:pt>
                <c:pt idx="139">
                  <c:v>103.80380622998653</c:v>
                </c:pt>
                <c:pt idx="140">
                  <c:v>103.80380622998653</c:v>
                </c:pt>
                <c:pt idx="141">
                  <c:v>103.80380622998653</c:v>
                </c:pt>
                <c:pt idx="142">
                  <c:v>103.47109903376013</c:v>
                </c:pt>
                <c:pt idx="143">
                  <c:v>103.56772302055998</c:v>
                </c:pt>
                <c:pt idx="144">
                  <c:v>104.23341707722929</c:v>
                </c:pt>
                <c:pt idx="145">
                  <c:v>104.45840693940143</c:v>
                </c:pt>
                <c:pt idx="146">
                  <c:v>105.3484383084044</c:v>
                </c:pt>
                <c:pt idx="147">
                  <c:v>105.3484383084044</c:v>
                </c:pt>
                <c:pt idx="148">
                  <c:v>105.3484383084044</c:v>
                </c:pt>
                <c:pt idx="149">
                  <c:v>106.27072428371002</c:v>
                </c:pt>
                <c:pt idx="150">
                  <c:v>106.33518688561267</c:v>
                </c:pt>
                <c:pt idx="151">
                  <c:v>106.49715907766742</c:v>
                </c:pt>
                <c:pt idx="152">
                  <c:v>106.5963466531185</c:v>
                </c:pt>
                <c:pt idx="153">
                  <c:v>106.57607099742243</c:v>
                </c:pt>
                <c:pt idx="154">
                  <c:v>106.57607099742243</c:v>
                </c:pt>
                <c:pt idx="155">
                  <c:v>106.57607099742243</c:v>
                </c:pt>
                <c:pt idx="156">
                  <c:v>105.84069394014254</c:v>
                </c:pt>
                <c:pt idx="157">
                  <c:v>105.791845923661</c:v>
                </c:pt>
                <c:pt idx="158">
                  <c:v>105.25083549684679</c:v>
                </c:pt>
                <c:pt idx="159">
                  <c:v>104.81786867900607</c:v>
                </c:pt>
                <c:pt idx="160">
                  <c:v>103.97477428767195</c:v>
                </c:pt>
                <c:pt idx="161">
                  <c:v>103.97477428767195</c:v>
                </c:pt>
                <c:pt idx="162">
                  <c:v>103.97477428767195</c:v>
                </c:pt>
                <c:pt idx="163">
                  <c:v>104.28254475792731</c:v>
                </c:pt>
                <c:pt idx="164">
                  <c:v>105.64171285010464</c:v>
                </c:pt>
                <c:pt idx="165">
                  <c:v>105.36167574798525</c:v>
                </c:pt>
                <c:pt idx="166">
                  <c:v>106.37177628727108</c:v>
                </c:pt>
                <c:pt idx="167">
                  <c:v>107.64587984693044</c:v>
                </c:pt>
                <c:pt idx="168">
                  <c:v>107.64587984693044</c:v>
                </c:pt>
                <c:pt idx="169">
                  <c:v>107.64587984693044</c:v>
                </c:pt>
                <c:pt idx="170">
                  <c:v>107.64587984693044</c:v>
                </c:pt>
                <c:pt idx="171">
                  <c:v>109.16478281743053</c:v>
                </c:pt>
                <c:pt idx="172">
                  <c:v>110.33927930531408</c:v>
                </c:pt>
                <c:pt idx="173">
                  <c:v>110.35051248467673</c:v>
                </c:pt>
                <c:pt idx="174">
                  <c:v>111.25942118829326</c:v>
                </c:pt>
                <c:pt idx="175">
                  <c:v>111.25942118829326</c:v>
                </c:pt>
                <c:pt idx="176">
                  <c:v>111.25942118829326</c:v>
                </c:pt>
                <c:pt idx="177">
                  <c:v>111.25942118829326</c:v>
                </c:pt>
                <c:pt idx="178">
                  <c:v>111.58723426073094</c:v>
                </c:pt>
                <c:pt idx="179">
                  <c:v>112.02318416354764</c:v>
                </c:pt>
                <c:pt idx="180">
                  <c:v>110.9182774548692</c:v>
                </c:pt>
                <c:pt idx="181">
                  <c:v>112.42520147476264</c:v>
                </c:pt>
              </c:numCache>
            </c:numRef>
          </c:val>
          <c:smooth val="0"/>
          <c:extLst xmlns:c16r2="http://schemas.microsoft.com/office/drawing/2015/06/chart">
            <c:ext xmlns:c16="http://schemas.microsoft.com/office/drawing/2014/chart" uri="{C3380CC4-5D6E-409C-BE32-E72D297353CC}">
              <c16:uniqueId val="{00000005-9E3C-7245-829D-25A2AB0980D3}"/>
            </c:ext>
          </c:extLst>
        </c:ser>
        <c:ser>
          <c:idx val="6"/>
          <c:order val="6"/>
          <c:tx>
            <c:strRef>
              <c:f>Index_Charts!$H$1</c:f>
              <c:strCache>
                <c:ptCount val="1"/>
                <c:pt idx="0">
                  <c:v>MSCI Developed Market Index</c:v>
                </c:pt>
              </c:strCache>
            </c:strRef>
          </c:tx>
          <c:spPr>
            <a:ln w="28575" cap="rnd">
              <a:solidFill>
                <a:srgbClr val="FF0000"/>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Index_Charts!$H$2:$H$183</c:f>
              <c:numCache>
                <c:formatCode>0.00</c:formatCode>
                <c:ptCount val="182"/>
                <c:pt idx="0">
                  <c:v>100</c:v>
                </c:pt>
                <c:pt idx="1">
                  <c:v>100</c:v>
                </c:pt>
                <c:pt idx="2">
                  <c:v>98.630760000774117</c:v>
                </c:pt>
                <c:pt idx="3">
                  <c:v>99.127169979292063</c:v>
                </c:pt>
                <c:pt idx="4">
                  <c:v>99.732441795204267</c:v>
                </c:pt>
                <c:pt idx="5">
                  <c:v>100.67010508796037</c:v>
                </c:pt>
                <c:pt idx="6">
                  <c:v>99.319734473882832</c:v>
                </c:pt>
                <c:pt idx="7">
                  <c:v>99.319734473882832</c:v>
                </c:pt>
                <c:pt idx="8">
                  <c:v>99.319734473882832</c:v>
                </c:pt>
                <c:pt idx="9">
                  <c:v>99.726635830543245</c:v>
                </c:pt>
                <c:pt idx="10">
                  <c:v>101.1258733138511</c:v>
                </c:pt>
                <c:pt idx="11">
                  <c:v>100.76106520098314</c:v>
                </c:pt>
                <c:pt idx="12">
                  <c:v>101.16361208414777</c:v>
                </c:pt>
                <c:pt idx="13">
                  <c:v>101.07120047995974</c:v>
                </c:pt>
                <c:pt idx="14">
                  <c:v>101.07120047995974</c:v>
                </c:pt>
                <c:pt idx="15">
                  <c:v>101.07120047995974</c:v>
                </c:pt>
                <c:pt idx="16">
                  <c:v>101.59567262100597</c:v>
                </c:pt>
                <c:pt idx="17">
                  <c:v>102.39931489616998</c:v>
                </c:pt>
                <c:pt idx="18">
                  <c:v>102.75444640126956</c:v>
                </c:pt>
                <c:pt idx="19">
                  <c:v>102.37512337674903</c:v>
                </c:pt>
                <c:pt idx="20">
                  <c:v>101.59180197789861</c:v>
                </c:pt>
                <c:pt idx="21">
                  <c:v>101.59180197789861</c:v>
                </c:pt>
                <c:pt idx="22">
                  <c:v>101.59180197789861</c:v>
                </c:pt>
                <c:pt idx="23">
                  <c:v>101.46987672001701</c:v>
                </c:pt>
                <c:pt idx="24">
                  <c:v>100.71026301019914</c:v>
                </c:pt>
                <c:pt idx="25">
                  <c:v>100.47899208453484</c:v>
                </c:pt>
                <c:pt idx="26">
                  <c:v>101.23860579435274</c:v>
                </c:pt>
                <c:pt idx="27">
                  <c:v>101.41326856457201</c:v>
                </c:pt>
                <c:pt idx="28">
                  <c:v>101.41326856457201</c:v>
                </c:pt>
                <c:pt idx="29">
                  <c:v>101.41326856457201</c:v>
                </c:pt>
                <c:pt idx="30">
                  <c:v>100.95169437402025</c:v>
                </c:pt>
                <c:pt idx="31">
                  <c:v>100.81912484759341</c:v>
                </c:pt>
                <c:pt idx="32">
                  <c:v>100.47657293259276</c:v>
                </c:pt>
                <c:pt idx="33">
                  <c:v>100.2191751659538</c:v>
                </c:pt>
                <c:pt idx="34">
                  <c:v>101.09345667782701</c:v>
                </c:pt>
                <c:pt idx="35">
                  <c:v>101.09345667782701</c:v>
                </c:pt>
                <c:pt idx="36">
                  <c:v>101.09345667782701</c:v>
                </c:pt>
                <c:pt idx="37">
                  <c:v>101.45245882603395</c:v>
                </c:pt>
                <c:pt idx="38">
                  <c:v>101.36585318650695</c:v>
                </c:pt>
                <c:pt idx="39">
                  <c:v>102.08047067020185</c:v>
                </c:pt>
                <c:pt idx="40">
                  <c:v>102.74283447194752</c:v>
                </c:pt>
                <c:pt idx="41">
                  <c:v>103.15070348938475</c:v>
                </c:pt>
                <c:pt idx="42">
                  <c:v>103.15070348938475</c:v>
                </c:pt>
                <c:pt idx="43">
                  <c:v>103.15070348938475</c:v>
                </c:pt>
                <c:pt idx="44">
                  <c:v>103.35052543980183</c:v>
                </c:pt>
                <c:pt idx="45">
                  <c:v>102.57107468405874</c:v>
                </c:pt>
                <c:pt idx="46">
                  <c:v>102.71573997019603</c:v>
                </c:pt>
                <c:pt idx="47">
                  <c:v>102.84105204079657</c:v>
                </c:pt>
                <c:pt idx="48">
                  <c:v>102.61074877590912</c:v>
                </c:pt>
                <c:pt idx="49">
                  <c:v>102.61074877590912</c:v>
                </c:pt>
                <c:pt idx="50">
                  <c:v>102.61074877590912</c:v>
                </c:pt>
                <c:pt idx="51">
                  <c:v>103.09070852122078</c:v>
                </c:pt>
                <c:pt idx="52">
                  <c:v>102.99684542586751</c:v>
                </c:pt>
                <c:pt idx="53">
                  <c:v>102.71186932708869</c:v>
                </c:pt>
                <c:pt idx="54">
                  <c:v>102.46221284666446</c:v>
                </c:pt>
                <c:pt idx="55">
                  <c:v>102.12691838749008</c:v>
                </c:pt>
                <c:pt idx="56">
                  <c:v>102.12691838749008</c:v>
                </c:pt>
                <c:pt idx="57">
                  <c:v>102.12691838749008</c:v>
                </c:pt>
                <c:pt idx="58">
                  <c:v>101.94983646532869</c:v>
                </c:pt>
                <c:pt idx="59">
                  <c:v>100.79493332817246</c:v>
                </c:pt>
                <c:pt idx="60">
                  <c:v>101.62470244431113</c:v>
                </c:pt>
                <c:pt idx="61">
                  <c:v>101.26182965299684</c:v>
                </c:pt>
                <c:pt idx="62">
                  <c:v>102.04902169495462</c:v>
                </c:pt>
                <c:pt idx="63">
                  <c:v>102.04902169495462</c:v>
                </c:pt>
                <c:pt idx="64">
                  <c:v>102.04902169495462</c:v>
                </c:pt>
                <c:pt idx="65">
                  <c:v>102.66203479708153</c:v>
                </c:pt>
                <c:pt idx="66">
                  <c:v>102.54107719997678</c:v>
                </c:pt>
                <c:pt idx="67">
                  <c:v>103.38197441504904</c:v>
                </c:pt>
                <c:pt idx="68">
                  <c:v>103.42213233728783</c:v>
                </c:pt>
                <c:pt idx="69">
                  <c:v>103.43035745389095</c:v>
                </c:pt>
                <c:pt idx="70">
                  <c:v>103.43035745389095</c:v>
                </c:pt>
                <c:pt idx="71">
                  <c:v>103.43035745389095</c:v>
                </c:pt>
                <c:pt idx="72">
                  <c:v>103.74291188480964</c:v>
                </c:pt>
                <c:pt idx="73">
                  <c:v>103.79903620986626</c:v>
                </c:pt>
                <c:pt idx="74">
                  <c:v>103.54937972944202</c:v>
                </c:pt>
                <c:pt idx="75">
                  <c:v>103.63743686013431</c:v>
                </c:pt>
                <c:pt idx="76">
                  <c:v>103.25666234444853</c:v>
                </c:pt>
                <c:pt idx="77">
                  <c:v>103.25666234444853</c:v>
                </c:pt>
                <c:pt idx="78">
                  <c:v>103.25666234444853</c:v>
                </c:pt>
                <c:pt idx="79">
                  <c:v>102.85218013973021</c:v>
                </c:pt>
                <c:pt idx="80">
                  <c:v>102.15788353234889</c:v>
                </c:pt>
                <c:pt idx="81">
                  <c:v>102.46366433782974</c:v>
                </c:pt>
                <c:pt idx="82">
                  <c:v>101.89129298832999</c:v>
                </c:pt>
                <c:pt idx="83">
                  <c:v>102.32528884674188</c:v>
                </c:pt>
                <c:pt idx="84">
                  <c:v>102.32528884674188</c:v>
                </c:pt>
                <c:pt idx="85">
                  <c:v>102.32528884674188</c:v>
                </c:pt>
                <c:pt idx="86">
                  <c:v>100.90718197828569</c:v>
                </c:pt>
                <c:pt idx="87">
                  <c:v>101.04362214781986</c:v>
                </c:pt>
                <c:pt idx="88">
                  <c:v>100.45770354744441</c:v>
                </c:pt>
                <c:pt idx="89">
                  <c:v>100.61833523639952</c:v>
                </c:pt>
                <c:pt idx="90">
                  <c:v>101.08668305238915</c:v>
                </c:pt>
                <c:pt idx="91">
                  <c:v>101.08668305238915</c:v>
                </c:pt>
                <c:pt idx="92">
                  <c:v>101.08668305238915</c:v>
                </c:pt>
                <c:pt idx="93">
                  <c:v>100.73735751195061</c:v>
                </c:pt>
                <c:pt idx="94">
                  <c:v>100.73590602078535</c:v>
                </c:pt>
                <c:pt idx="95">
                  <c:v>100.74171198544637</c:v>
                </c:pt>
                <c:pt idx="96">
                  <c:v>101.42004219000987</c:v>
                </c:pt>
                <c:pt idx="97">
                  <c:v>102.26916452168527</c:v>
                </c:pt>
                <c:pt idx="98">
                  <c:v>102.26916452168527</c:v>
                </c:pt>
                <c:pt idx="99">
                  <c:v>102.26916452168527</c:v>
                </c:pt>
                <c:pt idx="100">
                  <c:v>103.11102939753438</c:v>
                </c:pt>
                <c:pt idx="101">
                  <c:v>103.33988117125659</c:v>
                </c:pt>
                <c:pt idx="102">
                  <c:v>102.44140813996245</c:v>
                </c:pt>
                <c:pt idx="103">
                  <c:v>103.09748214665866</c:v>
                </c:pt>
                <c:pt idx="104">
                  <c:v>103.27843471192737</c:v>
                </c:pt>
                <c:pt idx="105">
                  <c:v>103.27843471192737</c:v>
                </c:pt>
                <c:pt idx="106">
                  <c:v>103.27843471192737</c:v>
                </c:pt>
                <c:pt idx="107">
                  <c:v>103.19086141162353</c:v>
                </c:pt>
                <c:pt idx="108">
                  <c:v>103.45019449981613</c:v>
                </c:pt>
                <c:pt idx="109">
                  <c:v>103.64808112867951</c:v>
                </c:pt>
                <c:pt idx="110">
                  <c:v>103.29004664124943</c:v>
                </c:pt>
                <c:pt idx="111">
                  <c:v>103.49954519943488</c:v>
                </c:pt>
                <c:pt idx="112">
                  <c:v>103.49954519943488</c:v>
                </c:pt>
                <c:pt idx="113">
                  <c:v>103.49954519943488</c:v>
                </c:pt>
                <c:pt idx="114">
                  <c:v>103.51260861992219</c:v>
                </c:pt>
                <c:pt idx="115">
                  <c:v>104.07578719204196</c:v>
                </c:pt>
                <c:pt idx="116">
                  <c:v>104.59251804687348</c:v>
                </c:pt>
                <c:pt idx="117">
                  <c:v>104.60074316347661</c:v>
                </c:pt>
                <c:pt idx="118">
                  <c:v>104.31915387741672</c:v>
                </c:pt>
                <c:pt idx="119">
                  <c:v>104.31915387741672</c:v>
                </c:pt>
                <c:pt idx="120">
                  <c:v>104.31915387741672</c:v>
                </c:pt>
                <c:pt idx="121">
                  <c:v>103.93886319211936</c:v>
                </c:pt>
                <c:pt idx="122">
                  <c:v>104.17352093050258</c:v>
                </c:pt>
                <c:pt idx="123">
                  <c:v>103.99256836523388</c:v>
                </c:pt>
                <c:pt idx="124">
                  <c:v>103.90644655609529</c:v>
                </c:pt>
                <c:pt idx="125">
                  <c:v>104.28431808945055</c:v>
                </c:pt>
                <c:pt idx="126">
                  <c:v>104.28431808945055</c:v>
                </c:pt>
                <c:pt idx="127">
                  <c:v>104.28431808945055</c:v>
                </c:pt>
                <c:pt idx="128">
                  <c:v>104.37866501519228</c:v>
                </c:pt>
                <c:pt idx="129">
                  <c:v>104.83878771457877</c:v>
                </c:pt>
                <c:pt idx="130">
                  <c:v>104.80491958738945</c:v>
                </c:pt>
                <c:pt idx="131">
                  <c:v>104.68589731183835</c:v>
                </c:pt>
                <c:pt idx="132">
                  <c:v>103.53196183545896</c:v>
                </c:pt>
                <c:pt idx="133">
                  <c:v>103.53196183545896</c:v>
                </c:pt>
                <c:pt idx="134">
                  <c:v>103.53196183545896</c:v>
                </c:pt>
                <c:pt idx="135">
                  <c:v>102.93346364498458</c:v>
                </c:pt>
                <c:pt idx="136">
                  <c:v>103.41197189913105</c:v>
                </c:pt>
                <c:pt idx="137">
                  <c:v>102.36399527781539</c:v>
                </c:pt>
                <c:pt idx="138">
                  <c:v>103.10667492403863</c:v>
                </c:pt>
                <c:pt idx="139">
                  <c:v>103.44825917826246</c:v>
                </c:pt>
                <c:pt idx="140">
                  <c:v>103.44825917826246</c:v>
                </c:pt>
                <c:pt idx="141">
                  <c:v>103.44825917826246</c:v>
                </c:pt>
                <c:pt idx="142">
                  <c:v>103.79323024520521</c:v>
                </c:pt>
                <c:pt idx="143">
                  <c:v>104.11013914961971</c:v>
                </c:pt>
                <c:pt idx="144">
                  <c:v>104.31334791275569</c:v>
                </c:pt>
                <c:pt idx="145">
                  <c:v>103.98579473979599</c:v>
                </c:pt>
                <c:pt idx="146">
                  <c:v>104.5852605910472</c:v>
                </c:pt>
                <c:pt idx="147">
                  <c:v>104.5852605910472</c:v>
                </c:pt>
                <c:pt idx="148">
                  <c:v>104.5852605910472</c:v>
                </c:pt>
                <c:pt idx="149">
                  <c:v>105.47260552340769</c:v>
                </c:pt>
                <c:pt idx="150">
                  <c:v>105.596466102843</c:v>
                </c:pt>
                <c:pt idx="151">
                  <c:v>105.99514234290027</c:v>
                </c:pt>
                <c:pt idx="152">
                  <c:v>105.55050221594317</c:v>
                </c:pt>
                <c:pt idx="153">
                  <c:v>105.25730100056123</c:v>
                </c:pt>
                <c:pt idx="154">
                  <c:v>105.25730100056123</c:v>
                </c:pt>
                <c:pt idx="155">
                  <c:v>105.25730100056123</c:v>
                </c:pt>
                <c:pt idx="156">
                  <c:v>105.15666427977008</c:v>
                </c:pt>
                <c:pt idx="157">
                  <c:v>104.64428789843431</c:v>
                </c:pt>
                <c:pt idx="158">
                  <c:v>104.15755452768477</c:v>
                </c:pt>
                <c:pt idx="159">
                  <c:v>103.73468676820654</c:v>
                </c:pt>
                <c:pt idx="160">
                  <c:v>103.42358382845309</c:v>
                </c:pt>
                <c:pt idx="161">
                  <c:v>103.42358382845309</c:v>
                </c:pt>
                <c:pt idx="162">
                  <c:v>103.42358382845309</c:v>
                </c:pt>
                <c:pt idx="163">
                  <c:v>103.66743434421628</c:v>
                </c:pt>
                <c:pt idx="164">
                  <c:v>103.91080102959107</c:v>
                </c:pt>
                <c:pt idx="165">
                  <c:v>104.15416771496582</c:v>
                </c:pt>
                <c:pt idx="166">
                  <c:v>104.63703044260801</c:v>
                </c:pt>
                <c:pt idx="167">
                  <c:v>104.82620812447989</c:v>
                </c:pt>
                <c:pt idx="168">
                  <c:v>104.82620812447989</c:v>
                </c:pt>
                <c:pt idx="169">
                  <c:v>104.82620812447989</c:v>
                </c:pt>
                <c:pt idx="170">
                  <c:v>104.53300690909795</c:v>
                </c:pt>
                <c:pt idx="171">
                  <c:v>105.10102378510189</c:v>
                </c:pt>
                <c:pt idx="172">
                  <c:v>105.36567900756708</c:v>
                </c:pt>
                <c:pt idx="173">
                  <c:v>106.23367072439085</c:v>
                </c:pt>
                <c:pt idx="174">
                  <c:v>106.44316928257631</c:v>
                </c:pt>
                <c:pt idx="175">
                  <c:v>106.44316928257631</c:v>
                </c:pt>
                <c:pt idx="176">
                  <c:v>106.44316928257631</c:v>
                </c:pt>
                <c:pt idx="177">
                  <c:v>106.10448801068297</c:v>
                </c:pt>
                <c:pt idx="178">
                  <c:v>106.16206382690483</c:v>
                </c:pt>
                <c:pt idx="179">
                  <c:v>105.92547076696792</c:v>
                </c:pt>
                <c:pt idx="180">
                  <c:v>105.89644094366277</c:v>
                </c:pt>
                <c:pt idx="181">
                  <c:v>105.66904066110585</c:v>
                </c:pt>
              </c:numCache>
            </c:numRef>
          </c:val>
          <c:smooth val="0"/>
          <c:extLst xmlns:c16r2="http://schemas.microsoft.com/office/drawing/2015/06/chart">
            <c:ext xmlns:c16="http://schemas.microsoft.com/office/drawing/2014/chart" uri="{C3380CC4-5D6E-409C-BE32-E72D297353CC}">
              <c16:uniqueId val="{00000006-9E3C-7245-829D-25A2AB0980D3}"/>
            </c:ext>
          </c:extLst>
        </c:ser>
        <c:dLbls>
          <c:showLegendKey val="0"/>
          <c:showVal val="0"/>
          <c:showCatName val="0"/>
          <c:showSerName val="0"/>
          <c:showPercent val="0"/>
          <c:showBubbleSize val="0"/>
        </c:dLbls>
        <c:smooth val="0"/>
        <c:axId val="491530432"/>
        <c:axId val="491535528"/>
      </c:lineChart>
      <c:dateAx>
        <c:axId val="491530432"/>
        <c:scaling>
          <c:orientation val="minMax"/>
        </c:scaling>
        <c:delete val="0"/>
        <c:axPos val="b"/>
        <c:numFmt formatCode="[$-409]m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35528"/>
        <c:crosses val="autoZero"/>
        <c:auto val="1"/>
        <c:lblOffset val="100"/>
        <c:baseTimeUnit val="days"/>
        <c:majorUnit val="1"/>
        <c:majorTimeUnit val="months"/>
      </c:dateAx>
      <c:valAx>
        <c:axId val="491535528"/>
        <c:scaling>
          <c:orientation val="minMax"/>
          <c:min val="8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30432"/>
        <c:crosses val="autoZero"/>
        <c:crossBetween val="between"/>
      </c:valAx>
      <c:spPr>
        <a:noFill/>
        <a:ln>
          <a:noFill/>
        </a:ln>
        <a:effectLst/>
      </c:spPr>
    </c:plotArea>
    <c:legend>
      <c:legendPos val="b"/>
      <c:layout>
        <c:manualLayout>
          <c:xMode val="edge"/>
          <c:yMode val="edge"/>
          <c:x val="1.0788289925297801E-2"/>
          <c:y val="0.84542883752434173"/>
          <c:w val="0.98921171007470221"/>
          <c:h val="0.133065786131572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40880084525498"/>
          <c:y val="9.6109905642183024E-2"/>
          <c:w val="0.70358192632314165"/>
          <c:h val="0.59061893703772239"/>
        </c:manualLayout>
      </c:layout>
      <c:barChart>
        <c:barDir val="col"/>
        <c:grouping val="clustered"/>
        <c:varyColors val="0"/>
        <c:ser>
          <c:idx val="0"/>
          <c:order val="0"/>
          <c:tx>
            <c:strRef>
              <c:f>'F2&amp;F3'!$D$3</c:f>
              <c:strCache>
                <c:ptCount val="1"/>
                <c:pt idx="0">
                  <c:v>Average Daily Turnover at NSE (LHS)</c:v>
                </c:pt>
              </c:strCache>
            </c:strRef>
          </c:tx>
          <c:spPr>
            <a:solidFill>
              <a:srgbClr val="FFC000"/>
            </a:solidFill>
          </c:spPr>
          <c:invertIfNegative val="0"/>
          <c:cat>
            <c:numRef>
              <c:f>'F2&amp;F3'!$A$5:$A$16</c:f>
              <c:numCache>
                <c:formatCode>[$-409]mmm\-yy;@</c:formatCode>
                <c:ptCount val="12"/>
                <c:pt idx="0">
                  <c:v>43034</c:v>
                </c:pt>
                <c:pt idx="1">
                  <c:v>43066</c:v>
                </c:pt>
                <c:pt idx="2">
                  <c:v>43098</c:v>
                </c:pt>
                <c:pt idx="3">
                  <c:v>43130</c:v>
                </c:pt>
                <c:pt idx="4">
                  <c:v>43134</c:v>
                </c:pt>
                <c:pt idx="5">
                  <c:v>43163</c:v>
                </c:pt>
                <c:pt idx="6">
                  <c:v>43194</c:v>
                </c:pt>
                <c:pt idx="7">
                  <c:v>43224</c:v>
                </c:pt>
                <c:pt idx="8">
                  <c:v>43255</c:v>
                </c:pt>
                <c:pt idx="9">
                  <c:v>43285</c:v>
                </c:pt>
                <c:pt idx="10">
                  <c:v>43316</c:v>
                </c:pt>
                <c:pt idx="11">
                  <c:v>43347</c:v>
                </c:pt>
              </c:numCache>
            </c:numRef>
          </c:cat>
          <c:val>
            <c:numRef>
              <c:f>'F2&amp;F3'!$D$5:$D$16</c:f>
              <c:numCache>
                <c:formatCode>#,##0</c:formatCode>
                <c:ptCount val="12"/>
                <c:pt idx="0">
                  <c:v>30372.596084099096</c:v>
                </c:pt>
                <c:pt idx="1">
                  <c:v>33417.588282207413</c:v>
                </c:pt>
                <c:pt idx="2">
                  <c:v>29901.590310504398</c:v>
                </c:pt>
                <c:pt idx="3">
                  <c:v>37038.157898522266</c:v>
                </c:pt>
                <c:pt idx="4">
                  <c:v>33667.502947402005</c:v>
                </c:pt>
                <c:pt idx="5">
                  <c:v>31307.981266976371</c:v>
                </c:pt>
                <c:pt idx="6">
                  <c:v>30544.778501987712</c:v>
                </c:pt>
                <c:pt idx="7">
                  <c:v>31818.755186087099</c:v>
                </c:pt>
                <c:pt idx="8">
                  <c:v>28176.011094716916</c:v>
                </c:pt>
                <c:pt idx="9">
                  <c:v>30130.337449489183</c:v>
                </c:pt>
                <c:pt idx="10">
                  <c:v>33612.830013761144</c:v>
                </c:pt>
                <c:pt idx="11">
                  <c:v>38239.938282278003</c:v>
                </c:pt>
              </c:numCache>
            </c:numRef>
          </c:val>
        </c:ser>
        <c:dLbls>
          <c:showLegendKey val="0"/>
          <c:showVal val="0"/>
          <c:showCatName val="0"/>
          <c:showSerName val="0"/>
          <c:showPercent val="0"/>
          <c:showBubbleSize val="0"/>
        </c:dLbls>
        <c:gapWidth val="200"/>
        <c:overlap val="-100"/>
        <c:axId val="263998600"/>
        <c:axId val="264009576"/>
      </c:barChart>
      <c:lineChart>
        <c:grouping val="standard"/>
        <c:varyColors val="0"/>
        <c:ser>
          <c:idx val="1"/>
          <c:order val="1"/>
          <c:tx>
            <c:strRef>
              <c:f>'F2&amp;F3'!$E$3</c:f>
              <c:strCache>
                <c:ptCount val="1"/>
                <c:pt idx="0">
                  <c:v>Average Daily Value of Nifty (RHS)</c:v>
                </c:pt>
              </c:strCache>
            </c:strRef>
          </c:tx>
          <c:spPr>
            <a:ln w="19050">
              <a:solidFill>
                <a:schemeClr val="accent2">
                  <a:lumMod val="50000"/>
                </a:schemeClr>
              </a:solidFill>
            </a:ln>
          </c:spPr>
          <c:marker>
            <c:symbol val="star"/>
            <c:size val="7"/>
            <c:spPr>
              <a:noFill/>
              <a:ln>
                <a:solidFill>
                  <a:schemeClr val="accent2">
                    <a:lumMod val="50000"/>
                  </a:schemeClr>
                </a:solidFill>
              </a:ln>
            </c:spPr>
          </c:marker>
          <c:cat>
            <c:numRef>
              <c:f>'F2&amp;F3'!$A$4:$A$15</c:f>
              <c:numCache>
                <c:formatCode>[$-409]mmm\-yy;@</c:formatCode>
                <c:ptCount val="12"/>
                <c:pt idx="0">
                  <c:v>43002</c:v>
                </c:pt>
                <c:pt idx="1">
                  <c:v>43034</c:v>
                </c:pt>
                <c:pt idx="2">
                  <c:v>43066</c:v>
                </c:pt>
                <c:pt idx="3">
                  <c:v>43098</c:v>
                </c:pt>
                <c:pt idx="4">
                  <c:v>43130</c:v>
                </c:pt>
                <c:pt idx="5">
                  <c:v>43134</c:v>
                </c:pt>
                <c:pt idx="6">
                  <c:v>43163</c:v>
                </c:pt>
                <c:pt idx="7">
                  <c:v>43194</c:v>
                </c:pt>
                <c:pt idx="8">
                  <c:v>43224</c:v>
                </c:pt>
                <c:pt idx="9">
                  <c:v>43255</c:v>
                </c:pt>
                <c:pt idx="10">
                  <c:v>43285</c:v>
                </c:pt>
                <c:pt idx="11">
                  <c:v>43316</c:v>
                </c:pt>
              </c:numCache>
            </c:numRef>
          </c:cat>
          <c:val>
            <c:numRef>
              <c:f>'F2&amp;F3'!$E$4:$E$15</c:f>
              <c:numCache>
                <c:formatCode>#,##0</c:formatCode>
                <c:ptCount val="12"/>
                <c:pt idx="0">
                  <c:v>9977.9166666666679</c:v>
                </c:pt>
                <c:pt idx="1">
                  <c:v>10138.6775</c:v>
                </c:pt>
                <c:pt idx="2">
                  <c:v>10324.754545454545</c:v>
                </c:pt>
                <c:pt idx="3">
                  <c:v>10322.262500000001</c:v>
                </c:pt>
                <c:pt idx="4">
                  <c:v>10771.154545454547</c:v>
                </c:pt>
                <c:pt idx="5">
                  <c:v>10533.105263157895</c:v>
                </c:pt>
                <c:pt idx="6">
                  <c:v>10232.61842105263</c:v>
                </c:pt>
                <c:pt idx="7">
                  <c:v>10472.933333333331</c:v>
                </c:pt>
                <c:pt idx="8">
                  <c:v>10664.447727272729</c:v>
                </c:pt>
                <c:pt idx="9">
                  <c:v>10742.97380952381</c:v>
                </c:pt>
                <c:pt idx="10">
                  <c:v>10991.156818181817</c:v>
                </c:pt>
                <c:pt idx="11">
                  <c:v>11498.440476190477</c:v>
                </c:pt>
              </c:numCache>
            </c:numRef>
          </c:val>
          <c:smooth val="0"/>
        </c:ser>
        <c:dLbls>
          <c:showLegendKey val="0"/>
          <c:showVal val="0"/>
          <c:showCatName val="0"/>
          <c:showSerName val="0"/>
          <c:showPercent val="0"/>
          <c:showBubbleSize val="0"/>
        </c:dLbls>
        <c:marker val="1"/>
        <c:smooth val="0"/>
        <c:axId val="264002520"/>
        <c:axId val="264009968"/>
      </c:lineChart>
      <c:dateAx>
        <c:axId val="263998600"/>
        <c:scaling>
          <c:orientation val="minMax"/>
        </c:scaling>
        <c:delete val="0"/>
        <c:axPos val="b"/>
        <c:numFmt formatCode="[$-409]mmm\-yy;@" sourceLinked="0"/>
        <c:majorTickMark val="none"/>
        <c:minorTickMark val="none"/>
        <c:tickLblPos val="nextTo"/>
        <c:txPr>
          <a:bodyPr rot="-5400000" vert="horz" anchor="ctr" anchorCtr="1"/>
          <a:lstStyle/>
          <a:p>
            <a:pPr algn="ctr">
              <a:defRPr lang="en-US" sz="1000" b="1" i="0" u="none" strike="noStrike" kern="1200" cap="none" baseline="0">
                <a:solidFill>
                  <a:schemeClr val="tx1"/>
                </a:solidFill>
                <a:latin typeface="Garamond" pitchFamily="18" charset="0"/>
                <a:ea typeface="+mn-ea"/>
                <a:cs typeface="+mn-cs"/>
              </a:defRPr>
            </a:pPr>
            <a:endParaRPr lang="en-US"/>
          </a:p>
        </c:txPr>
        <c:crossAx val="264009576"/>
        <c:crosses val="autoZero"/>
        <c:auto val="1"/>
        <c:lblOffset val="100"/>
        <c:baseTimeUnit val="months"/>
      </c:dateAx>
      <c:valAx>
        <c:axId val="264009576"/>
        <c:scaling>
          <c:orientation val="minMax"/>
        </c:scaling>
        <c:delete val="0"/>
        <c:axPos val="l"/>
        <c:numFmt formatCode="#,##0" sourceLinked="1"/>
        <c:majorTickMark val="none"/>
        <c:minorTickMark val="none"/>
        <c:tickLblPos val="nextTo"/>
        <c:txPr>
          <a:bodyPr/>
          <a:lstStyle/>
          <a:p>
            <a:pPr>
              <a:defRPr lang="en-IN"/>
            </a:pPr>
            <a:endParaRPr lang="en-US"/>
          </a:p>
        </c:txPr>
        <c:crossAx val="263998600"/>
        <c:crosses val="autoZero"/>
        <c:crossBetween val="between"/>
        <c:majorUnit val="3000"/>
      </c:valAx>
      <c:valAx>
        <c:axId val="264009968"/>
        <c:scaling>
          <c:orientation val="minMax"/>
        </c:scaling>
        <c:delete val="0"/>
        <c:axPos val="r"/>
        <c:numFmt formatCode="#,##0" sourceLinked="1"/>
        <c:majorTickMark val="none"/>
        <c:minorTickMark val="none"/>
        <c:tickLblPos val="nextTo"/>
        <c:txPr>
          <a:bodyPr/>
          <a:lstStyle/>
          <a:p>
            <a:pPr>
              <a:defRPr lang="en-IN"/>
            </a:pPr>
            <a:endParaRPr lang="en-US"/>
          </a:p>
        </c:txPr>
        <c:crossAx val="264002520"/>
        <c:crosses val="max"/>
        <c:crossBetween val="between"/>
      </c:valAx>
      <c:dateAx>
        <c:axId val="264002520"/>
        <c:scaling>
          <c:orientation val="minMax"/>
        </c:scaling>
        <c:delete val="1"/>
        <c:axPos val="b"/>
        <c:numFmt formatCode="[$-409]mmm\-yy;@" sourceLinked="1"/>
        <c:majorTickMark val="out"/>
        <c:minorTickMark val="none"/>
        <c:tickLblPos val="none"/>
        <c:crossAx val="264009968"/>
        <c:crosses val="autoZero"/>
        <c:auto val="1"/>
        <c:lblOffset val="100"/>
        <c:baseTimeUnit val="days"/>
      </c:dateAx>
      <c:spPr>
        <a:ln>
          <a:solidFill>
            <a:schemeClr val="accent2">
              <a:lumMod val="75000"/>
            </a:schemeClr>
          </a:solidFill>
        </a:ln>
      </c:spPr>
    </c:plotArea>
    <c:legend>
      <c:legendPos val="b"/>
      <c:legendEntry>
        <c:idx val="0"/>
        <c:txPr>
          <a:bodyPr/>
          <a:lstStyle/>
          <a:p>
            <a:pPr>
              <a:defRPr lang="en-US" sz="1000" b="1" i="0" u="none" strike="noStrike" kern="1200" cap="none" baseline="0">
                <a:solidFill>
                  <a:schemeClr val="tx1"/>
                </a:solidFill>
                <a:latin typeface="Garamond" pitchFamily="18" charset="0"/>
                <a:ea typeface="+mn-ea"/>
                <a:cs typeface="+mn-cs"/>
              </a:defRPr>
            </a:pPr>
            <a:endParaRPr lang="en-US"/>
          </a:p>
        </c:txPr>
      </c:legendEntry>
      <c:legendEntry>
        <c:idx val="1"/>
        <c:txPr>
          <a:bodyPr/>
          <a:lstStyle/>
          <a:p>
            <a:pPr>
              <a:defRPr lang="en-US" sz="1000" b="1" i="0" u="none" strike="noStrike" kern="1200" cap="none" baseline="0">
                <a:solidFill>
                  <a:schemeClr val="tx1"/>
                </a:solidFill>
                <a:latin typeface="Garamond" pitchFamily="18" charset="0"/>
                <a:ea typeface="+mn-ea"/>
                <a:cs typeface="+mn-cs"/>
              </a:defRPr>
            </a:pPr>
            <a:endParaRPr lang="en-US"/>
          </a:p>
        </c:txPr>
      </c:legendEntry>
      <c:layout>
        <c:manualLayout>
          <c:xMode val="edge"/>
          <c:yMode val="edge"/>
          <c:x val="1.5105819748517713E-2"/>
          <c:y val="0.84632977839795343"/>
          <c:w val="0.92744222795478182"/>
          <c:h val="7.2640792155546904E-2"/>
        </c:manualLayout>
      </c:layout>
      <c:overlay val="0"/>
      <c:spPr>
        <a:ln w="3175">
          <a:solidFill>
            <a:srgbClr val="EEECE1">
              <a:lumMod val="10000"/>
            </a:srgbClr>
          </a:solidFill>
        </a:ln>
      </c:spPr>
      <c:txPr>
        <a:bodyPr/>
        <a:lstStyle/>
        <a:p>
          <a:pPr>
            <a:defRPr lang="en-US" sz="1100" b="1" i="0" u="none" strike="noStrike" kern="1200" cap="none" baseline="0">
              <a:solidFill>
                <a:schemeClr val="tx1"/>
              </a:solidFill>
              <a:latin typeface="Garamond" pitchFamily="18" charset="0"/>
              <a:ea typeface="+mn-ea"/>
              <a:cs typeface="+mn-cs"/>
            </a:defRPr>
          </a:pPr>
          <a:endParaRPr lang="en-US"/>
        </a:p>
      </c:txPr>
    </c:legend>
    <c:plotVisOnly val="1"/>
    <c:dispBlanksAs val="gap"/>
    <c:showDLblsOverMax val="0"/>
  </c:chart>
  <c:spPr>
    <a:ln>
      <a:solidFill>
        <a:schemeClr val="accent6">
          <a:lumMod val="50000"/>
        </a:schemeClr>
      </a:solidFill>
    </a:ln>
  </c:spPr>
  <c:txPr>
    <a:bodyPr/>
    <a:lstStyle/>
    <a:p>
      <a:pPr>
        <a:defRPr sz="1000" b="1" i="0" cap="all" baseline="0">
          <a:latin typeface="Garamond"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872154869530197E-2"/>
          <c:y val="3.9215686274509803E-2"/>
          <c:w val="0.88026070815222168"/>
          <c:h val="0.76565803497629092"/>
        </c:manualLayout>
      </c:layout>
      <c:lineChart>
        <c:grouping val="standard"/>
        <c:varyColors val="0"/>
        <c:ser>
          <c:idx val="0"/>
          <c:order val="0"/>
          <c:tx>
            <c:strRef>
              <c:f>Index_Charts!$I$1</c:f>
              <c:strCache>
                <c:ptCount val="1"/>
                <c:pt idx="0">
                  <c:v>Bovespa</c:v>
                </c:pt>
              </c:strCache>
            </c:strRef>
          </c:tx>
          <c:spPr>
            <a:ln w="28575" cap="rnd">
              <a:solidFill>
                <a:schemeClr val="accent1"/>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Index_Charts!$I$2:$I$183</c:f>
              <c:numCache>
                <c:formatCode>0.00</c:formatCode>
                <c:ptCount val="182"/>
                <c:pt idx="0">
                  <c:v>100</c:v>
                </c:pt>
                <c:pt idx="1">
                  <c:v>100</c:v>
                </c:pt>
                <c:pt idx="2">
                  <c:v>99.181028039879322</c:v>
                </c:pt>
                <c:pt idx="3">
                  <c:v>99.130679866681604</c:v>
                </c:pt>
                <c:pt idx="4">
                  <c:v>98.821691089474498</c:v>
                </c:pt>
                <c:pt idx="5">
                  <c:v>99.817373657479664</c:v>
                </c:pt>
                <c:pt idx="6">
                  <c:v>99.361405231805421</c:v>
                </c:pt>
                <c:pt idx="7">
                  <c:v>99.361405231805421</c:v>
                </c:pt>
                <c:pt idx="8">
                  <c:v>99.361405231805421</c:v>
                </c:pt>
                <c:pt idx="9">
                  <c:v>97.58880513406109</c:v>
                </c:pt>
                <c:pt idx="10">
                  <c:v>98.998190839490775</c:v>
                </c:pt>
                <c:pt idx="11">
                  <c:v>99.859463230839225</c:v>
                </c:pt>
                <c:pt idx="12">
                  <c:v>100.09133659991218</c:v>
                </c:pt>
                <c:pt idx="13">
                  <c:v>98.792077273317261</c:v>
                </c:pt>
                <c:pt idx="14">
                  <c:v>98.792077273317261</c:v>
                </c:pt>
                <c:pt idx="15">
                  <c:v>98.792077273317261</c:v>
                </c:pt>
                <c:pt idx="16">
                  <c:v>97.066756195355609</c:v>
                </c:pt>
                <c:pt idx="17">
                  <c:v>98.501233987102069</c:v>
                </c:pt>
                <c:pt idx="18">
                  <c:v>100.4813416558153</c:v>
                </c:pt>
                <c:pt idx="19">
                  <c:v>100.53733613415059</c:v>
                </c:pt>
                <c:pt idx="20">
                  <c:v>100.21616445789145</c:v>
                </c:pt>
                <c:pt idx="21">
                  <c:v>100.21616445789145</c:v>
                </c:pt>
                <c:pt idx="22">
                  <c:v>100.21616445789145</c:v>
                </c:pt>
                <c:pt idx="23">
                  <c:v>100.27755924051806</c:v>
                </c:pt>
                <c:pt idx="24">
                  <c:v>100.12126670287176</c:v>
                </c:pt>
                <c:pt idx="25">
                  <c:v>99.623770991486495</c:v>
                </c:pt>
                <c:pt idx="26">
                  <c:v>101.19209667224112</c:v>
                </c:pt>
                <c:pt idx="27">
                  <c:v>101.26409291990824</c:v>
                </c:pt>
                <c:pt idx="28">
                  <c:v>101.26409291990824</c:v>
                </c:pt>
                <c:pt idx="29">
                  <c:v>101.26409291990824</c:v>
                </c:pt>
                <c:pt idx="30">
                  <c:v>100.87850416491146</c:v>
                </c:pt>
                <c:pt idx="31">
                  <c:v>100.87850416491146</c:v>
                </c:pt>
                <c:pt idx="32">
                  <c:v>99.041217558931265</c:v>
                </c:pt>
                <c:pt idx="33">
                  <c:v>97.566442485705011</c:v>
                </c:pt>
                <c:pt idx="34">
                  <c:v>97.36717008592224</c:v>
                </c:pt>
                <c:pt idx="35">
                  <c:v>97.36717008592224</c:v>
                </c:pt>
                <c:pt idx="36">
                  <c:v>97.36717008592224</c:v>
                </c:pt>
                <c:pt idx="37">
                  <c:v>96.894368173769379</c:v>
                </c:pt>
                <c:pt idx="38">
                  <c:v>97.177421433186879</c:v>
                </c:pt>
                <c:pt idx="39">
                  <c:v>98.711342138445531</c:v>
                </c:pt>
                <c:pt idx="40">
                  <c:v>100.58060885443732</c:v>
                </c:pt>
                <c:pt idx="41">
                  <c:v>99.829755700073903</c:v>
                </c:pt>
                <c:pt idx="42">
                  <c:v>99.829755700073903</c:v>
                </c:pt>
                <c:pt idx="43">
                  <c:v>99.829755700073903</c:v>
                </c:pt>
                <c:pt idx="44">
                  <c:v>99.843766033983741</c:v>
                </c:pt>
                <c:pt idx="45">
                  <c:v>99.72454933816401</c:v>
                </c:pt>
                <c:pt idx="46">
                  <c:v>101.372227863321</c:v>
                </c:pt>
                <c:pt idx="47">
                  <c:v>97.957478402297127</c:v>
                </c:pt>
                <c:pt idx="48">
                  <c:v>97.324822797390425</c:v>
                </c:pt>
                <c:pt idx="49">
                  <c:v>97.324822797390425</c:v>
                </c:pt>
                <c:pt idx="50">
                  <c:v>97.324822797390425</c:v>
                </c:pt>
                <c:pt idx="51">
                  <c:v>95.841121407743358</c:v>
                </c:pt>
                <c:pt idx="52">
                  <c:v>96.923021415193674</c:v>
                </c:pt>
                <c:pt idx="53">
                  <c:v>94.730579873194756</c:v>
                </c:pt>
                <c:pt idx="54">
                  <c:v>93.857886013985024</c:v>
                </c:pt>
                <c:pt idx="55">
                  <c:v>92.423291078978465</c:v>
                </c:pt>
                <c:pt idx="56">
                  <c:v>92.423291078978465</c:v>
                </c:pt>
                <c:pt idx="57">
                  <c:v>92.423291078978465</c:v>
                </c:pt>
                <c:pt idx="58">
                  <c:v>88.274287663549558</c:v>
                </c:pt>
                <c:pt idx="59">
                  <c:v>89.113197406541929</c:v>
                </c:pt>
                <c:pt idx="60">
                  <c:v>89.911692724794406</c:v>
                </c:pt>
                <c:pt idx="61">
                  <c:v>89.911692724794406</c:v>
                </c:pt>
                <c:pt idx="62">
                  <c:v>90.481161255194721</c:v>
                </c:pt>
                <c:pt idx="63">
                  <c:v>90.481161255194721</c:v>
                </c:pt>
                <c:pt idx="64">
                  <c:v>90.481161255194721</c:v>
                </c:pt>
                <c:pt idx="65">
                  <c:v>92.069987006469589</c:v>
                </c:pt>
                <c:pt idx="66">
                  <c:v>89.780621131050978</c:v>
                </c:pt>
                <c:pt idx="67">
                  <c:v>89.166204731744273</c:v>
                </c:pt>
                <c:pt idx="68">
                  <c:v>86.512019601347433</c:v>
                </c:pt>
                <c:pt idx="69">
                  <c:v>85.44671879385551</c:v>
                </c:pt>
                <c:pt idx="70">
                  <c:v>85.44671879385551</c:v>
                </c:pt>
                <c:pt idx="71">
                  <c:v>85.44671879385551</c:v>
                </c:pt>
                <c:pt idx="72">
                  <c:v>84.703679094941805</c:v>
                </c:pt>
                <c:pt idx="73">
                  <c:v>85.226559750794124</c:v>
                </c:pt>
                <c:pt idx="74">
                  <c:v>84.486214346863079</c:v>
                </c:pt>
                <c:pt idx="75">
                  <c:v>83.665122093734283</c:v>
                </c:pt>
                <c:pt idx="76">
                  <c:v>82.887911705844843</c:v>
                </c:pt>
                <c:pt idx="77">
                  <c:v>82.887911705844843</c:v>
                </c:pt>
                <c:pt idx="78">
                  <c:v>82.887911705844843</c:v>
                </c:pt>
                <c:pt idx="79">
                  <c:v>81.783250762954054</c:v>
                </c:pt>
                <c:pt idx="80">
                  <c:v>83.633657414067216</c:v>
                </c:pt>
                <c:pt idx="81">
                  <c:v>84.487713780592557</c:v>
                </c:pt>
                <c:pt idx="82">
                  <c:v>82.088022382796993</c:v>
                </c:pt>
                <c:pt idx="83">
                  <c:v>82.750760376901411</c:v>
                </c:pt>
                <c:pt idx="84">
                  <c:v>82.750760376901411</c:v>
                </c:pt>
                <c:pt idx="85">
                  <c:v>82.750760376901411</c:v>
                </c:pt>
                <c:pt idx="86">
                  <c:v>83.116622206894689</c:v>
                </c:pt>
                <c:pt idx="87">
                  <c:v>83.645664598229075</c:v>
                </c:pt>
                <c:pt idx="88">
                  <c:v>82.713684535074805</c:v>
                </c:pt>
                <c:pt idx="89">
                  <c:v>84.069641199565737</c:v>
                </c:pt>
                <c:pt idx="90">
                  <c:v>85.236376355991808</c:v>
                </c:pt>
                <c:pt idx="91">
                  <c:v>85.236376355991808</c:v>
                </c:pt>
                <c:pt idx="92">
                  <c:v>85.236376355991808</c:v>
                </c:pt>
                <c:pt idx="93">
                  <c:v>85.326846095779146</c:v>
                </c:pt>
                <c:pt idx="94">
                  <c:v>86.296804003862917</c:v>
                </c:pt>
                <c:pt idx="95">
                  <c:v>87.556515765842818</c:v>
                </c:pt>
                <c:pt idx="96">
                  <c:v>87.333884999992975</c:v>
                </c:pt>
                <c:pt idx="97">
                  <c:v>87.869616271479984</c:v>
                </c:pt>
                <c:pt idx="98">
                  <c:v>87.869616271479984</c:v>
                </c:pt>
                <c:pt idx="99">
                  <c:v>87.869616271479984</c:v>
                </c:pt>
                <c:pt idx="100">
                  <c:v>87.869616271479984</c:v>
                </c:pt>
                <c:pt idx="101">
                  <c:v>87.696232532182776</c:v>
                </c:pt>
                <c:pt idx="102">
                  <c:v>87.15288694878825</c:v>
                </c:pt>
                <c:pt idx="103">
                  <c:v>88.860449108516377</c:v>
                </c:pt>
                <c:pt idx="104">
                  <c:v>89.725118654408178</c:v>
                </c:pt>
                <c:pt idx="105">
                  <c:v>89.725118654408178</c:v>
                </c:pt>
                <c:pt idx="106">
                  <c:v>89.725118654408178</c:v>
                </c:pt>
                <c:pt idx="107">
                  <c:v>89.793331174773527</c:v>
                </c:pt>
                <c:pt idx="108">
                  <c:v>91.524380558154832</c:v>
                </c:pt>
                <c:pt idx="109">
                  <c:v>90.625106893224867</c:v>
                </c:pt>
                <c:pt idx="110">
                  <c:v>90.770610536614527</c:v>
                </c:pt>
                <c:pt idx="111">
                  <c:v>92.040970620938936</c:v>
                </c:pt>
                <c:pt idx="112">
                  <c:v>92.040970620938936</c:v>
                </c:pt>
                <c:pt idx="113">
                  <c:v>92.040970620938936</c:v>
                </c:pt>
                <c:pt idx="114">
                  <c:v>91.367197731731622</c:v>
                </c:pt>
                <c:pt idx="115">
                  <c:v>92.724724115908103</c:v>
                </c:pt>
                <c:pt idx="116">
                  <c:v>93.970027256893758</c:v>
                </c:pt>
                <c:pt idx="117">
                  <c:v>93.018003981933688</c:v>
                </c:pt>
                <c:pt idx="118">
                  <c:v>93.557753267242688</c:v>
                </c:pt>
                <c:pt idx="119">
                  <c:v>93.557753267242688</c:v>
                </c:pt>
                <c:pt idx="120">
                  <c:v>93.557753267242688</c:v>
                </c:pt>
                <c:pt idx="121">
                  <c:v>94.037443203090334</c:v>
                </c:pt>
                <c:pt idx="122">
                  <c:v>92.8013943796538</c:v>
                </c:pt>
                <c:pt idx="123">
                  <c:v>92.896538135519762</c:v>
                </c:pt>
                <c:pt idx="124">
                  <c:v>93.289014914211307</c:v>
                </c:pt>
                <c:pt idx="125">
                  <c:v>95.395590446545413</c:v>
                </c:pt>
                <c:pt idx="126">
                  <c:v>95.395590446545413</c:v>
                </c:pt>
                <c:pt idx="127">
                  <c:v>95.395590446545413</c:v>
                </c:pt>
                <c:pt idx="128">
                  <c:v>94.945502612528983</c:v>
                </c:pt>
                <c:pt idx="129">
                  <c:v>94.12053291749038</c:v>
                </c:pt>
                <c:pt idx="130">
                  <c:v>92.720881816976302</c:v>
                </c:pt>
                <c:pt idx="131">
                  <c:v>92.271391413586471</c:v>
                </c:pt>
                <c:pt idx="132">
                  <c:v>89.631404046315637</c:v>
                </c:pt>
                <c:pt idx="133">
                  <c:v>89.631404046315637</c:v>
                </c:pt>
                <c:pt idx="134">
                  <c:v>89.631404046315637</c:v>
                </c:pt>
                <c:pt idx="135">
                  <c:v>90.781868003911654</c:v>
                </c:pt>
                <c:pt idx="136">
                  <c:v>92.077074173706592</c:v>
                </c:pt>
                <c:pt idx="137">
                  <c:v>90.291670317631613</c:v>
                </c:pt>
                <c:pt idx="138">
                  <c:v>89.987952987129702</c:v>
                </c:pt>
                <c:pt idx="139">
                  <c:v>89.062263517043647</c:v>
                </c:pt>
                <c:pt idx="140">
                  <c:v>89.062263517043647</c:v>
                </c:pt>
                <c:pt idx="141">
                  <c:v>89.062263517043647</c:v>
                </c:pt>
                <c:pt idx="142">
                  <c:v>89.412978723503954</c:v>
                </c:pt>
                <c:pt idx="143">
                  <c:v>88.068771528002614</c:v>
                </c:pt>
                <c:pt idx="144">
                  <c:v>90.085861323934395</c:v>
                </c:pt>
                <c:pt idx="145">
                  <c:v>88.599863926389048</c:v>
                </c:pt>
                <c:pt idx="146">
                  <c:v>89.336062458911996</c:v>
                </c:pt>
                <c:pt idx="147">
                  <c:v>89.336062458911996</c:v>
                </c:pt>
                <c:pt idx="148">
                  <c:v>89.336062458911996</c:v>
                </c:pt>
                <c:pt idx="149">
                  <c:v>91.289367749710777</c:v>
                </c:pt>
                <c:pt idx="150">
                  <c:v>90.754608767282733</c:v>
                </c:pt>
                <c:pt idx="151">
                  <c:v>91.827231028531884</c:v>
                </c:pt>
                <c:pt idx="152">
                  <c:v>89.502241887712103</c:v>
                </c:pt>
                <c:pt idx="153">
                  <c:v>89.822558418172392</c:v>
                </c:pt>
                <c:pt idx="154">
                  <c:v>89.822558418172392</c:v>
                </c:pt>
                <c:pt idx="155">
                  <c:v>89.822558418172392</c:v>
                </c:pt>
                <c:pt idx="156">
                  <c:v>89.254647893131605</c:v>
                </c:pt>
                <c:pt idx="157">
                  <c:v>87.519838211100591</c:v>
                </c:pt>
                <c:pt idx="158">
                  <c:v>87.965533172862692</c:v>
                </c:pt>
                <c:pt idx="159">
                  <c:v>89.516205364317884</c:v>
                </c:pt>
                <c:pt idx="160">
                  <c:v>89.516205364317884</c:v>
                </c:pt>
                <c:pt idx="161">
                  <c:v>89.516205364317884</c:v>
                </c:pt>
                <c:pt idx="162">
                  <c:v>89.516205364317884</c:v>
                </c:pt>
                <c:pt idx="163">
                  <c:v>89.54003230342542</c:v>
                </c:pt>
                <c:pt idx="164">
                  <c:v>87.455069702582634</c:v>
                </c:pt>
                <c:pt idx="165">
                  <c:v>88.003651589704319</c:v>
                </c:pt>
                <c:pt idx="166">
                  <c:v>87.490400109833516</c:v>
                </c:pt>
                <c:pt idx="167">
                  <c:v>88.360095101584292</c:v>
                </c:pt>
                <c:pt idx="168">
                  <c:v>88.360095101584292</c:v>
                </c:pt>
                <c:pt idx="169">
                  <c:v>88.360095101584292</c:v>
                </c:pt>
                <c:pt idx="170">
                  <c:v>89.952962295333165</c:v>
                </c:pt>
                <c:pt idx="171">
                  <c:v>91.739525869683291</c:v>
                </c:pt>
                <c:pt idx="172">
                  <c:v>91.569316712735215</c:v>
                </c:pt>
                <c:pt idx="173">
                  <c:v>91.507640786284298</c:v>
                </c:pt>
                <c:pt idx="174">
                  <c:v>93.063631281748755</c:v>
                </c:pt>
                <c:pt idx="175">
                  <c:v>93.063631281748755</c:v>
                </c:pt>
                <c:pt idx="176">
                  <c:v>93.063631281748755</c:v>
                </c:pt>
                <c:pt idx="177">
                  <c:v>91.353210826473813</c:v>
                </c:pt>
                <c:pt idx="178">
                  <c:v>92.109909429517018</c:v>
                </c:pt>
                <c:pt idx="179">
                  <c:v>92.140390105799113</c:v>
                </c:pt>
                <c:pt idx="180">
                  <c:v>93.714713521471666</c:v>
                </c:pt>
                <c:pt idx="181">
                  <c:v>92.944297442668926</c:v>
                </c:pt>
              </c:numCache>
            </c:numRef>
          </c:val>
          <c:smooth val="0"/>
          <c:extLst xmlns:c16r2="http://schemas.microsoft.com/office/drawing/2015/06/chart">
            <c:ext xmlns:c16="http://schemas.microsoft.com/office/drawing/2014/chart" uri="{C3380CC4-5D6E-409C-BE32-E72D297353CC}">
              <c16:uniqueId val="{00000000-FBCB-7943-B127-1A292C44205A}"/>
            </c:ext>
          </c:extLst>
        </c:ser>
        <c:ser>
          <c:idx val="1"/>
          <c:order val="1"/>
          <c:tx>
            <c:strRef>
              <c:f>Index_Charts!$J$1</c:f>
              <c:strCache>
                <c:ptCount val="1"/>
                <c:pt idx="0">
                  <c:v>Russian Traded</c:v>
                </c:pt>
              </c:strCache>
            </c:strRef>
          </c:tx>
          <c:spPr>
            <a:ln w="28575" cap="rnd">
              <a:solidFill>
                <a:schemeClr val="accent2"/>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Index_Charts!$J$2:$J$183</c:f>
              <c:numCache>
                <c:formatCode>0.00</c:formatCode>
                <c:ptCount val="182"/>
                <c:pt idx="0">
                  <c:v>100</c:v>
                </c:pt>
                <c:pt idx="1">
                  <c:v>100</c:v>
                </c:pt>
                <c:pt idx="2">
                  <c:v>98.549554989925909</c:v>
                </c:pt>
                <c:pt idx="3">
                  <c:v>98.993718500792951</c:v>
                </c:pt>
                <c:pt idx="4">
                  <c:v>99.204230558675306</c:v>
                </c:pt>
                <c:pt idx="5">
                  <c:v>100.50398731283899</c:v>
                </c:pt>
                <c:pt idx="6">
                  <c:v>99.173754282199042</c:v>
                </c:pt>
                <c:pt idx="7">
                  <c:v>99.173754282199042</c:v>
                </c:pt>
                <c:pt idx="8">
                  <c:v>99.173754282199042</c:v>
                </c:pt>
                <c:pt idx="9">
                  <c:v>87.356860266272349</c:v>
                </c:pt>
                <c:pt idx="10">
                  <c:v>87.441516589817539</c:v>
                </c:pt>
                <c:pt idx="11">
                  <c:v>87.141268828977303</c:v>
                </c:pt>
                <c:pt idx="12">
                  <c:v>90.868968942416771</c:v>
                </c:pt>
                <c:pt idx="13">
                  <c:v>88.910021615581286</c:v>
                </c:pt>
                <c:pt idx="14">
                  <c:v>88.910021615581286</c:v>
                </c:pt>
                <c:pt idx="15">
                  <c:v>88.910021615581286</c:v>
                </c:pt>
                <c:pt idx="16">
                  <c:v>87.072415019160559</c:v>
                </c:pt>
                <c:pt idx="17">
                  <c:v>90.280325306032623</c:v>
                </c:pt>
                <c:pt idx="18">
                  <c:v>92.785023731989369</c:v>
                </c:pt>
                <c:pt idx="19">
                  <c:v>92.76809246728034</c:v>
                </c:pt>
                <c:pt idx="20">
                  <c:v>92.002234926941611</c:v>
                </c:pt>
                <c:pt idx="21">
                  <c:v>92.002234926941611</c:v>
                </c:pt>
                <c:pt idx="22">
                  <c:v>92.002234926941611</c:v>
                </c:pt>
                <c:pt idx="23">
                  <c:v>92.320542703471475</c:v>
                </c:pt>
                <c:pt idx="24">
                  <c:v>92.875323810437578</c:v>
                </c:pt>
                <c:pt idx="25">
                  <c:v>91.889924204371667</c:v>
                </c:pt>
                <c:pt idx="26">
                  <c:v>92.700367408444194</c:v>
                </c:pt>
                <c:pt idx="27">
                  <c:v>94.354551970517036</c:v>
                </c:pt>
                <c:pt idx="28">
                  <c:v>94.354551970517036</c:v>
                </c:pt>
                <c:pt idx="29">
                  <c:v>94.354551970517036</c:v>
                </c:pt>
                <c:pt idx="30">
                  <c:v>93.236524124230328</c:v>
                </c:pt>
                <c:pt idx="31">
                  <c:v>93.236524124230328</c:v>
                </c:pt>
                <c:pt idx="32">
                  <c:v>91.958213638698112</c:v>
                </c:pt>
                <c:pt idx="33">
                  <c:v>91.029815957152621</c:v>
                </c:pt>
                <c:pt idx="34">
                  <c:v>92.785588107479683</c:v>
                </c:pt>
                <c:pt idx="35">
                  <c:v>92.785588107479683</c:v>
                </c:pt>
                <c:pt idx="36">
                  <c:v>92.785588107479683</c:v>
                </c:pt>
                <c:pt idx="37">
                  <c:v>93.301991681105278</c:v>
                </c:pt>
                <c:pt idx="38">
                  <c:v>92.795182490814796</c:v>
                </c:pt>
                <c:pt idx="39">
                  <c:v>92.795182490814796</c:v>
                </c:pt>
                <c:pt idx="40">
                  <c:v>95.580375535451239</c:v>
                </c:pt>
                <c:pt idx="41">
                  <c:v>97.67985235937175</c:v>
                </c:pt>
                <c:pt idx="42">
                  <c:v>97.67985235937175</c:v>
                </c:pt>
                <c:pt idx="43">
                  <c:v>97.67985235937175</c:v>
                </c:pt>
                <c:pt idx="44">
                  <c:v>98.204721565351861</c:v>
                </c:pt>
                <c:pt idx="45">
                  <c:v>95.982775260036007</c:v>
                </c:pt>
                <c:pt idx="46">
                  <c:v>96.273993013031429</c:v>
                </c:pt>
                <c:pt idx="47">
                  <c:v>95.95907148944336</c:v>
                </c:pt>
                <c:pt idx="48">
                  <c:v>95.206194585381553</c:v>
                </c:pt>
                <c:pt idx="49">
                  <c:v>95.206194585381553</c:v>
                </c:pt>
                <c:pt idx="50">
                  <c:v>95.206194585381553</c:v>
                </c:pt>
                <c:pt idx="51">
                  <c:v>96.414522510116427</c:v>
                </c:pt>
                <c:pt idx="52">
                  <c:v>97.173607544571567</c:v>
                </c:pt>
                <c:pt idx="53">
                  <c:v>95.11476575595276</c:v>
                </c:pt>
                <c:pt idx="54">
                  <c:v>94.986088144164086</c:v>
                </c:pt>
                <c:pt idx="55">
                  <c:v>94.756387319611491</c:v>
                </c:pt>
                <c:pt idx="56">
                  <c:v>94.756387319611491</c:v>
                </c:pt>
                <c:pt idx="57">
                  <c:v>94.756387319611491</c:v>
                </c:pt>
                <c:pt idx="58">
                  <c:v>94.509190854859554</c:v>
                </c:pt>
                <c:pt idx="59">
                  <c:v>94.075186102817938</c:v>
                </c:pt>
                <c:pt idx="60">
                  <c:v>94.334798828356497</c:v>
                </c:pt>
                <c:pt idx="61">
                  <c:v>94.528379621529808</c:v>
                </c:pt>
                <c:pt idx="62">
                  <c:v>94.366403855813346</c:v>
                </c:pt>
                <c:pt idx="63">
                  <c:v>94.366403855813346</c:v>
                </c:pt>
                <c:pt idx="64">
                  <c:v>94.366403855813346</c:v>
                </c:pt>
                <c:pt idx="65">
                  <c:v>95.753074435483427</c:v>
                </c:pt>
                <c:pt idx="66">
                  <c:v>94.929086219643651</c:v>
                </c:pt>
                <c:pt idx="67">
                  <c:v>95.33600094815084</c:v>
                </c:pt>
                <c:pt idx="68">
                  <c:v>94.857410532375411</c:v>
                </c:pt>
                <c:pt idx="69">
                  <c:v>92.210489482862741</c:v>
                </c:pt>
                <c:pt idx="70">
                  <c:v>92.210489482862741</c:v>
                </c:pt>
                <c:pt idx="71">
                  <c:v>92.210489482862741</c:v>
                </c:pt>
                <c:pt idx="72">
                  <c:v>92.152923182852021</c:v>
                </c:pt>
                <c:pt idx="73">
                  <c:v>92.152923182852021</c:v>
                </c:pt>
                <c:pt idx="74">
                  <c:v>92.411407157409968</c:v>
                </c:pt>
                <c:pt idx="75">
                  <c:v>91.850417920050575</c:v>
                </c:pt>
                <c:pt idx="76">
                  <c:v>89.600817215709966</c:v>
                </c:pt>
                <c:pt idx="77">
                  <c:v>89.600817215709966</c:v>
                </c:pt>
                <c:pt idx="78">
                  <c:v>89.600817215709966</c:v>
                </c:pt>
                <c:pt idx="79">
                  <c:v>88.636863878275491</c:v>
                </c:pt>
                <c:pt idx="80">
                  <c:v>88.445540587063391</c:v>
                </c:pt>
                <c:pt idx="81">
                  <c:v>90.47616360116713</c:v>
                </c:pt>
                <c:pt idx="82">
                  <c:v>89.926461873613761</c:v>
                </c:pt>
                <c:pt idx="83">
                  <c:v>91.403996907222322</c:v>
                </c:pt>
                <c:pt idx="84">
                  <c:v>91.403996907222322</c:v>
                </c:pt>
                <c:pt idx="85">
                  <c:v>91.403996907222322</c:v>
                </c:pt>
                <c:pt idx="86">
                  <c:v>91.029815957152621</c:v>
                </c:pt>
                <c:pt idx="87">
                  <c:v>90.227274009944296</c:v>
                </c:pt>
                <c:pt idx="88">
                  <c:v>91.931687990653955</c:v>
                </c:pt>
                <c:pt idx="89">
                  <c:v>91.679976521979611</c:v>
                </c:pt>
                <c:pt idx="90">
                  <c:v>94.266509394030038</c:v>
                </c:pt>
                <c:pt idx="91">
                  <c:v>94.266509394030038</c:v>
                </c:pt>
                <c:pt idx="92">
                  <c:v>94.266509394030038</c:v>
                </c:pt>
                <c:pt idx="93">
                  <c:v>94.443723297984633</c:v>
                </c:pt>
                <c:pt idx="94">
                  <c:v>93.741640188049928</c:v>
                </c:pt>
                <c:pt idx="95">
                  <c:v>93.873139677290098</c:v>
                </c:pt>
                <c:pt idx="96">
                  <c:v>96.170712298306313</c:v>
                </c:pt>
                <c:pt idx="97">
                  <c:v>96.243516736555165</c:v>
                </c:pt>
                <c:pt idx="98">
                  <c:v>96.243516736555165</c:v>
                </c:pt>
                <c:pt idx="99">
                  <c:v>96.243516736555165</c:v>
                </c:pt>
                <c:pt idx="100">
                  <c:v>97.819817480966435</c:v>
                </c:pt>
                <c:pt idx="101">
                  <c:v>98.388143599699745</c:v>
                </c:pt>
                <c:pt idx="102">
                  <c:v>97.645425454463378</c:v>
                </c:pt>
                <c:pt idx="103">
                  <c:v>96.503693837584038</c:v>
                </c:pt>
                <c:pt idx="104">
                  <c:v>97.75152804663999</c:v>
                </c:pt>
                <c:pt idx="105">
                  <c:v>97.75152804663999</c:v>
                </c:pt>
                <c:pt idx="106">
                  <c:v>97.75152804663999</c:v>
                </c:pt>
                <c:pt idx="107">
                  <c:v>96.637450828785404</c:v>
                </c:pt>
                <c:pt idx="108">
                  <c:v>95.025594428485178</c:v>
                </c:pt>
                <c:pt idx="109">
                  <c:v>93.268693527177504</c:v>
                </c:pt>
                <c:pt idx="110">
                  <c:v>91.629182727852495</c:v>
                </c:pt>
                <c:pt idx="111">
                  <c:v>90.668615643359843</c:v>
                </c:pt>
                <c:pt idx="112">
                  <c:v>90.668615643359843</c:v>
                </c:pt>
                <c:pt idx="113">
                  <c:v>90.668615643359843</c:v>
                </c:pt>
                <c:pt idx="114">
                  <c:v>91.889924204371667</c:v>
                </c:pt>
                <c:pt idx="115">
                  <c:v>93.169363440884496</c:v>
                </c:pt>
                <c:pt idx="116">
                  <c:v>92.902978209462319</c:v>
                </c:pt>
                <c:pt idx="117">
                  <c:v>93.39116300857286</c:v>
                </c:pt>
                <c:pt idx="118">
                  <c:v>93.790740855706119</c:v>
                </c:pt>
                <c:pt idx="119">
                  <c:v>93.790740855706119</c:v>
                </c:pt>
                <c:pt idx="120">
                  <c:v>93.790740855706119</c:v>
                </c:pt>
                <c:pt idx="121">
                  <c:v>94.765417327456305</c:v>
                </c:pt>
                <c:pt idx="122">
                  <c:v>96.102422863979868</c:v>
                </c:pt>
                <c:pt idx="123">
                  <c:v>95.047605072606913</c:v>
                </c:pt>
                <c:pt idx="124">
                  <c:v>93.487671217414388</c:v>
                </c:pt>
                <c:pt idx="125">
                  <c:v>93.69197514490341</c:v>
                </c:pt>
                <c:pt idx="126">
                  <c:v>93.69197514490341</c:v>
                </c:pt>
                <c:pt idx="127">
                  <c:v>93.69197514490341</c:v>
                </c:pt>
                <c:pt idx="128">
                  <c:v>93.146788421272447</c:v>
                </c:pt>
                <c:pt idx="129">
                  <c:v>94.031729190064738</c:v>
                </c:pt>
                <c:pt idx="130">
                  <c:v>91.515178878811653</c:v>
                </c:pt>
                <c:pt idx="131">
                  <c:v>90.201312737390452</c:v>
                </c:pt>
                <c:pt idx="132">
                  <c:v>87.830935678125371</c:v>
                </c:pt>
                <c:pt idx="133">
                  <c:v>87.830935678125371</c:v>
                </c:pt>
                <c:pt idx="134">
                  <c:v>87.830935678125371</c:v>
                </c:pt>
                <c:pt idx="135">
                  <c:v>87.439259087856342</c:v>
                </c:pt>
                <c:pt idx="136">
                  <c:v>89.011609203835505</c:v>
                </c:pt>
                <c:pt idx="137">
                  <c:v>87.052097501509721</c:v>
                </c:pt>
                <c:pt idx="138">
                  <c:v>87.75530936242501</c:v>
                </c:pt>
                <c:pt idx="139">
                  <c:v>86.600032733778448</c:v>
                </c:pt>
                <c:pt idx="140">
                  <c:v>86.600032733778448</c:v>
                </c:pt>
                <c:pt idx="141">
                  <c:v>86.600032733778448</c:v>
                </c:pt>
                <c:pt idx="142">
                  <c:v>87.486102253551351</c:v>
                </c:pt>
                <c:pt idx="143">
                  <c:v>88.029031475221103</c:v>
                </c:pt>
                <c:pt idx="144">
                  <c:v>87.693228058491883</c:v>
                </c:pt>
                <c:pt idx="145">
                  <c:v>85.454914863957299</c:v>
                </c:pt>
                <c:pt idx="146">
                  <c:v>87.486102253551351</c:v>
                </c:pt>
                <c:pt idx="147">
                  <c:v>87.486102253551351</c:v>
                </c:pt>
                <c:pt idx="148">
                  <c:v>87.486102253551351</c:v>
                </c:pt>
                <c:pt idx="149">
                  <c:v>89.431504568619587</c:v>
                </c:pt>
                <c:pt idx="150">
                  <c:v>88.680885166518991</c:v>
                </c:pt>
                <c:pt idx="151">
                  <c:v>89.095136776400082</c:v>
                </c:pt>
                <c:pt idx="152">
                  <c:v>88.463600602753033</c:v>
                </c:pt>
                <c:pt idx="153">
                  <c:v>90.173658338365698</c:v>
                </c:pt>
                <c:pt idx="154">
                  <c:v>90.173658338365698</c:v>
                </c:pt>
                <c:pt idx="155">
                  <c:v>90.173658338365698</c:v>
                </c:pt>
                <c:pt idx="156">
                  <c:v>89.237359399955977</c:v>
                </c:pt>
                <c:pt idx="157">
                  <c:v>88.88293159204683</c:v>
                </c:pt>
                <c:pt idx="158">
                  <c:v>88.066844633071284</c:v>
                </c:pt>
                <c:pt idx="159">
                  <c:v>87.122644437797362</c:v>
                </c:pt>
                <c:pt idx="160">
                  <c:v>86.778375388713627</c:v>
                </c:pt>
                <c:pt idx="161">
                  <c:v>86.778375388713627</c:v>
                </c:pt>
                <c:pt idx="162">
                  <c:v>86.778375388713627</c:v>
                </c:pt>
                <c:pt idx="163">
                  <c:v>86.424511956294765</c:v>
                </c:pt>
                <c:pt idx="164">
                  <c:v>87.211251389774645</c:v>
                </c:pt>
                <c:pt idx="165">
                  <c:v>88.518909400802542</c:v>
                </c:pt>
                <c:pt idx="166">
                  <c:v>89.51164588824237</c:v>
                </c:pt>
                <c:pt idx="167">
                  <c:v>90.148825816792439</c:v>
                </c:pt>
                <c:pt idx="168">
                  <c:v>90.148825816792439</c:v>
                </c:pt>
                <c:pt idx="169">
                  <c:v>90.148825816792439</c:v>
                </c:pt>
                <c:pt idx="170">
                  <c:v>90.326039720747019</c:v>
                </c:pt>
                <c:pt idx="171">
                  <c:v>92.44583406231834</c:v>
                </c:pt>
                <c:pt idx="172">
                  <c:v>93.430104917403654</c:v>
                </c:pt>
                <c:pt idx="173">
                  <c:v>93.361251107586909</c:v>
                </c:pt>
                <c:pt idx="174">
                  <c:v>94.473635198970584</c:v>
                </c:pt>
                <c:pt idx="175">
                  <c:v>94.473635198970584</c:v>
                </c:pt>
                <c:pt idx="176">
                  <c:v>94.473635198970584</c:v>
                </c:pt>
                <c:pt idx="177">
                  <c:v>95.974309627681492</c:v>
                </c:pt>
                <c:pt idx="178">
                  <c:v>96.993007387675163</c:v>
                </c:pt>
                <c:pt idx="179">
                  <c:v>96.005350279648056</c:v>
                </c:pt>
                <c:pt idx="180">
                  <c:v>98.717738886035661</c:v>
                </c:pt>
                <c:pt idx="181">
                  <c:v>99.443525766563013</c:v>
                </c:pt>
              </c:numCache>
            </c:numRef>
          </c:val>
          <c:smooth val="0"/>
          <c:extLst xmlns:c16r2="http://schemas.microsoft.com/office/drawing/2015/06/chart">
            <c:ext xmlns:c16="http://schemas.microsoft.com/office/drawing/2014/chart" uri="{C3380CC4-5D6E-409C-BE32-E72D297353CC}">
              <c16:uniqueId val="{00000001-FBCB-7943-B127-1A292C44205A}"/>
            </c:ext>
          </c:extLst>
        </c:ser>
        <c:ser>
          <c:idx val="3"/>
          <c:order val="2"/>
          <c:tx>
            <c:strRef>
              <c:f>Index_Charts!$L$1</c:f>
              <c:strCache>
                <c:ptCount val="1"/>
                <c:pt idx="0">
                  <c:v>Nifty 50</c:v>
                </c:pt>
              </c:strCache>
            </c:strRef>
          </c:tx>
          <c:spPr>
            <a:ln w="28575" cap="rnd">
              <a:solidFill>
                <a:schemeClr val="accent4"/>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Index_Charts!$L$2:$L$183</c:f>
              <c:numCache>
                <c:formatCode>0.00</c:formatCode>
                <c:ptCount val="182"/>
                <c:pt idx="0">
                  <c:v>100</c:v>
                </c:pt>
                <c:pt idx="1">
                  <c:v>100</c:v>
                </c:pt>
                <c:pt idx="2">
                  <c:v>100.96997142489887</c:v>
                </c:pt>
                <c:pt idx="3">
                  <c:v>101.29823902231625</c:v>
                </c:pt>
                <c:pt idx="4">
                  <c:v>100.1453474000613</c:v>
                </c:pt>
                <c:pt idx="5">
                  <c:v>102.0907284178886</c:v>
                </c:pt>
                <c:pt idx="6">
                  <c:v>102.15450329750735</c:v>
                </c:pt>
                <c:pt idx="7">
                  <c:v>102.15450329750735</c:v>
                </c:pt>
                <c:pt idx="8">
                  <c:v>102.15450329750735</c:v>
                </c:pt>
                <c:pt idx="9">
                  <c:v>102.62663515825068</c:v>
                </c:pt>
                <c:pt idx="10">
                  <c:v>102.85306069984279</c:v>
                </c:pt>
                <c:pt idx="11">
                  <c:v>103.00038561555118</c:v>
                </c:pt>
                <c:pt idx="12">
                  <c:v>103.41072011232288</c:v>
                </c:pt>
                <c:pt idx="13">
                  <c:v>103.62775245459129</c:v>
                </c:pt>
                <c:pt idx="14">
                  <c:v>103.62775245459129</c:v>
                </c:pt>
                <c:pt idx="15">
                  <c:v>103.62775245459129</c:v>
                </c:pt>
                <c:pt idx="16">
                  <c:v>104.09988431533463</c:v>
                </c:pt>
                <c:pt idx="17">
                  <c:v>104.30109653242631</c:v>
                </c:pt>
                <c:pt idx="18">
                  <c:v>104.0786260221284</c:v>
                </c:pt>
                <c:pt idx="19">
                  <c:v>104.46523033113498</c:v>
                </c:pt>
                <c:pt idx="20">
                  <c:v>104.45287085834065</c:v>
                </c:pt>
                <c:pt idx="21">
                  <c:v>104.45287085834065</c:v>
                </c:pt>
                <c:pt idx="22">
                  <c:v>104.45287085834065</c:v>
                </c:pt>
                <c:pt idx="23">
                  <c:v>104.65704934890296</c:v>
                </c:pt>
                <c:pt idx="24">
                  <c:v>104.95021604358443</c:v>
                </c:pt>
                <c:pt idx="25">
                  <c:v>104.51714011687116</c:v>
                </c:pt>
                <c:pt idx="26">
                  <c:v>104.98432818849676</c:v>
                </c:pt>
                <c:pt idx="27">
                  <c:v>105.72095276703874</c:v>
                </c:pt>
                <c:pt idx="28">
                  <c:v>105.72095276703874</c:v>
                </c:pt>
                <c:pt idx="29">
                  <c:v>105.72095276703874</c:v>
                </c:pt>
                <c:pt idx="30">
                  <c:v>106.1861633230173</c:v>
                </c:pt>
                <c:pt idx="31">
                  <c:v>106.1861633230173</c:v>
                </c:pt>
                <c:pt idx="32">
                  <c:v>105.97555790660192</c:v>
                </c:pt>
                <c:pt idx="33">
                  <c:v>105.59587490236015</c:v>
                </c:pt>
                <c:pt idx="34">
                  <c:v>104.98877759870273</c:v>
                </c:pt>
                <c:pt idx="35">
                  <c:v>104.98877759870273</c:v>
                </c:pt>
                <c:pt idx="36">
                  <c:v>104.98877759870273</c:v>
                </c:pt>
                <c:pt idx="37">
                  <c:v>105.95034458210151</c:v>
                </c:pt>
                <c:pt idx="38">
                  <c:v>105.97308601204305</c:v>
                </c:pt>
                <c:pt idx="39">
                  <c:v>106.20939913187064</c:v>
                </c:pt>
                <c:pt idx="40">
                  <c:v>105.96072653924872</c:v>
                </c:pt>
                <c:pt idx="41">
                  <c:v>106.85011420152861</c:v>
                </c:pt>
                <c:pt idx="42">
                  <c:v>106.85011420152861</c:v>
                </c:pt>
                <c:pt idx="43">
                  <c:v>106.85011420152861</c:v>
                </c:pt>
                <c:pt idx="44">
                  <c:v>106.85110295935216</c:v>
                </c:pt>
                <c:pt idx="45">
                  <c:v>106.80413696273372</c:v>
                </c:pt>
                <c:pt idx="46">
                  <c:v>106.20346658492934</c:v>
                </c:pt>
                <c:pt idx="47">
                  <c:v>105.62603201597834</c:v>
                </c:pt>
                <c:pt idx="48">
                  <c:v>104.77273401425788</c:v>
                </c:pt>
                <c:pt idx="49">
                  <c:v>104.77273401425788</c:v>
                </c:pt>
                <c:pt idx="50">
                  <c:v>104.77273401425788</c:v>
                </c:pt>
                <c:pt idx="51">
                  <c:v>103.9846940288915</c:v>
                </c:pt>
                <c:pt idx="52">
                  <c:v>104.18244559360078</c:v>
                </c:pt>
                <c:pt idx="53">
                  <c:v>103.13090164825928</c:v>
                </c:pt>
                <c:pt idx="54">
                  <c:v>103.95651443092042</c:v>
                </c:pt>
                <c:pt idx="55">
                  <c:v>104.85925032381817</c:v>
                </c:pt>
                <c:pt idx="56">
                  <c:v>104.85925032381817</c:v>
                </c:pt>
                <c:pt idx="57">
                  <c:v>104.85925032381817</c:v>
                </c:pt>
                <c:pt idx="58">
                  <c:v>105.68486310647931</c:v>
                </c:pt>
                <c:pt idx="59">
                  <c:v>105.13758565114645</c:v>
                </c:pt>
                <c:pt idx="60">
                  <c:v>104.95021604358443</c:v>
                </c:pt>
                <c:pt idx="61">
                  <c:v>106.15452307266379</c:v>
                </c:pt>
                <c:pt idx="62">
                  <c:v>105.75951432215706</c:v>
                </c:pt>
                <c:pt idx="63">
                  <c:v>105.75951432215706</c:v>
                </c:pt>
                <c:pt idx="64">
                  <c:v>105.75951432215706</c:v>
                </c:pt>
                <c:pt idx="65">
                  <c:v>105.09012527561623</c:v>
                </c:pt>
                <c:pt idx="66">
                  <c:v>104.74059938499263</c:v>
                </c:pt>
                <c:pt idx="67">
                  <c:v>105.64531279353746</c:v>
                </c:pt>
                <c:pt idx="68">
                  <c:v>106.47290309184572</c:v>
                </c:pt>
                <c:pt idx="69">
                  <c:v>106.46598178708089</c:v>
                </c:pt>
                <c:pt idx="70">
                  <c:v>106.46598178708089</c:v>
                </c:pt>
                <c:pt idx="71">
                  <c:v>106.46598178708089</c:v>
                </c:pt>
                <c:pt idx="72">
                  <c:v>106.65681204702533</c:v>
                </c:pt>
                <c:pt idx="73">
                  <c:v>107.2095276703877</c:v>
                </c:pt>
                <c:pt idx="74">
                  <c:v>107.34647062894884</c:v>
                </c:pt>
                <c:pt idx="75">
                  <c:v>106.86543994779356</c:v>
                </c:pt>
                <c:pt idx="76">
                  <c:v>106.9608550777658</c:v>
                </c:pt>
                <c:pt idx="77">
                  <c:v>106.9608550777658</c:v>
                </c:pt>
                <c:pt idx="78">
                  <c:v>106.9608550777658</c:v>
                </c:pt>
                <c:pt idx="79">
                  <c:v>106.78436180626278</c:v>
                </c:pt>
                <c:pt idx="80">
                  <c:v>105.90041231201242</c:v>
                </c:pt>
                <c:pt idx="81">
                  <c:v>106.50948713131692</c:v>
                </c:pt>
                <c:pt idx="82">
                  <c:v>106.20346658492934</c:v>
                </c:pt>
                <c:pt idx="83">
                  <c:v>107.00188852744297</c:v>
                </c:pt>
                <c:pt idx="84">
                  <c:v>107.00188852744297</c:v>
                </c:pt>
                <c:pt idx="85">
                  <c:v>107.00188852744297</c:v>
                </c:pt>
                <c:pt idx="86">
                  <c:v>106.41456638025647</c:v>
                </c:pt>
                <c:pt idx="87">
                  <c:v>106.48081315443407</c:v>
                </c:pt>
                <c:pt idx="88">
                  <c:v>105.51430238191759</c:v>
                </c:pt>
                <c:pt idx="89">
                  <c:v>104.70055469313901</c:v>
                </c:pt>
                <c:pt idx="90">
                  <c:v>105.93847948821893</c:v>
                </c:pt>
                <c:pt idx="91">
                  <c:v>105.93847948821893</c:v>
                </c:pt>
                <c:pt idx="92">
                  <c:v>105.93847948821893</c:v>
                </c:pt>
                <c:pt idx="93">
                  <c:v>105.37488752879756</c:v>
                </c:pt>
                <c:pt idx="94">
                  <c:v>105.79609836162827</c:v>
                </c:pt>
                <c:pt idx="95">
                  <c:v>106.48822883811067</c:v>
                </c:pt>
                <c:pt idx="96">
                  <c:v>106.2889941366661</c:v>
                </c:pt>
                <c:pt idx="97">
                  <c:v>106.5154196782582</c:v>
                </c:pt>
                <c:pt idx="98">
                  <c:v>106.5154196782582</c:v>
                </c:pt>
                <c:pt idx="99">
                  <c:v>106.5154196782582</c:v>
                </c:pt>
                <c:pt idx="100">
                  <c:v>107.30889783165406</c:v>
                </c:pt>
                <c:pt idx="101">
                  <c:v>108.24179083817</c:v>
                </c:pt>
                <c:pt idx="102">
                  <c:v>108.25217279531722</c:v>
                </c:pt>
                <c:pt idx="103">
                  <c:v>108.9927524051534</c:v>
                </c:pt>
                <c:pt idx="104">
                  <c:v>108.95023581874091</c:v>
                </c:pt>
                <c:pt idx="105">
                  <c:v>108.95023581874091</c:v>
                </c:pt>
                <c:pt idx="106">
                  <c:v>108.95023581874091</c:v>
                </c:pt>
                <c:pt idx="107">
                  <c:v>108.1389600245212</c:v>
                </c:pt>
                <c:pt idx="108">
                  <c:v>108.84295559488612</c:v>
                </c:pt>
                <c:pt idx="109">
                  <c:v>108.57005843558738</c:v>
                </c:pt>
                <c:pt idx="110">
                  <c:v>108.3391834837893</c:v>
                </c:pt>
                <c:pt idx="111">
                  <c:v>108.86421388809239</c:v>
                </c:pt>
                <c:pt idx="112">
                  <c:v>108.86421388809239</c:v>
                </c:pt>
                <c:pt idx="113">
                  <c:v>108.86421388809239</c:v>
                </c:pt>
                <c:pt idx="114">
                  <c:v>109.60133284554614</c:v>
                </c:pt>
                <c:pt idx="115">
                  <c:v>110.0912623471133</c:v>
                </c:pt>
                <c:pt idx="116">
                  <c:v>110.06852091717174</c:v>
                </c:pt>
                <c:pt idx="117">
                  <c:v>110.41755242888358</c:v>
                </c:pt>
                <c:pt idx="118">
                  <c:v>111.51556799193175</c:v>
                </c:pt>
                <c:pt idx="119">
                  <c:v>111.51556799193175</c:v>
                </c:pt>
                <c:pt idx="120">
                  <c:v>111.51556799193175</c:v>
                </c:pt>
                <c:pt idx="121">
                  <c:v>111.9229362152328</c:v>
                </c:pt>
                <c:pt idx="122">
                  <c:v>112.28828223103315</c:v>
                </c:pt>
                <c:pt idx="123">
                  <c:v>112.18644017520789</c:v>
                </c:pt>
                <c:pt idx="124">
                  <c:v>111.18285098430843</c:v>
                </c:pt>
                <c:pt idx="125">
                  <c:v>112.33079881744563</c:v>
                </c:pt>
                <c:pt idx="126">
                  <c:v>112.33079881744563</c:v>
                </c:pt>
                <c:pt idx="127">
                  <c:v>112.33079881744563</c:v>
                </c:pt>
                <c:pt idx="128">
                  <c:v>112.59084212503832</c:v>
                </c:pt>
                <c:pt idx="129">
                  <c:v>112.61407793389165</c:v>
                </c:pt>
                <c:pt idx="130">
                  <c:v>113.21277079604893</c:v>
                </c:pt>
                <c:pt idx="131">
                  <c:v>113.417443665523</c:v>
                </c:pt>
                <c:pt idx="132">
                  <c:v>113.01007544222192</c:v>
                </c:pt>
                <c:pt idx="133">
                  <c:v>113.01007544222192</c:v>
                </c:pt>
                <c:pt idx="134">
                  <c:v>113.01007544222192</c:v>
                </c:pt>
                <c:pt idx="135">
                  <c:v>112.28086654735654</c:v>
                </c:pt>
                <c:pt idx="136">
                  <c:v>113.06544588034053</c:v>
                </c:pt>
                <c:pt idx="137">
                  <c:v>113.06544588034053</c:v>
                </c:pt>
                <c:pt idx="138">
                  <c:v>112.5705725896556</c:v>
                </c:pt>
                <c:pt idx="139">
                  <c:v>113.41793804443476</c:v>
                </c:pt>
                <c:pt idx="140">
                  <c:v>113.41793804443476</c:v>
                </c:pt>
                <c:pt idx="141">
                  <c:v>113.41793804443476</c:v>
                </c:pt>
                <c:pt idx="142">
                  <c:v>114.21883188150726</c:v>
                </c:pt>
                <c:pt idx="143">
                  <c:v>114.40817900471636</c:v>
                </c:pt>
                <c:pt idx="144">
                  <c:v>114.40817900471636</c:v>
                </c:pt>
                <c:pt idx="145">
                  <c:v>114.5253468068066</c:v>
                </c:pt>
                <c:pt idx="146">
                  <c:v>114.27173042506698</c:v>
                </c:pt>
                <c:pt idx="147">
                  <c:v>114.27173042506698</c:v>
                </c:pt>
                <c:pt idx="148">
                  <c:v>114.27173042506698</c:v>
                </c:pt>
                <c:pt idx="149">
                  <c:v>115.60507035011915</c:v>
                </c:pt>
                <c:pt idx="150">
                  <c:v>116.06533711697993</c:v>
                </c:pt>
                <c:pt idx="151">
                  <c:v>115.60457597120737</c:v>
                </c:pt>
                <c:pt idx="152">
                  <c:v>115.45527353985187</c:v>
                </c:pt>
                <c:pt idx="153">
                  <c:v>115.4918575793231</c:v>
                </c:pt>
                <c:pt idx="154">
                  <c:v>115.4918575793231</c:v>
                </c:pt>
                <c:pt idx="155">
                  <c:v>115.4918575793231</c:v>
                </c:pt>
                <c:pt idx="156">
                  <c:v>114.52139177551241</c:v>
                </c:pt>
                <c:pt idx="157">
                  <c:v>113.90786754600195</c:v>
                </c:pt>
                <c:pt idx="158">
                  <c:v>113.47924102949464</c:v>
                </c:pt>
                <c:pt idx="159">
                  <c:v>114.07200134471063</c:v>
                </c:pt>
                <c:pt idx="160">
                  <c:v>114.58813292860179</c:v>
                </c:pt>
                <c:pt idx="161">
                  <c:v>114.58813292860179</c:v>
                </c:pt>
                <c:pt idx="162">
                  <c:v>114.58813292860179</c:v>
                </c:pt>
                <c:pt idx="163">
                  <c:v>113.0951086150469</c:v>
                </c:pt>
                <c:pt idx="164">
                  <c:v>111.60603933278621</c:v>
                </c:pt>
                <c:pt idx="165">
                  <c:v>112.42077577938834</c:v>
                </c:pt>
                <c:pt idx="166">
                  <c:v>112.42077577938834</c:v>
                </c:pt>
                <c:pt idx="167">
                  <c:v>113.8574408970011</c:v>
                </c:pt>
                <c:pt idx="168">
                  <c:v>113.8574408970011</c:v>
                </c:pt>
                <c:pt idx="169">
                  <c:v>113.8574408970011</c:v>
                </c:pt>
                <c:pt idx="170">
                  <c:v>112.49839326853672</c:v>
                </c:pt>
                <c:pt idx="171">
                  <c:v>111.52100615996123</c:v>
                </c:pt>
                <c:pt idx="172">
                  <c:v>111.08051454957138</c:v>
                </c:pt>
                <c:pt idx="173">
                  <c:v>111.08051454957138</c:v>
                </c:pt>
                <c:pt idx="174">
                  <c:v>110.17827303558538</c:v>
                </c:pt>
                <c:pt idx="175">
                  <c:v>110.17827303558538</c:v>
                </c:pt>
                <c:pt idx="176">
                  <c:v>110.17827303558538</c:v>
                </c:pt>
                <c:pt idx="177">
                  <c:v>108.44102553961457</c:v>
                </c:pt>
                <c:pt idx="178">
                  <c:v>109.43027774207263</c:v>
                </c:pt>
                <c:pt idx="179">
                  <c:v>109.29531229915854</c:v>
                </c:pt>
                <c:pt idx="180">
                  <c:v>108.54138445870451</c:v>
                </c:pt>
                <c:pt idx="181">
                  <c:v>108.07567952381423</c:v>
                </c:pt>
              </c:numCache>
            </c:numRef>
          </c:val>
          <c:smooth val="0"/>
          <c:extLst xmlns:c16r2="http://schemas.microsoft.com/office/drawing/2015/06/chart">
            <c:ext xmlns:c16="http://schemas.microsoft.com/office/drawing/2014/chart" uri="{C3380CC4-5D6E-409C-BE32-E72D297353CC}">
              <c16:uniqueId val="{00000002-FBCB-7943-B127-1A292C44205A}"/>
            </c:ext>
          </c:extLst>
        </c:ser>
        <c:ser>
          <c:idx val="4"/>
          <c:order val="3"/>
          <c:tx>
            <c:strRef>
              <c:f>Index_Charts!$M$1</c:f>
              <c:strCache>
                <c:ptCount val="1"/>
                <c:pt idx="0">
                  <c:v>SSE Composite </c:v>
                </c:pt>
              </c:strCache>
            </c:strRef>
          </c:tx>
          <c:spPr>
            <a:ln w="28575" cap="rnd">
              <a:solidFill>
                <a:schemeClr val="accent5"/>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Index_Charts!$M$2:$M$183</c:f>
              <c:numCache>
                <c:formatCode>0.00</c:formatCode>
                <c:ptCount val="182"/>
                <c:pt idx="0">
                  <c:v>100</c:v>
                </c:pt>
                <c:pt idx="1">
                  <c:v>100</c:v>
                </c:pt>
                <c:pt idx="2">
                  <c:v>99.819590166417569</c:v>
                </c:pt>
                <c:pt idx="3">
                  <c:v>98.981885173890205</c:v>
                </c:pt>
                <c:pt idx="4">
                  <c:v>98.807628902936528</c:v>
                </c:pt>
                <c:pt idx="5">
                  <c:v>98.807628902936528</c:v>
                </c:pt>
                <c:pt idx="6">
                  <c:v>98.807628902936528</c:v>
                </c:pt>
                <c:pt idx="7">
                  <c:v>98.807628902936528</c:v>
                </c:pt>
                <c:pt idx="8">
                  <c:v>98.807628902936528</c:v>
                </c:pt>
                <c:pt idx="9">
                  <c:v>99.034300904794591</c:v>
                </c:pt>
                <c:pt idx="10">
                  <c:v>100.67613452760835</c:v>
                </c:pt>
                <c:pt idx="11">
                  <c:v>101.23658207779617</c:v>
                </c:pt>
                <c:pt idx="12">
                  <c:v>100.35539190935896</c:v>
                </c:pt>
                <c:pt idx="13">
                  <c:v>99.689355535808062</c:v>
                </c:pt>
                <c:pt idx="14">
                  <c:v>99.689355535808062</c:v>
                </c:pt>
                <c:pt idx="15">
                  <c:v>99.689355535808062</c:v>
                </c:pt>
                <c:pt idx="16">
                  <c:v>98.161915064426211</c:v>
                </c:pt>
                <c:pt idx="17">
                  <c:v>96.778089277780026</c:v>
                </c:pt>
                <c:pt idx="18">
                  <c:v>97.554447984408441</c:v>
                </c:pt>
                <c:pt idx="19">
                  <c:v>98.374197196752434</c:v>
                </c:pt>
                <c:pt idx="20">
                  <c:v>96.927825968412961</c:v>
                </c:pt>
                <c:pt idx="21">
                  <c:v>96.927825968412961</c:v>
                </c:pt>
                <c:pt idx="22">
                  <c:v>96.927825968412961</c:v>
                </c:pt>
                <c:pt idx="23">
                  <c:v>96.816430706466861</c:v>
                </c:pt>
                <c:pt idx="24">
                  <c:v>98.738709001494527</c:v>
                </c:pt>
                <c:pt idx="25">
                  <c:v>98.39306812214727</c:v>
                </c:pt>
                <c:pt idx="26">
                  <c:v>97.037895847639049</c:v>
                </c:pt>
                <c:pt idx="27">
                  <c:v>97.26516742739426</c:v>
                </c:pt>
                <c:pt idx="28">
                  <c:v>97.26516742739426</c:v>
                </c:pt>
                <c:pt idx="29">
                  <c:v>97.26516742739426</c:v>
                </c:pt>
                <c:pt idx="30">
                  <c:v>97.26516742739426</c:v>
                </c:pt>
                <c:pt idx="31">
                  <c:v>97.26516742739426</c:v>
                </c:pt>
                <c:pt idx="32">
                  <c:v>97.231875075736156</c:v>
                </c:pt>
                <c:pt idx="33">
                  <c:v>97.852974663731459</c:v>
                </c:pt>
                <c:pt idx="34">
                  <c:v>97.54289822070524</c:v>
                </c:pt>
                <c:pt idx="35">
                  <c:v>97.54289822070524</c:v>
                </c:pt>
                <c:pt idx="36">
                  <c:v>97.54289822070524</c:v>
                </c:pt>
                <c:pt idx="37">
                  <c:v>98.982263854667366</c:v>
                </c:pt>
                <c:pt idx="38">
                  <c:v>99.766543300884592</c:v>
                </c:pt>
                <c:pt idx="39">
                  <c:v>99.692448095488146</c:v>
                </c:pt>
                <c:pt idx="40">
                  <c:v>100.17409848729653</c:v>
                </c:pt>
                <c:pt idx="41">
                  <c:v>99.82224093185765</c:v>
                </c:pt>
                <c:pt idx="42">
                  <c:v>99.82224093185765</c:v>
                </c:pt>
                <c:pt idx="43">
                  <c:v>99.82224093185765</c:v>
                </c:pt>
                <c:pt idx="44">
                  <c:v>100.16207537262187</c:v>
                </c:pt>
                <c:pt idx="45">
                  <c:v>100.73281041725572</c:v>
                </c:pt>
                <c:pt idx="46">
                  <c:v>100.02111145332633</c:v>
                </c:pt>
                <c:pt idx="47">
                  <c:v>99.538829926889363</c:v>
                </c:pt>
                <c:pt idx="48">
                  <c:v>100.77020514399966</c:v>
                </c:pt>
                <c:pt idx="49">
                  <c:v>100.77020514399966</c:v>
                </c:pt>
                <c:pt idx="50">
                  <c:v>100.77020514399966</c:v>
                </c:pt>
                <c:pt idx="51">
                  <c:v>101.4182857373672</c:v>
                </c:pt>
                <c:pt idx="52">
                  <c:v>101.43437967039624</c:v>
                </c:pt>
                <c:pt idx="53">
                  <c:v>100.00214585773719</c:v>
                </c:pt>
                <c:pt idx="54">
                  <c:v>99.550474360786836</c:v>
                </c:pt>
                <c:pt idx="55">
                  <c:v>99.129255109665948</c:v>
                </c:pt>
                <c:pt idx="56">
                  <c:v>99.129255109665948</c:v>
                </c:pt>
                <c:pt idx="57">
                  <c:v>99.129255109665948</c:v>
                </c:pt>
                <c:pt idx="58">
                  <c:v>98.932940683443064</c:v>
                </c:pt>
                <c:pt idx="59">
                  <c:v>98.471518156480982</c:v>
                </c:pt>
                <c:pt idx="60">
                  <c:v>95.977999909116619</c:v>
                </c:pt>
                <c:pt idx="61">
                  <c:v>97.683041664983634</c:v>
                </c:pt>
                <c:pt idx="62">
                  <c:v>97.041272417902007</c:v>
                </c:pt>
                <c:pt idx="63">
                  <c:v>97.041272417902007</c:v>
                </c:pt>
                <c:pt idx="64">
                  <c:v>97.041272417902007</c:v>
                </c:pt>
                <c:pt idx="65">
                  <c:v>97.547884184271112</c:v>
                </c:pt>
                <c:pt idx="66">
                  <c:v>98.274162358120932</c:v>
                </c:pt>
                <c:pt idx="67">
                  <c:v>98.304898614533258</c:v>
                </c:pt>
                <c:pt idx="68">
                  <c:v>98.125624823282294</c:v>
                </c:pt>
                <c:pt idx="69">
                  <c:v>96.789165690511766</c:v>
                </c:pt>
                <c:pt idx="70">
                  <c:v>96.789165690511766</c:v>
                </c:pt>
                <c:pt idx="71">
                  <c:v>96.789165690511766</c:v>
                </c:pt>
                <c:pt idx="72">
                  <c:v>96.335853243527069</c:v>
                </c:pt>
                <c:pt idx="73">
                  <c:v>97.188484570020591</c:v>
                </c:pt>
                <c:pt idx="74">
                  <c:v>96.241593286747175</c:v>
                </c:pt>
                <c:pt idx="75">
                  <c:v>96.063739548410538</c:v>
                </c:pt>
                <c:pt idx="76">
                  <c:v>95.361318263521426</c:v>
                </c:pt>
                <c:pt idx="77">
                  <c:v>95.361318263521426</c:v>
                </c:pt>
                <c:pt idx="78">
                  <c:v>95.361318263521426</c:v>
                </c:pt>
                <c:pt idx="79">
                  <c:v>95.361318263521426</c:v>
                </c:pt>
                <c:pt idx="80">
                  <c:v>91.761357898776097</c:v>
                </c:pt>
                <c:pt idx="81">
                  <c:v>92.010940087651989</c:v>
                </c:pt>
                <c:pt idx="82">
                  <c:v>90.751163812255115</c:v>
                </c:pt>
                <c:pt idx="83">
                  <c:v>91.191380215696569</c:v>
                </c:pt>
                <c:pt idx="84">
                  <c:v>91.191380215696569</c:v>
                </c:pt>
                <c:pt idx="85">
                  <c:v>91.191380215696569</c:v>
                </c:pt>
                <c:pt idx="86">
                  <c:v>90.231298218685609</c:v>
                </c:pt>
                <c:pt idx="87">
                  <c:v>89.763375005049056</c:v>
                </c:pt>
                <c:pt idx="88">
                  <c:v>88.774671052631575</c:v>
                </c:pt>
                <c:pt idx="89">
                  <c:v>87.945328593933027</c:v>
                </c:pt>
                <c:pt idx="90">
                  <c:v>89.8552050935089</c:v>
                </c:pt>
                <c:pt idx="91">
                  <c:v>89.8552050935089</c:v>
                </c:pt>
                <c:pt idx="92">
                  <c:v>89.8552050935089</c:v>
                </c:pt>
                <c:pt idx="93">
                  <c:v>87.587506816253978</c:v>
                </c:pt>
                <c:pt idx="94">
                  <c:v>87.945076140081596</c:v>
                </c:pt>
                <c:pt idx="95">
                  <c:v>87.068998162135955</c:v>
                </c:pt>
                <c:pt idx="96">
                  <c:v>86.272380033929792</c:v>
                </c:pt>
                <c:pt idx="97">
                  <c:v>86.693567728319252</c:v>
                </c:pt>
                <c:pt idx="98">
                  <c:v>86.693567728319252</c:v>
                </c:pt>
                <c:pt idx="99">
                  <c:v>86.693567728319252</c:v>
                </c:pt>
                <c:pt idx="100">
                  <c:v>88.835670214484793</c:v>
                </c:pt>
                <c:pt idx="101">
                  <c:v>89.230602708324909</c:v>
                </c:pt>
                <c:pt idx="102">
                  <c:v>87.657373419638901</c:v>
                </c:pt>
                <c:pt idx="103">
                  <c:v>89.547242951488471</c:v>
                </c:pt>
                <c:pt idx="104">
                  <c:v>89.342913115482489</c:v>
                </c:pt>
                <c:pt idx="105">
                  <c:v>89.342913115482489</c:v>
                </c:pt>
                <c:pt idx="106">
                  <c:v>89.342913115482489</c:v>
                </c:pt>
                <c:pt idx="107">
                  <c:v>88.801967625318085</c:v>
                </c:pt>
                <c:pt idx="108">
                  <c:v>88.299710687886261</c:v>
                </c:pt>
                <c:pt idx="109">
                  <c:v>87.956720573979069</c:v>
                </c:pt>
                <c:pt idx="110">
                  <c:v>87.492457941188349</c:v>
                </c:pt>
                <c:pt idx="111">
                  <c:v>89.282545088257876</c:v>
                </c:pt>
                <c:pt idx="112">
                  <c:v>89.282545088257876</c:v>
                </c:pt>
                <c:pt idx="113">
                  <c:v>89.282545088257876</c:v>
                </c:pt>
                <c:pt idx="114">
                  <c:v>90.237798905360094</c:v>
                </c:pt>
                <c:pt idx="115">
                  <c:v>91.690039685745433</c:v>
                </c:pt>
                <c:pt idx="116">
                  <c:v>91.629608545057962</c:v>
                </c:pt>
                <c:pt idx="117">
                  <c:v>90.953600244375323</c:v>
                </c:pt>
                <c:pt idx="118">
                  <c:v>90.681234095407362</c:v>
                </c:pt>
                <c:pt idx="119">
                  <c:v>90.681234095407362</c:v>
                </c:pt>
                <c:pt idx="120">
                  <c:v>90.681234095407362</c:v>
                </c:pt>
                <c:pt idx="121">
                  <c:v>90.53784030779174</c:v>
                </c:pt>
                <c:pt idx="122">
                  <c:v>90.769813840529949</c:v>
                </c:pt>
                <c:pt idx="123">
                  <c:v>89.133060851476358</c:v>
                </c:pt>
                <c:pt idx="124">
                  <c:v>87.34978995839559</c:v>
                </c:pt>
                <c:pt idx="125">
                  <c:v>86.479423748838713</c:v>
                </c:pt>
                <c:pt idx="126">
                  <c:v>86.479423748838713</c:v>
                </c:pt>
                <c:pt idx="127">
                  <c:v>86.479423748838713</c:v>
                </c:pt>
                <c:pt idx="128">
                  <c:v>85.365881366886128</c:v>
                </c:pt>
                <c:pt idx="129">
                  <c:v>87.707958860120357</c:v>
                </c:pt>
                <c:pt idx="130">
                  <c:v>86.593880013733497</c:v>
                </c:pt>
                <c:pt idx="131">
                  <c:v>88.18156228541423</c:v>
                </c:pt>
                <c:pt idx="132">
                  <c:v>88.210846932180786</c:v>
                </c:pt>
                <c:pt idx="133">
                  <c:v>88.210846932180786</c:v>
                </c:pt>
                <c:pt idx="134">
                  <c:v>88.210846932180786</c:v>
                </c:pt>
                <c:pt idx="135">
                  <c:v>87.913014500949217</c:v>
                </c:pt>
                <c:pt idx="136">
                  <c:v>87.758165619824695</c:v>
                </c:pt>
                <c:pt idx="137">
                  <c:v>85.937121319222825</c:v>
                </c:pt>
                <c:pt idx="138">
                  <c:v>85.367017409217596</c:v>
                </c:pt>
                <c:pt idx="139">
                  <c:v>84.22384325645271</c:v>
                </c:pt>
                <c:pt idx="140">
                  <c:v>84.22384325645271</c:v>
                </c:pt>
                <c:pt idx="141">
                  <c:v>84.22384325645271</c:v>
                </c:pt>
                <c:pt idx="142">
                  <c:v>85.154766833622801</c:v>
                </c:pt>
                <c:pt idx="143">
                  <c:v>86.270612856969748</c:v>
                </c:pt>
                <c:pt idx="144">
                  <c:v>85.664155592357716</c:v>
                </c:pt>
                <c:pt idx="145">
                  <c:v>85.980259371086959</c:v>
                </c:pt>
                <c:pt idx="146">
                  <c:v>86.13192102233711</c:v>
                </c:pt>
                <c:pt idx="147">
                  <c:v>86.13192102233711</c:v>
                </c:pt>
                <c:pt idx="148">
                  <c:v>86.13192102233711</c:v>
                </c:pt>
                <c:pt idx="149">
                  <c:v>87.756082875550348</c:v>
                </c:pt>
                <c:pt idx="150">
                  <c:v>87.664000333239088</c:v>
                </c:pt>
                <c:pt idx="151">
                  <c:v>87.389898564042483</c:v>
                </c:pt>
                <c:pt idx="152">
                  <c:v>86.394031233590496</c:v>
                </c:pt>
                <c:pt idx="153">
                  <c:v>85.999982328230402</c:v>
                </c:pt>
                <c:pt idx="154">
                  <c:v>85.999982328230402</c:v>
                </c:pt>
                <c:pt idx="155">
                  <c:v>85.999982328230402</c:v>
                </c:pt>
                <c:pt idx="156">
                  <c:v>85.857472129094788</c:v>
                </c:pt>
                <c:pt idx="157">
                  <c:v>86.799314335339488</c:v>
                </c:pt>
                <c:pt idx="158">
                  <c:v>85.340036403845374</c:v>
                </c:pt>
                <c:pt idx="159">
                  <c:v>84.937877418507895</c:v>
                </c:pt>
                <c:pt idx="160">
                  <c:v>85.275786898654914</c:v>
                </c:pt>
                <c:pt idx="161">
                  <c:v>85.275786898654914</c:v>
                </c:pt>
                <c:pt idx="162">
                  <c:v>85.275786898654914</c:v>
                </c:pt>
                <c:pt idx="163">
                  <c:v>84.240221200064624</c:v>
                </c:pt>
                <c:pt idx="164">
                  <c:v>84.092377913317449</c:v>
                </c:pt>
                <c:pt idx="165">
                  <c:v>83.818149917195143</c:v>
                </c:pt>
                <c:pt idx="166">
                  <c:v>84.779620410388972</c:v>
                </c:pt>
                <c:pt idx="167">
                  <c:v>84.623887940784428</c:v>
                </c:pt>
                <c:pt idx="168">
                  <c:v>84.623887940784428</c:v>
                </c:pt>
                <c:pt idx="169">
                  <c:v>84.623887940784428</c:v>
                </c:pt>
                <c:pt idx="170">
                  <c:v>83.681793280688282</c:v>
                </c:pt>
                <c:pt idx="171">
                  <c:v>85.201597023064167</c:v>
                </c:pt>
                <c:pt idx="172">
                  <c:v>86.176700024235558</c:v>
                </c:pt>
                <c:pt idx="173">
                  <c:v>86.126019913559801</c:v>
                </c:pt>
                <c:pt idx="174">
                  <c:v>88.279482823039942</c:v>
                </c:pt>
                <c:pt idx="175">
                  <c:v>88.279482823039942</c:v>
                </c:pt>
                <c:pt idx="176">
                  <c:v>88.279482823039942</c:v>
                </c:pt>
                <c:pt idx="177">
                  <c:v>88.279482823039942</c:v>
                </c:pt>
                <c:pt idx="178">
                  <c:v>87.763624934361999</c:v>
                </c:pt>
                <c:pt idx="179">
                  <c:v>88.573844013814266</c:v>
                </c:pt>
                <c:pt idx="180">
                  <c:v>88.099293886577527</c:v>
                </c:pt>
                <c:pt idx="181">
                  <c:v>89.032584218604825</c:v>
                </c:pt>
              </c:numCache>
            </c:numRef>
          </c:val>
          <c:smooth val="0"/>
          <c:extLst xmlns:c16r2="http://schemas.microsoft.com/office/drawing/2015/06/chart">
            <c:ext xmlns:c16="http://schemas.microsoft.com/office/drawing/2014/chart" uri="{C3380CC4-5D6E-409C-BE32-E72D297353CC}">
              <c16:uniqueId val="{00000003-FBCB-7943-B127-1A292C44205A}"/>
            </c:ext>
          </c:extLst>
        </c:ser>
        <c:ser>
          <c:idx val="5"/>
          <c:order val="4"/>
          <c:tx>
            <c:strRef>
              <c:f>Index_Charts!$N$1</c:f>
              <c:strCache>
                <c:ptCount val="1"/>
                <c:pt idx="0">
                  <c:v>FTSE/JSE Africa All Share</c:v>
                </c:pt>
              </c:strCache>
            </c:strRef>
          </c:tx>
          <c:spPr>
            <a:ln w="28575" cap="rnd">
              <a:solidFill>
                <a:schemeClr val="accent6"/>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Index_Charts!$N$2:$N$183</c:f>
              <c:numCache>
                <c:formatCode>0.00</c:formatCode>
                <c:ptCount val="182"/>
                <c:pt idx="0">
                  <c:v>100</c:v>
                </c:pt>
                <c:pt idx="1">
                  <c:v>100</c:v>
                </c:pt>
                <c:pt idx="2">
                  <c:v>100</c:v>
                </c:pt>
                <c:pt idx="3">
                  <c:v>98.900882783663562</c:v>
                </c:pt>
                <c:pt idx="4">
                  <c:v>98.428395594950629</c:v>
                </c:pt>
                <c:pt idx="5">
                  <c:v>100.51668766129028</c:v>
                </c:pt>
                <c:pt idx="6">
                  <c:v>100.72878503500347</c:v>
                </c:pt>
                <c:pt idx="7">
                  <c:v>100.72878503500347</c:v>
                </c:pt>
                <c:pt idx="8">
                  <c:v>100.72878503500347</c:v>
                </c:pt>
                <c:pt idx="9">
                  <c:v>101.11229443715781</c:v>
                </c:pt>
                <c:pt idx="10">
                  <c:v>102.29424247384205</c:v>
                </c:pt>
                <c:pt idx="11">
                  <c:v>101.25381887035707</c:v>
                </c:pt>
                <c:pt idx="12">
                  <c:v>101.8142743731717</c:v>
                </c:pt>
                <c:pt idx="13">
                  <c:v>101.96243248251631</c:v>
                </c:pt>
                <c:pt idx="14">
                  <c:v>101.96243248251631</c:v>
                </c:pt>
                <c:pt idx="15">
                  <c:v>101.96243248251631</c:v>
                </c:pt>
                <c:pt idx="16">
                  <c:v>102.26942026717853</c:v>
                </c:pt>
                <c:pt idx="17">
                  <c:v>102.43755151013474</c:v>
                </c:pt>
                <c:pt idx="18">
                  <c:v>104.03567259347174</c:v>
                </c:pt>
                <c:pt idx="19">
                  <c:v>103.69948221273479</c:v>
                </c:pt>
                <c:pt idx="20">
                  <c:v>103.79851867127468</c:v>
                </c:pt>
                <c:pt idx="21">
                  <c:v>103.79851867127468</c:v>
                </c:pt>
                <c:pt idx="22">
                  <c:v>103.79851867127468</c:v>
                </c:pt>
                <c:pt idx="23">
                  <c:v>103.97477977276776</c:v>
                </c:pt>
                <c:pt idx="24">
                  <c:v>103.96702846640224</c:v>
                </c:pt>
                <c:pt idx="25">
                  <c:v>102.72678339533176</c:v>
                </c:pt>
                <c:pt idx="26">
                  <c:v>103.56653829541924</c:v>
                </c:pt>
                <c:pt idx="27">
                  <c:v>103.56653829541924</c:v>
                </c:pt>
                <c:pt idx="28">
                  <c:v>103.56653829541924</c:v>
                </c:pt>
                <c:pt idx="29">
                  <c:v>103.56653829541924</c:v>
                </c:pt>
                <c:pt idx="30">
                  <c:v>104.97815934234312</c:v>
                </c:pt>
                <c:pt idx="31">
                  <c:v>104.97815934234312</c:v>
                </c:pt>
                <c:pt idx="32">
                  <c:v>105.36448084634171</c:v>
                </c:pt>
                <c:pt idx="33">
                  <c:v>103.24357921438528</c:v>
                </c:pt>
                <c:pt idx="34">
                  <c:v>103.91954720833998</c:v>
                </c:pt>
                <c:pt idx="35">
                  <c:v>103.91954720833998</c:v>
                </c:pt>
                <c:pt idx="36">
                  <c:v>103.91954720833998</c:v>
                </c:pt>
                <c:pt idx="37">
                  <c:v>104.33748683179233</c:v>
                </c:pt>
                <c:pt idx="38">
                  <c:v>103.94905625141055</c:v>
                </c:pt>
                <c:pt idx="39">
                  <c:v>104.39951530901033</c:v>
                </c:pt>
                <c:pt idx="40">
                  <c:v>104.56263524226979</c:v>
                </c:pt>
                <c:pt idx="41">
                  <c:v>105.31476432783917</c:v>
                </c:pt>
                <c:pt idx="42">
                  <c:v>105.31476432783917</c:v>
                </c:pt>
                <c:pt idx="43">
                  <c:v>105.31476432783917</c:v>
                </c:pt>
                <c:pt idx="44">
                  <c:v>105.66013009215763</c:v>
                </c:pt>
                <c:pt idx="45">
                  <c:v>104.35740588652232</c:v>
                </c:pt>
                <c:pt idx="46">
                  <c:v>105.67332533927288</c:v>
                </c:pt>
                <c:pt idx="47">
                  <c:v>104.88463892972845</c:v>
                </c:pt>
                <c:pt idx="48">
                  <c:v>104.19978397289422</c:v>
                </c:pt>
                <c:pt idx="49">
                  <c:v>104.19978397289422</c:v>
                </c:pt>
                <c:pt idx="50">
                  <c:v>104.19978397289422</c:v>
                </c:pt>
                <c:pt idx="51">
                  <c:v>104.23019433065848</c:v>
                </c:pt>
                <c:pt idx="52">
                  <c:v>104.77213682966521</c:v>
                </c:pt>
                <c:pt idx="53">
                  <c:v>102.8281452457813</c:v>
                </c:pt>
                <c:pt idx="54">
                  <c:v>102.20764415807473</c:v>
                </c:pt>
                <c:pt idx="55">
                  <c:v>102.6002027597535</c:v>
                </c:pt>
                <c:pt idx="56">
                  <c:v>102.6002027597535</c:v>
                </c:pt>
                <c:pt idx="57">
                  <c:v>102.6002027597535</c:v>
                </c:pt>
                <c:pt idx="58">
                  <c:v>102.4925317064483</c:v>
                </c:pt>
                <c:pt idx="59">
                  <c:v>100.831426752318</c:v>
                </c:pt>
                <c:pt idx="60">
                  <c:v>100.22913222142347</c:v>
                </c:pt>
                <c:pt idx="61">
                  <c:v>101.23186284441938</c:v>
                </c:pt>
                <c:pt idx="62">
                  <c:v>103.25846893312462</c:v>
                </c:pt>
                <c:pt idx="63">
                  <c:v>103.25846893312462</c:v>
                </c:pt>
                <c:pt idx="64">
                  <c:v>103.25846893312462</c:v>
                </c:pt>
                <c:pt idx="65">
                  <c:v>104.31976698491488</c:v>
                </c:pt>
                <c:pt idx="66">
                  <c:v>104.15432165974579</c:v>
                </c:pt>
                <c:pt idx="67">
                  <c:v>104.70008573305367</c:v>
                </c:pt>
                <c:pt idx="68">
                  <c:v>105.25848623836673</c:v>
                </c:pt>
                <c:pt idx="69">
                  <c:v>104.95578871164636</c:v>
                </c:pt>
                <c:pt idx="70">
                  <c:v>104.95578871164636</c:v>
                </c:pt>
                <c:pt idx="71">
                  <c:v>104.95578871164636</c:v>
                </c:pt>
                <c:pt idx="72">
                  <c:v>104.81586861860184</c:v>
                </c:pt>
                <c:pt idx="73">
                  <c:v>104.92712690438782</c:v>
                </c:pt>
                <c:pt idx="74">
                  <c:v>105.34066811213509</c:v>
                </c:pt>
                <c:pt idx="75">
                  <c:v>105.44601377353062</c:v>
                </c:pt>
                <c:pt idx="76">
                  <c:v>103.94051178811463</c:v>
                </c:pt>
                <c:pt idx="77">
                  <c:v>103.94051178811463</c:v>
                </c:pt>
                <c:pt idx="78">
                  <c:v>103.94051178811463</c:v>
                </c:pt>
                <c:pt idx="79">
                  <c:v>103.17680982187858</c:v>
                </c:pt>
                <c:pt idx="80">
                  <c:v>101.40386974055838</c:v>
                </c:pt>
                <c:pt idx="81">
                  <c:v>102.12194715700109</c:v>
                </c:pt>
                <c:pt idx="82">
                  <c:v>101.36983609772558</c:v>
                </c:pt>
                <c:pt idx="83">
                  <c:v>102.49148618140364</c:v>
                </c:pt>
                <c:pt idx="84">
                  <c:v>102.49148618140364</c:v>
                </c:pt>
                <c:pt idx="85">
                  <c:v>102.49148618140364</c:v>
                </c:pt>
                <c:pt idx="86">
                  <c:v>100.74762251210106</c:v>
                </c:pt>
                <c:pt idx="87">
                  <c:v>99.603691929195605</c:v>
                </c:pt>
                <c:pt idx="88">
                  <c:v>99.810255230689705</c:v>
                </c:pt>
                <c:pt idx="89">
                  <c:v>100.57806719192884</c:v>
                </c:pt>
                <c:pt idx="90">
                  <c:v>103.85124558085408</c:v>
                </c:pt>
                <c:pt idx="91">
                  <c:v>103.85124558085408</c:v>
                </c:pt>
                <c:pt idx="92">
                  <c:v>103.85124558085408</c:v>
                </c:pt>
                <c:pt idx="93">
                  <c:v>103.03755670170737</c:v>
                </c:pt>
                <c:pt idx="94">
                  <c:v>103.63092821713464</c:v>
                </c:pt>
                <c:pt idx="95">
                  <c:v>103.83148876276893</c:v>
                </c:pt>
                <c:pt idx="96">
                  <c:v>103.49616364413789</c:v>
                </c:pt>
                <c:pt idx="97">
                  <c:v>103.31568438987846</c:v>
                </c:pt>
                <c:pt idx="98">
                  <c:v>103.31568438987846</c:v>
                </c:pt>
                <c:pt idx="99">
                  <c:v>103.31568438987846</c:v>
                </c:pt>
                <c:pt idx="100">
                  <c:v>104.94892069368065</c:v>
                </c:pt>
                <c:pt idx="101">
                  <c:v>104.60137374780349</c:v>
                </c:pt>
                <c:pt idx="102">
                  <c:v>103.16630049255046</c:v>
                </c:pt>
                <c:pt idx="103">
                  <c:v>102.47832698687614</c:v>
                </c:pt>
                <c:pt idx="104">
                  <c:v>101.60365515555611</c:v>
                </c:pt>
                <c:pt idx="105">
                  <c:v>101.60365515555611</c:v>
                </c:pt>
                <c:pt idx="106">
                  <c:v>101.60365515555611</c:v>
                </c:pt>
                <c:pt idx="107">
                  <c:v>99.941450597499554</c:v>
                </c:pt>
                <c:pt idx="108">
                  <c:v>101.1510509689854</c:v>
                </c:pt>
                <c:pt idx="109">
                  <c:v>101.37482938112849</c:v>
                </c:pt>
                <c:pt idx="110">
                  <c:v>101.44606929451577</c:v>
                </c:pt>
                <c:pt idx="111">
                  <c:v>102.73220930978763</c:v>
                </c:pt>
                <c:pt idx="112">
                  <c:v>102.73220930978763</c:v>
                </c:pt>
                <c:pt idx="113">
                  <c:v>102.73220930978763</c:v>
                </c:pt>
                <c:pt idx="114">
                  <c:v>101.95096775961288</c:v>
                </c:pt>
                <c:pt idx="115">
                  <c:v>102.8487312733846</c:v>
                </c:pt>
                <c:pt idx="116">
                  <c:v>101.64643155091744</c:v>
                </c:pt>
                <c:pt idx="117">
                  <c:v>102.28704998258659</c:v>
                </c:pt>
                <c:pt idx="118">
                  <c:v>103.04258603769803</c:v>
                </c:pt>
                <c:pt idx="119">
                  <c:v>103.04258603769803</c:v>
                </c:pt>
                <c:pt idx="120">
                  <c:v>103.04258603769803</c:v>
                </c:pt>
                <c:pt idx="121">
                  <c:v>103.31435044413185</c:v>
                </c:pt>
                <c:pt idx="122">
                  <c:v>103.52944018262799</c:v>
                </c:pt>
                <c:pt idx="123">
                  <c:v>103.47007959690325</c:v>
                </c:pt>
                <c:pt idx="124">
                  <c:v>101.79577939565769</c:v>
                </c:pt>
                <c:pt idx="125">
                  <c:v>102.96263942436997</c:v>
                </c:pt>
                <c:pt idx="126">
                  <c:v>102.96263942436997</c:v>
                </c:pt>
                <c:pt idx="127">
                  <c:v>102.96263942436997</c:v>
                </c:pt>
                <c:pt idx="128">
                  <c:v>102.49968814511598</c:v>
                </c:pt>
                <c:pt idx="129">
                  <c:v>104.02188247865867</c:v>
                </c:pt>
                <c:pt idx="130">
                  <c:v>104.16730059133454</c:v>
                </c:pt>
                <c:pt idx="131">
                  <c:v>104.16730059133454</c:v>
                </c:pt>
                <c:pt idx="132">
                  <c:v>104.01715958966386</c:v>
                </c:pt>
                <c:pt idx="133">
                  <c:v>104.01715958966386</c:v>
                </c:pt>
                <c:pt idx="134">
                  <c:v>104.01715958966386</c:v>
                </c:pt>
                <c:pt idx="135">
                  <c:v>104.34567076921081</c:v>
                </c:pt>
                <c:pt idx="136">
                  <c:v>103.84756821690391</c:v>
                </c:pt>
                <c:pt idx="137">
                  <c:v>100.30938528174738</c:v>
                </c:pt>
                <c:pt idx="138">
                  <c:v>101.96093630012481</c:v>
                </c:pt>
                <c:pt idx="139">
                  <c:v>102.11448427133753</c:v>
                </c:pt>
                <c:pt idx="140">
                  <c:v>102.11448427133753</c:v>
                </c:pt>
                <c:pt idx="141">
                  <c:v>102.11448427133753</c:v>
                </c:pt>
                <c:pt idx="142">
                  <c:v>103.0123739691664</c:v>
                </c:pt>
                <c:pt idx="143">
                  <c:v>103.0863538792224</c:v>
                </c:pt>
                <c:pt idx="144">
                  <c:v>104.77954563644715</c:v>
                </c:pt>
                <c:pt idx="145">
                  <c:v>104.92153875328711</c:v>
                </c:pt>
                <c:pt idx="146">
                  <c:v>105.99042587479801</c:v>
                </c:pt>
                <c:pt idx="147">
                  <c:v>105.99042587479801</c:v>
                </c:pt>
                <c:pt idx="148">
                  <c:v>105.99042587479801</c:v>
                </c:pt>
                <c:pt idx="149">
                  <c:v>107.53686557360027</c:v>
                </c:pt>
                <c:pt idx="150">
                  <c:v>108.22855249581249</c:v>
                </c:pt>
                <c:pt idx="151">
                  <c:v>108.456116429669</c:v>
                </c:pt>
                <c:pt idx="152">
                  <c:v>105.99945704802856</c:v>
                </c:pt>
                <c:pt idx="153">
                  <c:v>105.75752615795506</c:v>
                </c:pt>
                <c:pt idx="154">
                  <c:v>105.75752615795506</c:v>
                </c:pt>
                <c:pt idx="155">
                  <c:v>105.75752615795506</c:v>
                </c:pt>
                <c:pt idx="156">
                  <c:v>105.8344443539124</c:v>
                </c:pt>
                <c:pt idx="157">
                  <c:v>104.35749601799169</c:v>
                </c:pt>
                <c:pt idx="158">
                  <c:v>102.93397761711142</c:v>
                </c:pt>
                <c:pt idx="159">
                  <c:v>102.98508216024223</c:v>
                </c:pt>
                <c:pt idx="160">
                  <c:v>102.87326505934618</c:v>
                </c:pt>
                <c:pt idx="161">
                  <c:v>102.87326505934618</c:v>
                </c:pt>
                <c:pt idx="162">
                  <c:v>102.87326505934618</c:v>
                </c:pt>
                <c:pt idx="163">
                  <c:v>102.23659438603525</c:v>
                </c:pt>
                <c:pt idx="164">
                  <c:v>101.26092123014314</c:v>
                </c:pt>
                <c:pt idx="165">
                  <c:v>100.86080961133148</c:v>
                </c:pt>
                <c:pt idx="166">
                  <c:v>101.24803243002374</c:v>
                </c:pt>
                <c:pt idx="167">
                  <c:v>101.99615967835322</c:v>
                </c:pt>
                <c:pt idx="168">
                  <c:v>101.99615967835322</c:v>
                </c:pt>
                <c:pt idx="169">
                  <c:v>101.99615967835322</c:v>
                </c:pt>
                <c:pt idx="170">
                  <c:v>101.48560095697989</c:v>
                </c:pt>
                <c:pt idx="171">
                  <c:v>101.63458827584269</c:v>
                </c:pt>
                <c:pt idx="172">
                  <c:v>101.75044326656635</c:v>
                </c:pt>
                <c:pt idx="173">
                  <c:v>101.93292343944573</c:v>
                </c:pt>
                <c:pt idx="174">
                  <c:v>103.04595695465233</c:v>
                </c:pt>
                <c:pt idx="175">
                  <c:v>103.04595695465233</c:v>
                </c:pt>
                <c:pt idx="176">
                  <c:v>103.04595695465233</c:v>
                </c:pt>
                <c:pt idx="177">
                  <c:v>103.04595695465233</c:v>
                </c:pt>
                <c:pt idx="178">
                  <c:v>102.53851678211907</c:v>
                </c:pt>
                <c:pt idx="179">
                  <c:v>101.97501483563987</c:v>
                </c:pt>
                <c:pt idx="180">
                  <c:v>100.92664163655675</c:v>
                </c:pt>
                <c:pt idx="181">
                  <c:v>100.42172514516577</c:v>
                </c:pt>
              </c:numCache>
            </c:numRef>
          </c:val>
          <c:smooth val="0"/>
          <c:extLst xmlns:c16r2="http://schemas.microsoft.com/office/drawing/2015/06/chart">
            <c:ext xmlns:c16="http://schemas.microsoft.com/office/drawing/2014/chart" uri="{C3380CC4-5D6E-409C-BE32-E72D297353CC}">
              <c16:uniqueId val="{00000004-FBCB-7943-B127-1A292C44205A}"/>
            </c:ext>
          </c:extLst>
        </c:ser>
        <c:ser>
          <c:idx val="6"/>
          <c:order val="5"/>
          <c:tx>
            <c:strRef>
              <c:f>Index_Charts!$O$1</c:f>
              <c:strCache>
                <c:ptCount val="1"/>
                <c:pt idx="0">
                  <c:v>MSCI Emerging Market Index</c:v>
                </c:pt>
              </c:strCache>
            </c:strRef>
          </c:tx>
          <c:spPr>
            <a:ln w="28575" cap="rnd">
              <a:solidFill>
                <a:srgbClr val="FF0000"/>
              </a:solidFill>
              <a:round/>
            </a:ln>
            <a:effectLst/>
          </c:spPr>
          <c:marker>
            <c:symbol val="none"/>
          </c:marker>
          <c:cat>
            <c:numRef>
              <c:f>Index_Charts!$A$2:$A$183</c:f>
              <c:numCache>
                <c:formatCode>[$-409]mmmm\-yy;@</c:formatCode>
                <c:ptCount val="182"/>
                <c:pt idx="0">
                  <c:v>43190</c:v>
                </c:pt>
                <c:pt idx="1">
                  <c:v>43191</c:v>
                </c:pt>
                <c:pt idx="2">
                  <c:v>43192</c:v>
                </c:pt>
                <c:pt idx="3">
                  <c:v>43193</c:v>
                </c:pt>
                <c:pt idx="4">
                  <c:v>43194</c:v>
                </c:pt>
                <c:pt idx="5">
                  <c:v>43195</c:v>
                </c:pt>
                <c:pt idx="6">
                  <c:v>43196</c:v>
                </c:pt>
                <c:pt idx="7">
                  <c:v>43197</c:v>
                </c:pt>
                <c:pt idx="8">
                  <c:v>43198</c:v>
                </c:pt>
                <c:pt idx="9">
                  <c:v>43199</c:v>
                </c:pt>
                <c:pt idx="10">
                  <c:v>43200</c:v>
                </c:pt>
                <c:pt idx="11">
                  <c:v>43201</c:v>
                </c:pt>
                <c:pt idx="12">
                  <c:v>43202</c:v>
                </c:pt>
                <c:pt idx="13">
                  <c:v>43203</c:v>
                </c:pt>
                <c:pt idx="14">
                  <c:v>43204</c:v>
                </c:pt>
                <c:pt idx="15">
                  <c:v>43205</c:v>
                </c:pt>
                <c:pt idx="16">
                  <c:v>43206</c:v>
                </c:pt>
                <c:pt idx="17">
                  <c:v>43207</c:v>
                </c:pt>
                <c:pt idx="18">
                  <c:v>43208</c:v>
                </c:pt>
                <c:pt idx="19">
                  <c:v>43209</c:v>
                </c:pt>
                <c:pt idx="20">
                  <c:v>43210</c:v>
                </c:pt>
                <c:pt idx="21">
                  <c:v>43211</c:v>
                </c:pt>
                <c:pt idx="22">
                  <c:v>43212</c:v>
                </c:pt>
                <c:pt idx="23">
                  <c:v>43213</c:v>
                </c:pt>
                <c:pt idx="24">
                  <c:v>43214</c:v>
                </c:pt>
                <c:pt idx="25">
                  <c:v>43215</c:v>
                </c:pt>
                <c:pt idx="26">
                  <c:v>43216</c:v>
                </c:pt>
                <c:pt idx="27">
                  <c:v>43217</c:v>
                </c:pt>
                <c:pt idx="28">
                  <c:v>43218</c:v>
                </c:pt>
                <c:pt idx="29">
                  <c:v>43219</c:v>
                </c:pt>
                <c:pt idx="30">
                  <c:v>43220</c:v>
                </c:pt>
                <c:pt idx="31">
                  <c:v>43221</c:v>
                </c:pt>
                <c:pt idx="32">
                  <c:v>43222</c:v>
                </c:pt>
                <c:pt idx="33">
                  <c:v>43223</c:v>
                </c:pt>
                <c:pt idx="34">
                  <c:v>43224</c:v>
                </c:pt>
                <c:pt idx="35">
                  <c:v>43225</c:v>
                </c:pt>
                <c:pt idx="36">
                  <c:v>43226</c:v>
                </c:pt>
                <c:pt idx="37">
                  <c:v>43227</c:v>
                </c:pt>
                <c:pt idx="38">
                  <c:v>43228</c:v>
                </c:pt>
                <c:pt idx="39">
                  <c:v>43229</c:v>
                </c:pt>
                <c:pt idx="40">
                  <c:v>43230</c:v>
                </c:pt>
                <c:pt idx="41">
                  <c:v>43231</c:v>
                </c:pt>
                <c:pt idx="42">
                  <c:v>43232</c:v>
                </c:pt>
                <c:pt idx="43">
                  <c:v>43233</c:v>
                </c:pt>
                <c:pt idx="44">
                  <c:v>43234</c:v>
                </c:pt>
                <c:pt idx="45">
                  <c:v>43235</c:v>
                </c:pt>
                <c:pt idx="46">
                  <c:v>43236</c:v>
                </c:pt>
                <c:pt idx="47">
                  <c:v>43237</c:v>
                </c:pt>
                <c:pt idx="48">
                  <c:v>43238</c:v>
                </c:pt>
                <c:pt idx="49">
                  <c:v>43239</c:v>
                </c:pt>
                <c:pt idx="50">
                  <c:v>43240</c:v>
                </c:pt>
                <c:pt idx="51">
                  <c:v>43241</c:v>
                </c:pt>
                <c:pt idx="52">
                  <c:v>43242</c:v>
                </c:pt>
                <c:pt idx="53">
                  <c:v>43243</c:v>
                </c:pt>
                <c:pt idx="54">
                  <c:v>43244</c:v>
                </c:pt>
                <c:pt idx="55">
                  <c:v>43245</c:v>
                </c:pt>
                <c:pt idx="56">
                  <c:v>43246</c:v>
                </c:pt>
                <c:pt idx="57">
                  <c:v>43247</c:v>
                </c:pt>
                <c:pt idx="58">
                  <c:v>43248</c:v>
                </c:pt>
                <c:pt idx="59">
                  <c:v>43249</c:v>
                </c:pt>
                <c:pt idx="60">
                  <c:v>43250</c:v>
                </c:pt>
                <c:pt idx="61">
                  <c:v>43251</c:v>
                </c:pt>
                <c:pt idx="62">
                  <c:v>43252</c:v>
                </c:pt>
                <c:pt idx="63">
                  <c:v>43253</c:v>
                </c:pt>
                <c:pt idx="64">
                  <c:v>43254</c:v>
                </c:pt>
                <c:pt idx="65">
                  <c:v>43255</c:v>
                </c:pt>
                <c:pt idx="66">
                  <c:v>43256</c:v>
                </c:pt>
                <c:pt idx="67">
                  <c:v>43257</c:v>
                </c:pt>
                <c:pt idx="68">
                  <c:v>43258</c:v>
                </c:pt>
                <c:pt idx="69">
                  <c:v>43259</c:v>
                </c:pt>
                <c:pt idx="70">
                  <c:v>43260</c:v>
                </c:pt>
                <c:pt idx="71">
                  <c:v>43261</c:v>
                </c:pt>
                <c:pt idx="72">
                  <c:v>43262</c:v>
                </c:pt>
                <c:pt idx="73">
                  <c:v>43263</c:v>
                </c:pt>
                <c:pt idx="74">
                  <c:v>43264</c:v>
                </c:pt>
                <c:pt idx="75">
                  <c:v>43265</c:v>
                </c:pt>
                <c:pt idx="76">
                  <c:v>43266</c:v>
                </c:pt>
                <c:pt idx="77">
                  <c:v>43267</c:v>
                </c:pt>
                <c:pt idx="78">
                  <c:v>43268</c:v>
                </c:pt>
                <c:pt idx="79">
                  <c:v>43269</c:v>
                </c:pt>
                <c:pt idx="80">
                  <c:v>43270</c:v>
                </c:pt>
                <c:pt idx="81">
                  <c:v>43271</c:v>
                </c:pt>
                <c:pt idx="82">
                  <c:v>43272</c:v>
                </c:pt>
                <c:pt idx="83">
                  <c:v>43273</c:v>
                </c:pt>
                <c:pt idx="84">
                  <c:v>43274</c:v>
                </c:pt>
                <c:pt idx="85">
                  <c:v>43275</c:v>
                </c:pt>
                <c:pt idx="86">
                  <c:v>43276</c:v>
                </c:pt>
                <c:pt idx="87">
                  <c:v>43277</c:v>
                </c:pt>
                <c:pt idx="88">
                  <c:v>43278</c:v>
                </c:pt>
                <c:pt idx="89">
                  <c:v>43279</c:v>
                </c:pt>
                <c:pt idx="90">
                  <c:v>43280</c:v>
                </c:pt>
                <c:pt idx="91">
                  <c:v>43281</c:v>
                </c:pt>
                <c:pt idx="92">
                  <c:v>43282</c:v>
                </c:pt>
                <c:pt idx="93">
                  <c:v>43283</c:v>
                </c:pt>
                <c:pt idx="94">
                  <c:v>43284</c:v>
                </c:pt>
                <c:pt idx="95">
                  <c:v>43285</c:v>
                </c:pt>
                <c:pt idx="96">
                  <c:v>43286</c:v>
                </c:pt>
                <c:pt idx="97">
                  <c:v>43287</c:v>
                </c:pt>
                <c:pt idx="98">
                  <c:v>43288</c:v>
                </c:pt>
                <c:pt idx="99">
                  <c:v>43289</c:v>
                </c:pt>
                <c:pt idx="100">
                  <c:v>43290</c:v>
                </c:pt>
                <c:pt idx="101">
                  <c:v>43291</c:v>
                </c:pt>
                <c:pt idx="102">
                  <c:v>43292</c:v>
                </c:pt>
                <c:pt idx="103">
                  <c:v>43293</c:v>
                </c:pt>
                <c:pt idx="104">
                  <c:v>43294</c:v>
                </c:pt>
                <c:pt idx="105">
                  <c:v>43295</c:v>
                </c:pt>
                <c:pt idx="106">
                  <c:v>43296</c:v>
                </c:pt>
                <c:pt idx="107">
                  <c:v>43297</c:v>
                </c:pt>
                <c:pt idx="108">
                  <c:v>43298</c:v>
                </c:pt>
                <c:pt idx="109">
                  <c:v>43299</c:v>
                </c:pt>
                <c:pt idx="110">
                  <c:v>43300</c:v>
                </c:pt>
                <c:pt idx="111">
                  <c:v>43301</c:v>
                </c:pt>
                <c:pt idx="112">
                  <c:v>43302</c:v>
                </c:pt>
                <c:pt idx="113">
                  <c:v>43303</c:v>
                </c:pt>
                <c:pt idx="114">
                  <c:v>43304</c:v>
                </c:pt>
                <c:pt idx="115">
                  <c:v>43305</c:v>
                </c:pt>
                <c:pt idx="116">
                  <c:v>43306</c:v>
                </c:pt>
                <c:pt idx="117">
                  <c:v>43307</c:v>
                </c:pt>
                <c:pt idx="118">
                  <c:v>43308</c:v>
                </c:pt>
                <c:pt idx="119">
                  <c:v>43309</c:v>
                </c:pt>
                <c:pt idx="120">
                  <c:v>43310</c:v>
                </c:pt>
                <c:pt idx="121">
                  <c:v>43311</c:v>
                </c:pt>
                <c:pt idx="122">
                  <c:v>43312</c:v>
                </c:pt>
                <c:pt idx="123">
                  <c:v>43313</c:v>
                </c:pt>
                <c:pt idx="124">
                  <c:v>43314</c:v>
                </c:pt>
                <c:pt idx="125">
                  <c:v>43315</c:v>
                </c:pt>
                <c:pt idx="126">
                  <c:v>43316</c:v>
                </c:pt>
                <c:pt idx="127">
                  <c:v>43317</c:v>
                </c:pt>
                <c:pt idx="128">
                  <c:v>43318</c:v>
                </c:pt>
                <c:pt idx="129">
                  <c:v>43319</c:v>
                </c:pt>
                <c:pt idx="130">
                  <c:v>43320</c:v>
                </c:pt>
                <c:pt idx="131">
                  <c:v>43321</c:v>
                </c:pt>
                <c:pt idx="132">
                  <c:v>43322</c:v>
                </c:pt>
                <c:pt idx="133">
                  <c:v>43323</c:v>
                </c:pt>
                <c:pt idx="134">
                  <c:v>43324</c:v>
                </c:pt>
                <c:pt idx="135">
                  <c:v>43325</c:v>
                </c:pt>
                <c:pt idx="136">
                  <c:v>43326</c:v>
                </c:pt>
                <c:pt idx="137">
                  <c:v>43327</c:v>
                </c:pt>
                <c:pt idx="138">
                  <c:v>43328</c:v>
                </c:pt>
                <c:pt idx="139">
                  <c:v>43329</c:v>
                </c:pt>
                <c:pt idx="140">
                  <c:v>43330</c:v>
                </c:pt>
                <c:pt idx="141">
                  <c:v>43331</c:v>
                </c:pt>
                <c:pt idx="142">
                  <c:v>43332</c:v>
                </c:pt>
                <c:pt idx="143">
                  <c:v>43333</c:v>
                </c:pt>
                <c:pt idx="144">
                  <c:v>43334</c:v>
                </c:pt>
                <c:pt idx="145">
                  <c:v>43335</c:v>
                </c:pt>
                <c:pt idx="146">
                  <c:v>43336</c:v>
                </c:pt>
                <c:pt idx="147">
                  <c:v>43337</c:v>
                </c:pt>
                <c:pt idx="148">
                  <c:v>43338</c:v>
                </c:pt>
                <c:pt idx="149">
                  <c:v>43339</c:v>
                </c:pt>
                <c:pt idx="150">
                  <c:v>43340</c:v>
                </c:pt>
                <c:pt idx="151">
                  <c:v>43341</c:v>
                </c:pt>
                <c:pt idx="152">
                  <c:v>43342</c:v>
                </c:pt>
                <c:pt idx="153">
                  <c:v>43343</c:v>
                </c:pt>
                <c:pt idx="154">
                  <c:v>43344</c:v>
                </c:pt>
                <c:pt idx="155">
                  <c:v>43345</c:v>
                </c:pt>
                <c:pt idx="156">
                  <c:v>43346</c:v>
                </c:pt>
                <c:pt idx="157">
                  <c:v>43347</c:v>
                </c:pt>
                <c:pt idx="158">
                  <c:v>43348</c:v>
                </c:pt>
                <c:pt idx="159">
                  <c:v>43349</c:v>
                </c:pt>
                <c:pt idx="160">
                  <c:v>43350</c:v>
                </c:pt>
                <c:pt idx="161">
                  <c:v>43351</c:v>
                </c:pt>
                <c:pt idx="162">
                  <c:v>43352</c:v>
                </c:pt>
                <c:pt idx="163">
                  <c:v>43353</c:v>
                </c:pt>
                <c:pt idx="164">
                  <c:v>43354</c:v>
                </c:pt>
                <c:pt idx="165">
                  <c:v>43355</c:v>
                </c:pt>
                <c:pt idx="166">
                  <c:v>43356</c:v>
                </c:pt>
                <c:pt idx="167">
                  <c:v>43357</c:v>
                </c:pt>
                <c:pt idx="168">
                  <c:v>43358</c:v>
                </c:pt>
                <c:pt idx="169">
                  <c:v>43359</c:v>
                </c:pt>
                <c:pt idx="170">
                  <c:v>43360</c:v>
                </c:pt>
                <c:pt idx="171">
                  <c:v>43361</c:v>
                </c:pt>
                <c:pt idx="172">
                  <c:v>43362</c:v>
                </c:pt>
                <c:pt idx="173">
                  <c:v>43363</c:v>
                </c:pt>
                <c:pt idx="174">
                  <c:v>43364</c:v>
                </c:pt>
                <c:pt idx="175">
                  <c:v>43365</c:v>
                </c:pt>
                <c:pt idx="176">
                  <c:v>43366</c:v>
                </c:pt>
                <c:pt idx="177">
                  <c:v>43367</c:v>
                </c:pt>
                <c:pt idx="178">
                  <c:v>43368</c:v>
                </c:pt>
                <c:pt idx="179">
                  <c:v>43369</c:v>
                </c:pt>
                <c:pt idx="180">
                  <c:v>43370</c:v>
                </c:pt>
                <c:pt idx="181">
                  <c:v>43371</c:v>
                </c:pt>
              </c:numCache>
            </c:numRef>
          </c:cat>
          <c:val>
            <c:numRef>
              <c:f>Index_Charts!$O$2:$O$183</c:f>
              <c:numCache>
                <c:formatCode>0.00</c:formatCode>
                <c:ptCount val="182"/>
                <c:pt idx="0">
                  <c:v>100</c:v>
                </c:pt>
                <c:pt idx="1">
                  <c:v>100</c:v>
                </c:pt>
                <c:pt idx="2">
                  <c:v>99.876161519540858</c:v>
                </c:pt>
                <c:pt idx="3">
                  <c:v>99.937653730527458</c:v>
                </c:pt>
                <c:pt idx="4">
                  <c:v>98.698414867450126</c:v>
                </c:pt>
                <c:pt idx="5">
                  <c:v>99.624214266192951</c:v>
                </c:pt>
                <c:pt idx="6">
                  <c:v>99.239033889040712</c:v>
                </c:pt>
                <c:pt idx="7">
                  <c:v>99.239033889040712</c:v>
                </c:pt>
                <c:pt idx="8">
                  <c:v>99.239033889040712</c:v>
                </c:pt>
                <c:pt idx="9">
                  <c:v>99.332980322492475</c:v>
                </c:pt>
                <c:pt idx="10">
                  <c:v>100.37920196775075</c:v>
                </c:pt>
                <c:pt idx="11">
                  <c:v>100.39713719595518</c:v>
                </c:pt>
                <c:pt idx="12">
                  <c:v>100.51243509155508</c:v>
                </c:pt>
                <c:pt idx="13">
                  <c:v>99.932529379611907</c:v>
                </c:pt>
                <c:pt idx="14">
                  <c:v>99.932529379611907</c:v>
                </c:pt>
                <c:pt idx="15">
                  <c:v>99.932529379611907</c:v>
                </c:pt>
                <c:pt idx="16">
                  <c:v>99.348353375239128</c:v>
                </c:pt>
                <c:pt idx="17">
                  <c:v>99.443153867176804</c:v>
                </c:pt>
                <c:pt idx="18">
                  <c:v>100.44923476359662</c:v>
                </c:pt>
                <c:pt idx="19">
                  <c:v>101.13162749385079</c:v>
                </c:pt>
                <c:pt idx="20">
                  <c:v>99.774528559715762</c:v>
                </c:pt>
                <c:pt idx="21">
                  <c:v>99.774528559715762</c:v>
                </c:pt>
                <c:pt idx="22">
                  <c:v>99.774528559715762</c:v>
                </c:pt>
                <c:pt idx="23">
                  <c:v>98.922178190762494</c:v>
                </c:pt>
                <c:pt idx="24">
                  <c:v>98.576284503962825</c:v>
                </c:pt>
                <c:pt idx="25">
                  <c:v>97.385726974583207</c:v>
                </c:pt>
                <c:pt idx="26">
                  <c:v>97.733328778354718</c:v>
                </c:pt>
                <c:pt idx="27">
                  <c:v>98.75478272752116</c:v>
                </c:pt>
                <c:pt idx="28">
                  <c:v>98.75478272752116</c:v>
                </c:pt>
                <c:pt idx="29">
                  <c:v>98.75478272752116</c:v>
                </c:pt>
                <c:pt idx="30">
                  <c:v>99.449132276578297</c:v>
                </c:pt>
                <c:pt idx="31">
                  <c:v>99.28259087182289</c:v>
                </c:pt>
                <c:pt idx="32">
                  <c:v>98.339710303361571</c:v>
                </c:pt>
                <c:pt idx="33">
                  <c:v>97.179044820989319</c:v>
                </c:pt>
                <c:pt idx="34">
                  <c:v>97.035562995353914</c:v>
                </c:pt>
                <c:pt idx="35">
                  <c:v>97.035562995353914</c:v>
                </c:pt>
                <c:pt idx="36">
                  <c:v>97.035562995353914</c:v>
                </c:pt>
                <c:pt idx="37">
                  <c:v>97.324234763596593</c:v>
                </c:pt>
                <c:pt idx="38">
                  <c:v>97.589846952719313</c:v>
                </c:pt>
                <c:pt idx="39">
                  <c:v>97.683793386171075</c:v>
                </c:pt>
                <c:pt idx="40">
                  <c:v>98.776134189669293</c:v>
                </c:pt>
                <c:pt idx="41">
                  <c:v>99.454256627493848</c:v>
                </c:pt>
                <c:pt idx="42">
                  <c:v>99.454256627493848</c:v>
                </c:pt>
                <c:pt idx="43">
                  <c:v>99.454256627493848</c:v>
                </c:pt>
                <c:pt idx="44">
                  <c:v>99.830896419786825</c:v>
                </c:pt>
                <c:pt idx="45">
                  <c:v>98.239785460508315</c:v>
                </c:pt>
                <c:pt idx="46">
                  <c:v>98.652295709210151</c:v>
                </c:pt>
                <c:pt idx="47">
                  <c:v>97.710269199234745</c:v>
                </c:pt>
                <c:pt idx="48">
                  <c:v>97.170504236130085</c:v>
                </c:pt>
                <c:pt idx="49">
                  <c:v>97.170504236130085</c:v>
                </c:pt>
                <c:pt idx="50">
                  <c:v>97.170504236130085</c:v>
                </c:pt>
                <c:pt idx="51">
                  <c:v>97.06289286690351</c:v>
                </c:pt>
                <c:pt idx="52">
                  <c:v>97.537749385077873</c:v>
                </c:pt>
                <c:pt idx="53">
                  <c:v>96.77336704017489</c:v>
                </c:pt>
                <c:pt idx="54">
                  <c:v>96.940762503416224</c:v>
                </c:pt>
                <c:pt idx="55">
                  <c:v>97.073995627220526</c:v>
                </c:pt>
                <c:pt idx="56">
                  <c:v>97.073995627220526</c:v>
                </c:pt>
                <c:pt idx="57">
                  <c:v>97.073995627220526</c:v>
                </c:pt>
                <c:pt idx="58">
                  <c:v>97.106449849685688</c:v>
                </c:pt>
                <c:pt idx="59">
                  <c:v>96.188336977316197</c:v>
                </c:pt>
                <c:pt idx="60">
                  <c:v>95.035358021317293</c:v>
                </c:pt>
                <c:pt idx="61">
                  <c:v>95.71518857611369</c:v>
                </c:pt>
                <c:pt idx="62">
                  <c:v>96.527398196228475</c:v>
                </c:pt>
                <c:pt idx="63">
                  <c:v>96.527398196228475</c:v>
                </c:pt>
                <c:pt idx="64">
                  <c:v>96.527398196228475</c:v>
                </c:pt>
                <c:pt idx="65">
                  <c:v>97.938302814976765</c:v>
                </c:pt>
                <c:pt idx="66">
                  <c:v>97.741869363213979</c:v>
                </c:pt>
                <c:pt idx="67">
                  <c:v>98.231244875649082</c:v>
                </c:pt>
                <c:pt idx="68">
                  <c:v>98.189396009838745</c:v>
                </c:pt>
                <c:pt idx="69">
                  <c:v>96.968946433451762</c:v>
                </c:pt>
                <c:pt idx="70">
                  <c:v>96.968946433451762</c:v>
                </c:pt>
                <c:pt idx="71">
                  <c:v>96.968946433451762</c:v>
                </c:pt>
                <c:pt idx="72">
                  <c:v>97.316548237223273</c:v>
                </c:pt>
                <c:pt idx="73">
                  <c:v>97.417327138562442</c:v>
                </c:pt>
                <c:pt idx="74">
                  <c:v>96.993714129543591</c:v>
                </c:pt>
                <c:pt idx="75">
                  <c:v>96.141363760590309</c:v>
                </c:pt>
                <c:pt idx="76">
                  <c:v>95.121617928395736</c:v>
                </c:pt>
                <c:pt idx="77">
                  <c:v>95.121617928395736</c:v>
                </c:pt>
                <c:pt idx="78">
                  <c:v>95.121617928395736</c:v>
                </c:pt>
                <c:pt idx="79">
                  <c:v>94.457160426345993</c:v>
                </c:pt>
                <c:pt idx="80">
                  <c:v>92.667907898332871</c:v>
                </c:pt>
                <c:pt idx="81">
                  <c:v>93.37079803224924</c:v>
                </c:pt>
                <c:pt idx="82">
                  <c:v>92.254543591145122</c:v>
                </c:pt>
                <c:pt idx="83">
                  <c:v>92.921563268652633</c:v>
                </c:pt>
                <c:pt idx="84">
                  <c:v>92.921563268652633</c:v>
                </c:pt>
                <c:pt idx="85">
                  <c:v>92.921563268652633</c:v>
                </c:pt>
                <c:pt idx="86">
                  <c:v>91.474788193495485</c:v>
                </c:pt>
                <c:pt idx="87">
                  <c:v>91.19209483465427</c:v>
                </c:pt>
                <c:pt idx="88">
                  <c:v>89.857201421153292</c:v>
                </c:pt>
                <c:pt idx="89">
                  <c:v>89.395155780267828</c:v>
                </c:pt>
                <c:pt idx="90">
                  <c:v>91.343263186663009</c:v>
                </c:pt>
                <c:pt idx="91">
                  <c:v>91.343263186663009</c:v>
                </c:pt>
                <c:pt idx="92">
                  <c:v>91.343263186663009</c:v>
                </c:pt>
                <c:pt idx="93">
                  <c:v>90.472123531019392</c:v>
                </c:pt>
                <c:pt idx="94">
                  <c:v>90.333766056299538</c:v>
                </c:pt>
                <c:pt idx="95">
                  <c:v>90.194554523093728</c:v>
                </c:pt>
                <c:pt idx="96">
                  <c:v>90.047656463514599</c:v>
                </c:pt>
                <c:pt idx="97">
                  <c:v>90.527637332604527</c:v>
                </c:pt>
                <c:pt idx="98">
                  <c:v>90.527637332604527</c:v>
                </c:pt>
                <c:pt idx="99">
                  <c:v>90.527637332604527</c:v>
                </c:pt>
                <c:pt idx="100">
                  <c:v>91.874487564908435</c:v>
                </c:pt>
                <c:pt idx="101">
                  <c:v>91.912920196775076</c:v>
                </c:pt>
                <c:pt idx="102">
                  <c:v>90.933315113418956</c:v>
                </c:pt>
                <c:pt idx="103">
                  <c:v>91.404755397649623</c:v>
                </c:pt>
                <c:pt idx="104">
                  <c:v>91.865946980049202</c:v>
                </c:pt>
                <c:pt idx="105">
                  <c:v>91.865946980049202</c:v>
                </c:pt>
                <c:pt idx="106">
                  <c:v>91.865946980049202</c:v>
                </c:pt>
                <c:pt idx="107">
                  <c:v>91.404755397649623</c:v>
                </c:pt>
                <c:pt idx="108">
                  <c:v>91.461977316206614</c:v>
                </c:pt>
                <c:pt idx="109">
                  <c:v>91.277500683246785</c:v>
                </c:pt>
                <c:pt idx="110">
                  <c:v>90.585713309647446</c:v>
                </c:pt>
                <c:pt idx="111">
                  <c:v>91.390236403388897</c:v>
                </c:pt>
                <c:pt idx="112">
                  <c:v>91.390236403388897</c:v>
                </c:pt>
                <c:pt idx="113">
                  <c:v>91.390236403388897</c:v>
                </c:pt>
                <c:pt idx="114">
                  <c:v>91.343263186663009</c:v>
                </c:pt>
                <c:pt idx="115">
                  <c:v>92.270770702377703</c:v>
                </c:pt>
                <c:pt idx="116">
                  <c:v>92.991596064498481</c:v>
                </c:pt>
                <c:pt idx="117">
                  <c:v>93.021488111505874</c:v>
                </c:pt>
                <c:pt idx="118">
                  <c:v>93.293932768515972</c:v>
                </c:pt>
                <c:pt idx="119">
                  <c:v>93.293932768515972</c:v>
                </c:pt>
                <c:pt idx="120">
                  <c:v>93.293932768515972</c:v>
                </c:pt>
                <c:pt idx="121">
                  <c:v>93.104331784640621</c:v>
                </c:pt>
                <c:pt idx="122">
                  <c:v>92.875444110412673</c:v>
                </c:pt>
                <c:pt idx="123">
                  <c:v>92.825054659743074</c:v>
                </c:pt>
                <c:pt idx="124">
                  <c:v>91.163910904618746</c:v>
                </c:pt>
                <c:pt idx="125">
                  <c:v>91.668659469800474</c:v>
                </c:pt>
                <c:pt idx="126">
                  <c:v>91.668659469800474</c:v>
                </c:pt>
                <c:pt idx="127">
                  <c:v>91.668659469800474</c:v>
                </c:pt>
                <c:pt idx="128">
                  <c:v>91.469663842579934</c:v>
                </c:pt>
                <c:pt idx="129">
                  <c:v>92.220381251708105</c:v>
                </c:pt>
                <c:pt idx="130">
                  <c:v>92.215256900792568</c:v>
                </c:pt>
                <c:pt idx="131">
                  <c:v>92.124726701284501</c:v>
                </c:pt>
                <c:pt idx="132">
                  <c:v>90.732611369226547</c:v>
                </c:pt>
                <c:pt idx="133">
                  <c:v>90.732611369226547</c:v>
                </c:pt>
                <c:pt idx="134">
                  <c:v>90.732611369226547</c:v>
                </c:pt>
                <c:pt idx="135">
                  <c:v>89.103921836567352</c:v>
                </c:pt>
                <c:pt idx="136">
                  <c:v>89.040721508608897</c:v>
                </c:pt>
                <c:pt idx="137">
                  <c:v>87.406907625034151</c:v>
                </c:pt>
                <c:pt idx="138">
                  <c:v>87.248052746652078</c:v>
                </c:pt>
                <c:pt idx="139">
                  <c:v>87.365058759223828</c:v>
                </c:pt>
                <c:pt idx="140">
                  <c:v>87.365058759223828</c:v>
                </c:pt>
                <c:pt idx="141">
                  <c:v>87.365058759223828</c:v>
                </c:pt>
                <c:pt idx="142">
                  <c:v>88.279755397649623</c:v>
                </c:pt>
                <c:pt idx="143">
                  <c:v>89.190181743645795</c:v>
                </c:pt>
                <c:pt idx="144">
                  <c:v>89.728238589778613</c:v>
                </c:pt>
                <c:pt idx="145">
                  <c:v>89.522410494670666</c:v>
                </c:pt>
                <c:pt idx="146">
                  <c:v>89.692368133369769</c:v>
                </c:pt>
                <c:pt idx="147">
                  <c:v>89.692368133369769</c:v>
                </c:pt>
                <c:pt idx="148">
                  <c:v>89.692368133369769</c:v>
                </c:pt>
                <c:pt idx="149">
                  <c:v>91.310808964197861</c:v>
                </c:pt>
                <c:pt idx="150">
                  <c:v>91.437209620114771</c:v>
                </c:pt>
                <c:pt idx="151">
                  <c:v>91.429523093741452</c:v>
                </c:pt>
                <c:pt idx="152">
                  <c:v>90.345722875102467</c:v>
                </c:pt>
                <c:pt idx="153">
                  <c:v>90.185159879748554</c:v>
                </c:pt>
                <c:pt idx="154">
                  <c:v>90.185159879748554</c:v>
                </c:pt>
                <c:pt idx="155">
                  <c:v>90.185159879748554</c:v>
                </c:pt>
                <c:pt idx="156">
                  <c:v>89.431026236676686</c:v>
                </c:pt>
                <c:pt idx="157">
                  <c:v>88.836601530472805</c:v>
                </c:pt>
                <c:pt idx="158">
                  <c:v>87.260863623940963</c:v>
                </c:pt>
                <c:pt idx="159">
                  <c:v>86.967921563268646</c:v>
                </c:pt>
                <c:pt idx="160">
                  <c:v>87.368474993167524</c:v>
                </c:pt>
                <c:pt idx="161">
                  <c:v>87.368474993167524</c:v>
                </c:pt>
                <c:pt idx="162">
                  <c:v>87.368474993167524</c:v>
                </c:pt>
                <c:pt idx="163">
                  <c:v>86.366664389177359</c:v>
                </c:pt>
                <c:pt idx="164">
                  <c:v>85.690250068324673</c:v>
                </c:pt>
                <c:pt idx="165">
                  <c:v>85.795299262093465</c:v>
                </c:pt>
                <c:pt idx="166">
                  <c:v>86.912407761683511</c:v>
                </c:pt>
                <c:pt idx="167">
                  <c:v>87.84247745285596</c:v>
                </c:pt>
                <c:pt idx="168">
                  <c:v>87.84247745285596</c:v>
                </c:pt>
                <c:pt idx="169">
                  <c:v>87.84247745285596</c:v>
                </c:pt>
                <c:pt idx="170">
                  <c:v>86.809066684886574</c:v>
                </c:pt>
                <c:pt idx="171">
                  <c:v>87.091760043727788</c:v>
                </c:pt>
                <c:pt idx="172">
                  <c:v>88.059408308280936</c:v>
                </c:pt>
                <c:pt idx="173">
                  <c:v>88.559886581033069</c:v>
                </c:pt>
                <c:pt idx="174">
                  <c:v>89.798271385624489</c:v>
                </c:pt>
                <c:pt idx="175">
                  <c:v>89.798271385624489</c:v>
                </c:pt>
                <c:pt idx="176">
                  <c:v>89.798271385624489</c:v>
                </c:pt>
                <c:pt idx="177">
                  <c:v>89.022786280404461</c:v>
                </c:pt>
                <c:pt idx="178">
                  <c:v>88.974104946706746</c:v>
                </c:pt>
                <c:pt idx="179">
                  <c:v>89.336225744738996</c:v>
                </c:pt>
                <c:pt idx="180">
                  <c:v>89.787168625307444</c:v>
                </c:pt>
                <c:pt idx="181">
                  <c:v>89.497642798578852</c:v>
                </c:pt>
              </c:numCache>
            </c:numRef>
          </c:val>
          <c:smooth val="0"/>
          <c:extLst xmlns:c16r2="http://schemas.microsoft.com/office/drawing/2015/06/chart">
            <c:ext xmlns:c16="http://schemas.microsoft.com/office/drawing/2014/chart" uri="{C3380CC4-5D6E-409C-BE32-E72D297353CC}">
              <c16:uniqueId val="{00000005-FBCB-7943-B127-1A292C44205A}"/>
            </c:ext>
          </c:extLst>
        </c:ser>
        <c:dLbls>
          <c:showLegendKey val="0"/>
          <c:showVal val="0"/>
          <c:showCatName val="0"/>
          <c:showSerName val="0"/>
          <c:showPercent val="0"/>
          <c:showBubbleSize val="0"/>
        </c:dLbls>
        <c:smooth val="0"/>
        <c:axId val="491534352"/>
        <c:axId val="491532784"/>
      </c:lineChart>
      <c:dateAx>
        <c:axId val="491534352"/>
        <c:scaling>
          <c:orientation val="minMax"/>
        </c:scaling>
        <c:delete val="0"/>
        <c:axPos val="b"/>
        <c:numFmt formatCode="[$-409]m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32784"/>
        <c:crosses val="autoZero"/>
        <c:auto val="1"/>
        <c:lblOffset val="100"/>
        <c:baseTimeUnit val="days"/>
      </c:dateAx>
      <c:valAx>
        <c:axId val="491532784"/>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34352"/>
        <c:crosses val="autoZero"/>
        <c:crossBetween val="between"/>
      </c:valAx>
      <c:spPr>
        <a:noFill/>
        <a:ln>
          <a:noFill/>
        </a:ln>
        <a:effectLst/>
      </c:spPr>
    </c:plotArea>
    <c:legend>
      <c:legendPos val="b"/>
      <c:layout>
        <c:manualLayout>
          <c:xMode val="edge"/>
          <c:yMode val="edge"/>
          <c:x val="1.4837219421646355E-2"/>
          <c:y val="0.87744186931744028"/>
          <c:w val="0.96562226018044028"/>
          <c:h val="0.101167779614564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'10 Year Bond Yield'!$B$1</c:f>
              <c:strCache>
                <c:ptCount val="1"/>
                <c:pt idx="0">
                  <c:v>Germany</c:v>
                </c:pt>
              </c:strCache>
            </c:strRef>
          </c:tx>
          <c:spPr>
            <a:ln w="28575" cap="rnd">
              <a:solidFill>
                <a:schemeClr val="accent1"/>
              </a:solidFill>
              <a:round/>
            </a:ln>
            <a:effectLst/>
          </c:spPr>
          <c:marker>
            <c:symbol val="none"/>
          </c:marker>
          <c:cat>
            <c:numRef>
              <c:f>'10 Year Bond Yield'!$A$1957:$A$2021</c:f>
              <c:numCache>
                <c:formatCode>[$-409]mmm\-yy;@</c:formatCode>
                <c:ptCount val="65"/>
                <c:pt idx="0">
                  <c:v>43283</c:v>
                </c:pt>
                <c:pt idx="1">
                  <c:v>43284</c:v>
                </c:pt>
                <c:pt idx="2">
                  <c:v>43285</c:v>
                </c:pt>
                <c:pt idx="3">
                  <c:v>43286</c:v>
                </c:pt>
                <c:pt idx="4">
                  <c:v>43287</c:v>
                </c:pt>
                <c:pt idx="5">
                  <c:v>43290</c:v>
                </c:pt>
                <c:pt idx="6">
                  <c:v>43291</c:v>
                </c:pt>
                <c:pt idx="7">
                  <c:v>43292</c:v>
                </c:pt>
                <c:pt idx="8">
                  <c:v>43293</c:v>
                </c:pt>
                <c:pt idx="9">
                  <c:v>43294</c:v>
                </c:pt>
                <c:pt idx="10">
                  <c:v>43297</c:v>
                </c:pt>
                <c:pt idx="11">
                  <c:v>43298</c:v>
                </c:pt>
                <c:pt idx="12">
                  <c:v>43299</c:v>
                </c:pt>
                <c:pt idx="13">
                  <c:v>43300</c:v>
                </c:pt>
                <c:pt idx="14">
                  <c:v>43301</c:v>
                </c:pt>
                <c:pt idx="15">
                  <c:v>43304</c:v>
                </c:pt>
                <c:pt idx="16">
                  <c:v>43305</c:v>
                </c:pt>
                <c:pt idx="17">
                  <c:v>43306</c:v>
                </c:pt>
                <c:pt idx="18">
                  <c:v>43307</c:v>
                </c:pt>
                <c:pt idx="19">
                  <c:v>43308</c:v>
                </c:pt>
                <c:pt idx="20">
                  <c:v>43311</c:v>
                </c:pt>
                <c:pt idx="21">
                  <c:v>43312</c:v>
                </c:pt>
                <c:pt idx="22">
                  <c:v>43313</c:v>
                </c:pt>
                <c:pt idx="23">
                  <c:v>43314</c:v>
                </c:pt>
                <c:pt idx="24">
                  <c:v>43315</c:v>
                </c:pt>
                <c:pt idx="25">
                  <c:v>43318</c:v>
                </c:pt>
                <c:pt idx="26">
                  <c:v>43319</c:v>
                </c:pt>
                <c:pt idx="27">
                  <c:v>43320</c:v>
                </c:pt>
                <c:pt idx="28">
                  <c:v>43321</c:v>
                </c:pt>
                <c:pt idx="29">
                  <c:v>43322</c:v>
                </c:pt>
                <c:pt idx="30">
                  <c:v>43325</c:v>
                </c:pt>
                <c:pt idx="31">
                  <c:v>43326</c:v>
                </c:pt>
                <c:pt idx="32">
                  <c:v>43327</c:v>
                </c:pt>
                <c:pt idx="33">
                  <c:v>43328</c:v>
                </c:pt>
                <c:pt idx="34">
                  <c:v>43329</c:v>
                </c:pt>
                <c:pt idx="35">
                  <c:v>43332</c:v>
                </c:pt>
                <c:pt idx="36">
                  <c:v>43333</c:v>
                </c:pt>
                <c:pt idx="37">
                  <c:v>43334</c:v>
                </c:pt>
                <c:pt idx="38">
                  <c:v>43335</c:v>
                </c:pt>
                <c:pt idx="39">
                  <c:v>43336</c:v>
                </c:pt>
                <c:pt idx="40">
                  <c:v>43339</c:v>
                </c:pt>
                <c:pt idx="41">
                  <c:v>43340</c:v>
                </c:pt>
                <c:pt idx="42">
                  <c:v>43341</c:v>
                </c:pt>
                <c:pt idx="43">
                  <c:v>43342</c:v>
                </c:pt>
                <c:pt idx="44">
                  <c:v>43343</c:v>
                </c:pt>
                <c:pt idx="45">
                  <c:v>43346</c:v>
                </c:pt>
                <c:pt idx="46">
                  <c:v>43347</c:v>
                </c:pt>
                <c:pt idx="47">
                  <c:v>43348</c:v>
                </c:pt>
                <c:pt idx="48">
                  <c:v>43349</c:v>
                </c:pt>
                <c:pt idx="49">
                  <c:v>43350</c:v>
                </c:pt>
                <c:pt idx="50">
                  <c:v>43353</c:v>
                </c:pt>
                <c:pt idx="51">
                  <c:v>43354</c:v>
                </c:pt>
                <c:pt idx="52">
                  <c:v>43355</c:v>
                </c:pt>
                <c:pt idx="53">
                  <c:v>43356</c:v>
                </c:pt>
                <c:pt idx="54">
                  <c:v>43357</c:v>
                </c:pt>
                <c:pt idx="55">
                  <c:v>43360</c:v>
                </c:pt>
                <c:pt idx="56">
                  <c:v>43361</c:v>
                </c:pt>
                <c:pt idx="57">
                  <c:v>43362</c:v>
                </c:pt>
                <c:pt idx="58">
                  <c:v>43363</c:v>
                </c:pt>
                <c:pt idx="59">
                  <c:v>43364</c:v>
                </c:pt>
                <c:pt idx="60">
                  <c:v>43367</c:v>
                </c:pt>
                <c:pt idx="61">
                  <c:v>43368</c:v>
                </c:pt>
                <c:pt idx="62">
                  <c:v>43369</c:v>
                </c:pt>
                <c:pt idx="63">
                  <c:v>43370</c:v>
                </c:pt>
                <c:pt idx="64">
                  <c:v>43371</c:v>
                </c:pt>
              </c:numCache>
            </c:numRef>
          </c:cat>
          <c:val>
            <c:numRef>
              <c:f>'10 Year Bond Yield'!$B$1957:$B$2021</c:f>
              <c:numCache>
                <c:formatCode>0.00</c:formatCode>
                <c:ptCount val="65"/>
                <c:pt idx="0">
                  <c:v>0.30399999999999999</c:v>
                </c:pt>
                <c:pt idx="1">
                  <c:v>0.29399999999999998</c:v>
                </c:pt>
                <c:pt idx="2">
                  <c:v>0.30499999999999999</c:v>
                </c:pt>
                <c:pt idx="3">
                  <c:v>0.29899999999999999</c:v>
                </c:pt>
                <c:pt idx="4">
                  <c:v>0.29199999999999998</c:v>
                </c:pt>
                <c:pt idx="5">
                  <c:v>0.3</c:v>
                </c:pt>
                <c:pt idx="6">
                  <c:v>0.32</c:v>
                </c:pt>
                <c:pt idx="7">
                  <c:v>0.36699999999999999</c:v>
                </c:pt>
                <c:pt idx="8">
                  <c:v>0.35699999999999998</c:v>
                </c:pt>
                <c:pt idx="9">
                  <c:v>0.34</c:v>
                </c:pt>
                <c:pt idx="10">
                  <c:v>0.36299999999999999</c:v>
                </c:pt>
                <c:pt idx="11">
                  <c:v>0.34599999999999997</c:v>
                </c:pt>
                <c:pt idx="12">
                  <c:v>0.34200000000000003</c:v>
                </c:pt>
                <c:pt idx="13">
                  <c:v>0.33</c:v>
                </c:pt>
                <c:pt idx="14">
                  <c:v>0.37</c:v>
                </c:pt>
                <c:pt idx="15">
                  <c:v>0.40600000000000003</c:v>
                </c:pt>
                <c:pt idx="16">
                  <c:v>0.39700000000000002</c:v>
                </c:pt>
                <c:pt idx="17">
                  <c:v>0.39600000000000002</c:v>
                </c:pt>
                <c:pt idx="18">
                  <c:v>0.40400000000000003</c:v>
                </c:pt>
                <c:pt idx="19">
                  <c:v>0.40300000000000002</c:v>
                </c:pt>
                <c:pt idx="20">
                  <c:v>0.44600000000000001</c:v>
                </c:pt>
                <c:pt idx="21">
                  <c:v>0.443</c:v>
                </c:pt>
                <c:pt idx="22">
                  <c:v>0.47799999999999998</c:v>
                </c:pt>
                <c:pt idx="23">
                  <c:v>0.46</c:v>
                </c:pt>
                <c:pt idx="24">
                  <c:v>0.40799999999999997</c:v>
                </c:pt>
                <c:pt idx="25">
                  <c:v>0.38900000000000001</c:v>
                </c:pt>
                <c:pt idx="26">
                  <c:v>0.40899999999999997</c:v>
                </c:pt>
                <c:pt idx="27">
                  <c:v>0.39800000000000002</c:v>
                </c:pt>
                <c:pt idx="28">
                  <c:v>0.375</c:v>
                </c:pt>
                <c:pt idx="29">
                  <c:v>0.317</c:v>
                </c:pt>
                <c:pt idx="30">
                  <c:v>0.311</c:v>
                </c:pt>
                <c:pt idx="31">
                  <c:v>0.32700000000000001</c:v>
                </c:pt>
                <c:pt idx="32">
                  <c:v>0.30399999999999999</c:v>
                </c:pt>
                <c:pt idx="33">
                  <c:v>0.32</c:v>
                </c:pt>
                <c:pt idx="34">
                  <c:v>0.30499999999999999</c:v>
                </c:pt>
                <c:pt idx="35">
                  <c:v>0.30199999999999999</c:v>
                </c:pt>
                <c:pt idx="36">
                  <c:v>0.33100000000000002</c:v>
                </c:pt>
                <c:pt idx="37">
                  <c:v>0.34399999999999997</c:v>
                </c:pt>
                <c:pt idx="38">
                  <c:v>0.33900000000000002</c:v>
                </c:pt>
                <c:pt idx="39">
                  <c:v>0.34499999999999997</c:v>
                </c:pt>
                <c:pt idx="40">
                  <c:v>0.376</c:v>
                </c:pt>
                <c:pt idx="41">
                  <c:v>0.38</c:v>
                </c:pt>
                <c:pt idx="42">
                  <c:v>0.40400000000000003</c:v>
                </c:pt>
                <c:pt idx="43">
                  <c:v>0.34599999999999997</c:v>
                </c:pt>
                <c:pt idx="44">
                  <c:v>0.32600000000000001</c:v>
                </c:pt>
                <c:pt idx="45">
                  <c:v>0.33300000000000002</c:v>
                </c:pt>
                <c:pt idx="46">
                  <c:v>0.35699999999999998</c:v>
                </c:pt>
                <c:pt idx="47">
                  <c:v>0.38</c:v>
                </c:pt>
                <c:pt idx="48">
                  <c:v>0.35499999999999998</c:v>
                </c:pt>
                <c:pt idx="49">
                  <c:v>0.38700000000000001</c:v>
                </c:pt>
                <c:pt idx="50">
                  <c:v>0.40100000000000002</c:v>
                </c:pt>
                <c:pt idx="51">
                  <c:v>0.43</c:v>
                </c:pt>
                <c:pt idx="52">
                  <c:v>0.41099999999999998</c:v>
                </c:pt>
                <c:pt idx="53">
                  <c:v>0.42299999999999999</c:v>
                </c:pt>
                <c:pt idx="54">
                  <c:v>0.45</c:v>
                </c:pt>
                <c:pt idx="55">
                  <c:v>0.45800000000000002</c:v>
                </c:pt>
                <c:pt idx="56">
                  <c:v>0.48</c:v>
                </c:pt>
                <c:pt idx="57">
                  <c:v>0.48699999999999999</c:v>
                </c:pt>
                <c:pt idx="58">
                  <c:v>0.47099999999999997</c:v>
                </c:pt>
                <c:pt idx="59">
                  <c:v>0.46200000000000002</c:v>
                </c:pt>
                <c:pt idx="60">
                  <c:v>0.51</c:v>
                </c:pt>
                <c:pt idx="61">
                  <c:v>0.54300000000000004</c:v>
                </c:pt>
                <c:pt idx="62">
                  <c:v>0.52600000000000002</c:v>
                </c:pt>
                <c:pt idx="63">
                  <c:v>0.52900000000000003</c:v>
                </c:pt>
                <c:pt idx="64">
                  <c:v>0.47</c:v>
                </c:pt>
              </c:numCache>
            </c:numRef>
          </c:val>
          <c:smooth val="0"/>
          <c:extLst xmlns:c16r2="http://schemas.microsoft.com/office/drawing/2015/06/chart">
            <c:ext xmlns:c16="http://schemas.microsoft.com/office/drawing/2014/chart" uri="{C3380CC4-5D6E-409C-BE32-E72D297353CC}">
              <c16:uniqueId val="{00000000-8857-0645-BDA0-694B01D73449}"/>
            </c:ext>
          </c:extLst>
        </c:ser>
        <c:ser>
          <c:idx val="1"/>
          <c:order val="1"/>
          <c:tx>
            <c:strRef>
              <c:f>'10 Year Bond Yield'!$C$1</c:f>
              <c:strCache>
                <c:ptCount val="1"/>
                <c:pt idx="0">
                  <c:v>Spain</c:v>
                </c:pt>
              </c:strCache>
            </c:strRef>
          </c:tx>
          <c:spPr>
            <a:ln w="28575" cap="rnd">
              <a:solidFill>
                <a:schemeClr val="accent2"/>
              </a:solidFill>
              <a:round/>
            </a:ln>
            <a:effectLst/>
          </c:spPr>
          <c:marker>
            <c:symbol val="none"/>
          </c:marker>
          <c:cat>
            <c:numRef>
              <c:f>'10 Year Bond Yield'!$A$1957:$A$2021</c:f>
              <c:numCache>
                <c:formatCode>[$-409]mmm\-yy;@</c:formatCode>
                <c:ptCount val="65"/>
                <c:pt idx="0">
                  <c:v>43283</c:v>
                </c:pt>
                <c:pt idx="1">
                  <c:v>43284</c:v>
                </c:pt>
                <c:pt idx="2">
                  <c:v>43285</c:v>
                </c:pt>
                <c:pt idx="3">
                  <c:v>43286</c:v>
                </c:pt>
                <c:pt idx="4">
                  <c:v>43287</c:v>
                </c:pt>
                <c:pt idx="5">
                  <c:v>43290</c:v>
                </c:pt>
                <c:pt idx="6">
                  <c:v>43291</c:v>
                </c:pt>
                <c:pt idx="7">
                  <c:v>43292</c:v>
                </c:pt>
                <c:pt idx="8">
                  <c:v>43293</c:v>
                </c:pt>
                <c:pt idx="9">
                  <c:v>43294</c:v>
                </c:pt>
                <c:pt idx="10">
                  <c:v>43297</c:v>
                </c:pt>
                <c:pt idx="11">
                  <c:v>43298</c:v>
                </c:pt>
                <c:pt idx="12">
                  <c:v>43299</c:v>
                </c:pt>
                <c:pt idx="13">
                  <c:v>43300</c:v>
                </c:pt>
                <c:pt idx="14">
                  <c:v>43301</c:v>
                </c:pt>
                <c:pt idx="15">
                  <c:v>43304</c:v>
                </c:pt>
                <c:pt idx="16">
                  <c:v>43305</c:v>
                </c:pt>
                <c:pt idx="17">
                  <c:v>43306</c:v>
                </c:pt>
                <c:pt idx="18">
                  <c:v>43307</c:v>
                </c:pt>
                <c:pt idx="19">
                  <c:v>43308</c:v>
                </c:pt>
                <c:pt idx="20">
                  <c:v>43311</c:v>
                </c:pt>
                <c:pt idx="21">
                  <c:v>43312</c:v>
                </c:pt>
                <c:pt idx="22">
                  <c:v>43313</c:v>
                </c:pt>
                <c:pt idx="23">
                  <c:v>43314</c:v>
                </c:pt>
                <c:pt idx="24">
                  <c:v>43315</c:v>
                </c:pt>
                <c:pt idx="25">
                  <c:v>43318</c:v>
                </c:pt>
                <c:pt idx="26">
                  <c:v>43319</c:v>
                </c:pt>
                <c:pt idx="27">
                  <c:v>43320</c:v>
                </c:pt>
                <c:pt idx="28">
                  <c:v>43321</c:v>
                </c:pt>
                <c:pt idx="29">
                  <c:v>43322</c:v>
                </c:pt>
                <c:pt idx="30">
                  <c:v>43325</c:v>
                </c:pt>
                <c:pt idx="31">
                  <c:v>43326</c:v>
                </c:pt>
                <c:pt idx="32">
                  <c:v>43327</c:v>
                </c:pt>
                <c:pt idx="33">
                  <c:v>43328</c:v>
                </c:pt>
                <c:pt idx="34">
                  <c:v>43329</c:v>
                </c:pt>
                <c:pt idx="35">
                  <c:v>43332</c:v>
                </c:pt>
                <c:pt idx="36">
                  <c:v>43333</c:v>
                </c:pt>
                <c:pt idx="37">
                  <c:v>43334</c:v>
                </c:pt>
                <c:pt idx="38">
                  <c:v>43335</c:v>
                </c:pt>
                <c:pt idx="39">
                  <c:v>43336</c:v>
                </c:pt>
                <c:pt idx="40">
                  <c:v>43339</c:v>
                </c:pt>
                <c:pt idx="41">
                  <c:v>43340</c:v>
                </c:pt>
                <c:pt idx="42">
                  <c:v>43341</c:v>
                </c:pt>
                <c:pt idx="43">
                  <c:v>43342</c:v>
                </c:pt>
                <c:pt idx="44">
                  <c:v>43343</c:v>
                </c:pt>
                <c:pt idx="45">
                  <c:v>43346</c:v>
                </c:pt>
                <c:pt idx="46">
                  <c:v>43347</c:v>
                </c:pt>
                <c:pt idx="47">
                  <c:v>43348</c:v>
                </c:pt>
                <c:pt idx="48">
                  <c:v>43349</c:v>
                </c:pt>
                <c:pt idx="49">
                  <c:v>43350</c:v>
                </c:pt>
                <c:pt idx="50">
                  <c:v>43353</c:v>
                </c:pt>
                <c:pt idx="51">
                  <c:v>43354</c:v>
                </c:pt>
                <c:pt idx="52">
                  <c:v>43355</c:v>
                </c:pt>
                <c:pt idx="53">
                  <c:v>43356</c:v>
                </c:pt>
                <c:pt idx="54">
                  <c:v>43357</c:v>
                </c:pt>
                <c:pt idx="55">
                  <c:v>43360</c:v>
                </c:pt>
                <c:pt idx="56">
                  <c:v>43361</c:v>
                </c:pt>
                <c:pt idx="57">
                  <c:v>43362</c:v>
                </c:pt>
                <c:pt idx="58">
                  <c:v>43363</c:v>
                </c:pt>
                <c:pt idx="59">
                  <c:v>43364</c:v>
                </c:pt>
                <c:pt idx="60">
                  <c:v>43367</c:v>
                </c:pt>
                <c:pt idx="61">
                  <c:v>43368</c:v>
                </c:pt>
                <c:pt idx="62">
                  <c:v>43369</c:v>
                </c:pt>
                <c:pt idx="63">
                  <c:v>43370</c:v>
                </c:pt>
                <c:pt idx="64">
                  <c:v>43371</c:v>
                </c:pt>
              </c:numCache>
            </c:numRef>
          </c:cat>
          <c:val>
            <c:numRef>
              <c:f>'10 Year Bond Yield'!$C$1957:$C$2021</c:f>
              <c:numCache>
                <c:formatCode>0.00</c:formatCode>
                <c:ptCount val="65"/>
                <c:pt idx="0">
                  <c:v>1.298</c:v>
                </c:pt>
                <c:pt idx="1">
                  <c:v>1.292</c:v>
                </c:pt>
                <c:pt idx="2">
                  <c:v>1.2989999999999999</c:v>
                </c:pt>
                <c:pt idx="3">
                  <c:v>1.329</c:v>
                </c:pt>
                <c:pt idx="4">
                  <c:v>1.3089999999999999</c:v>
                </c:pt>
                <c:pt idx="5">
                  <c:v>1.294</c:v>
                </c:pt>
                <c:pt idx="6">
                  <c:v>1.278</c:v>
                </c:pt>
                <c:pt idx="7">
                  <c:v>1.304</c:v>
                </c:pt>
                <c:pt idx="8">
                  <c:v>1.286</c:v>
                </c:pt>
                <c:pt idx="9">
                  <c:v>1.2629999999999999</c:v>
                </c:pt>
                <c:pt idx="10">
                  <c:v>1.2789999999999999</c:v>
                </c:pt>
                <c:pt idx="11">
                  <c:v>1.25</c:v>
                </c:pt>
                <c:pt idx="12">
                  <c:v>1.28</c:v>
                </c:pt>
                <c:pt idx="13">
                  <c:v>1.2810000000000001</c:v>
                </c:pt>
                <c:pt idx="14">
                  <c:v>1.3140000000000001</c:v>
                </c:pt>
                <c:pt idx="15">
                  <c:v>1.38</c:v>
                </c:pt>
                <c:pt idx="16">
                  <c:v>1.371</c:v>
                </c:pt>
                <c:pt idx="17">
                  <c:v>1.351</c:v>
                </c:pt>
                <c:pt idx="18">
                  <c:v>1.363</c:v>
                </c:pt>
                <c:pt idx="19">
                  <c:v>1.375</c:v>
                </c:pt>
                <c:pt idx="20">
                  <c:v>1.4259999999999999</c:v>
                </c:pt>
                <c:pt idx="21">
                  <c:v>1.4</c:v>
                </c:pt>
                <c:pt idx="22">
                  <c:v>1.454</c:v>
                </c:pt>
                <c:pt idx="23">
                  <c:v>1.4570000000000001</c:v>
                </c:pt>
                <c:pt idx="24">
                  <c:v>1.4219999999999999</c:v>
                </c:pt>
                <c:pt idx="25">
                  <c:v>1.3980000000000001</c:v>
                </c:pt>
                <c:pt idx="26">
                  <c:v>1.395</c:v>
                </c:pt>
                <c:pt idx="27">
                  <c:v>1.407</c:v>
                </c:pt>
                <c:pt idx="28">
                  <c:v>1.3940000000000001</c:v>
                </c:pt>
                <c:pt idx="29">
                  <c:v>1.407</c:v>
                </c:pt>
                <c:pt idx="30">
                  <c:v>1.454</c:v>
                </c:pt>
                <c:pt idx="31">
                  <c:v>1.4139999999999999</c:v>
                </c:pt>
                <c:pt idx="32">
                  <c:v>1.45</c:v>
                </c:pt>
                <c:pt idx="33">
                  <c:v>1.4450000000000001</c:v>
                </c:pt>
                <c:pt idx="34">
                  <c:v>1.4490000000000001</c:v>
                </c:pt>
                <c:pt idx="35">
                  <c:v>1.3900000000000001</c:v>
                </c:pt>
                <c:pt idx="36">
                  <c:v>1.3679999999999999</c:v>
                </c:pt>
                <c:pt idx="37">
                  <c:v>1.381</c:v>
                </c:pt>
                <c:pt idx="38">
                  <c:v>1.373</c:v>
                </c:pt>
                <c:pt idx="39">
                  <c:v>1.3940000000000001</c:v>
                </c:pt>
                <c:pt idx="40">
                  <c:v>1.41</c:v>
                </c:pt>
                <c:pt idx="41">
                  <c:v>1.4550000000000001</c:v>
                </c:pt>
                <c:pt idx="42">
                  <c:v>1.464</c:v>
                </c:pt>
                <c:pt idx="43">
                  <c:v>1.47</c:v>
                </c:pt>
                <c:pt idx="44">
                  <c:v>1.4729999999999999</c:v>
                </c:pt>
                <c:pt idx="45">
                  <c:v>1.45</c:v>
                </c:pt>
                <c:pt idx="46">
                  <c:v>1.429</c:v>
                </c:pt>
                <c:pt idx="47">
                  <c:v>1.4490000000000001</c:v>
                </c:pt>
                <c:pt idx="48">
                  <c:v>1.4490000000000001</c:v>
                </c:pt>
                <c:pt idx="49">
                  <c:v>1.4610000000000001</c:v>
                </c:pt>
                <c:pt idx="50">
                  <c:v>1.4530000000000001</c:v>
                </c:pt>
                <c:pt idx="51">
                  <c:v>1.4670000000000001</c:v>
                </c:pt>
                <c:pt idx="52">
                  <c:v>1.4630000000000001</c:v>
                </c:pt>
                <c:pt idx="53">
                  <c:v>1.4689999999999999</c:v>
                </c:pt>
                <c:pt idx="54">
                  <c:v>1.486</c:v>
                </c:pt>
                <c:pt idx="55">
                  <c:v>1.488</c:v>
                </c:pt>
                <c:pt idx="56">
                  <c:v>1.5049999999999999</c:v>
                </c:pt>
                <c:pt idx="57">
                  <c:v>1.5270000000000001</c:v>
                </c:pt>
                <c:pt idx="58">
                  <c:v>1.5110000000000001</c:v>
                </c:pt>
                <c:pt idx="59">
                  <c:v>1.4950000000000001</c:v>
                </c:pt>
                <c:pt idx="60">
                  <c:v>1.524</c:v>
                </c:pt>
                <c:pt idx="61">
                  <c:v>1.526</c:v>
                </c:pt>
                <c:pt idx="62">
                  <c:v>1.5230000000000001</c:v>
                </c:pt>
                <c:pt idx="63">
                  <c:v>1.5049999999999999</c:v>
                </c:pt>
                <c:pt idx="64">
                  <c:v>1.5</c:v>
                </c:pt>
              </c:numCache>
            </c:numRef>
          </c:val>
          <c:smooth val="0"/>
          <c:extLst xmlns:c16r2="http://schemas.microsoft.com/office/drawing/2015/06/chart">
            <c:ext xmlns:c16="http://schemas.microsoft.com/office/drawing/2014/chart" uri="{C3380CC4-5D6E-409C-BE32-E72D297353CC}">
              <c16:uniqueId val="{00000001-8857-0645-BDA0-694B01D73449}"/>
            </c:ext>
          </c:extLst>
        </c:ser>
        <c:ser>
          <c:idx val="2"/>
          <c:order val="2"/>
          <c:tx>
            <c:strRef>
              <c:f>'10 Year Bond Yield'!$D$1</c:f>
              <c:strCache>
                <c:ptCount val="1"/>
                <c:pt idx="0">
                  <c:v>US</c:v>
                </c:pt>
              </c:strCache>
            </c:strRef>
          </c:tx>
          <c:spPr>
            <a:ln w="28575" cap="rnd">
              <a:solidFill>
                <a:schemeClr val="accent3"/>
              </a:solidFill>
              <a:round/>
            </a:ln>
            <a:effectLst/>
          </c:spPr>
          <c:marker>
            <c:symbol val="none"/>
          </c:marker>
          <c:cat>
            <c:numRef>
              <c:f>'10 Year Bond Yield'!$A$1957:$A$2021</c:f>
              <c:numCache>
                <c:formatCode>[$-409]mmm\-yy;@</c:formatCode>
                <c:ptCount val="65"/>
                <c:pt idx="0">
                  <c:v>43283</c:v>
                </c:pt>
                <c:pt idx="1">
                  <c:v>43284</c:v>
                </c:pt>
                <c:pt idx="2">
                  <c:v>43285</c:v>
                </c:pt>
                <c:pt idx="3">
                  <c:v>43286</c:v>
                </c:pt>
                <c:pt idx="4">
                  <c:v>43287</c:v>
                </c:pt>
                <c:pt idx="5">
                  <c:v>43290</c:v>
                </c:pt>
                <c:pt idx="6">
                  <c:v>43291</c:v>
                </c:pt>
                <c:pt idx="7">
                  <c:v>43292</c:v>
                </c:pt>
                <c:pt idx="8">
                  <c:v>43293</c:v>
                </c:pt>
                <c:pt idx="9">
                  <c:v>43294</c:v>
                </c:pt>
                <c:pt idx="10">
                  <c:v>43297</c:v>
                </c:pt>
                <c:pt idx="11">
                  <c:v>43298</c:v>
                </c:pt>
                <c:pt idx="12">
                  <c:v>43299</c:v>
                </c:pt>
                <c:pt idx="13">
                  <c:v>43300</c:v>
                </c:pt>
                <c:pt idx="14">
                  <c:v>43301</c:v>
                </c:pt>
                <c:pt idx="15">
                  <c:v>43304</c:v>
                </c:pt>
                <c:pt idx="16">
                  <c:v>43305</c:v>
                </c:pt>
                <c:pt idx="17">
                  <c:v>43306</c:v>
                </c:pt>
                <c:pt idx="18">
                  <c:v>43307</c:v>
                </c:pt>
                <c:pt idx="19">
                  <c:v>43308</c:v>
                </c:pt>
                <c:pt idx="20">
                  <c:v>43311</c:v>
                </c:pt>
                <c:pt idx="21">
                  <c:v>43312</c:v>
                </c:pt>
                <c:pt idx="22">
                  <c:v>43313</c:v>
                </c:pt>
                <c:pt idx="23">
                  <c:v>43314</c:v>
                </c:pt>
                <c:pt idx="24">
                  <c:v>43315</c:v>
                </c:pt>
                <c:pt idx="25">
                  <c:v>43318</c:v>
                </c:pt>
                <c:pt idx="26">
                  <c:v>43319</c:v>
                </c:pt>
                <c:pt idx="27">
                  <c:v>43320</c:v>
                </c:pt>
                <c:pt idx="28">
                  <c:v>43321</c:v>
                </c:pt>
                <c:pt idx="29">
                  <c:v>43322</c:v>
                </c:pt>
                <c:pt idx="30">
                  <c:v>43325</c:v>
                </c:pt>
                <c:pt idx="31">
                  <c:v>43326</c:v>
                </c:pt>
                <c:pt idx="32">
                  <c:v>43327</c:v>
                </c:pt>
                <c:pt idx="33">
                  <c:v>43328</c:v>
                </c:pt>
                <c:pt idx="34">
                  <c:v>43329</c:v>
                </c:pt>
                <c:pt idx="35">
                  <c:v>43332</c:v>
                </c:pt>
                <c:pt idx="36">
                  <c:v>43333</c:v>
                </c:pt>
                <c:pt idx="37">
                  <c:v>43334</c:v>
                </c:pt>
                <c:pt idx="38">
                  <c:v>43335</c:v>
                </c:pt>
                <c:pt idx="39">
                  <c:v>43336</c:v>
                </c:pt>
                <c:pt idx="40">
                  <c:v>43339</c:v>
                </c:pt>
                <c:pt idx="41">
                  <c:v>43340</c:v>
                </c:pt>
                <c:pt idx="42">
                  <c:v>43341</c:v>
                </c:pt>
                <c:pt idx="43">
                  <c:v>43342</c:v>
                </c:pt>
                <c:pt idx="44">
                  <c:v>43343</c:v>
                </c:pt>
                <c:pt idx="45">
                  <c:v>43346</c:v>
                </c:pt>
                <c:pt idx="46">
                  <c:v>43347</c:v>
                </c:pt>
                <c:pt idx="47">
                  <c:v>43348</c:v>
                </c:pt>
                <c:pt idx="48">
                  <c:v>43349</c:v>
                </c:pt>
                <c:pt idx="49">
                  <c:v>43350</c:v>
                </c:pt>
                <c:pt idx="50">
                  <c:v>43353</c:v>
                </c:pt>
                <c:pt idx="51">
                  <c:v>43354</c:v>
                </c:pt>
                <c:pt idx="52">
                  <c:v>43355</c:v>
                </c:pt>
                <c:pt idx="53">
                  <c:v>43356</c:v>
                </c:pt>
                <c:pt idx="54">
                  <c:v>43357</c:v>
                </c:pt>
                <c:pt idx="55">
                  <c:v>43360</c:v>
                </c:pt>
                <c:pt idx="56">
                  <c:v>43361</c:v>
                </c:pt>
                <c:pt idx="57">
                  <c:v>43362</c:v>
                </c:pt>
                <c:pt idx="58">
                  <c:v>43363</c:v>
                </c:pt>
                <c:pt idx="59">
                  <c:v>43364</c:v>
                </c:pt>
                <c:pt idx="60">
                  <c:v>43367</c:v>
                </c:pt>
                <c:pt idx="61">
                  <c:v>43368</c:v>
                </c:pt>
                <c:pt idx="62">
                  <c:v>43369</c:v>
                </c:pt>
                <c:pt idx="63">
                  <c:v>43370</c:v>
                </c:pt>
                <c:pt idx="64">
                  <c:v>43371</c:v>
                </c:pt>
              </c:numCache>
            </c:numRef>
          </c:cat>
          <c:val>
            <c:numRef>
              <c:f>'10 Year Bond Yield'!$D$1957:$D$2021</c:f>
              <c:numCache>
                <c:formatCode>0.00</c:formatCode>
                <c:ptCount val="65"/>
                <c:pt idx="0">
                  <c:v>2.8711000000000002</c:v>
                </c:pt>
                <c:pt idx="1">
                  <c:v>2.8308999999999997</c:v>
                </c:pt>
                <c:pt idx="2">
                  <c:v>2.8308999999999997</c:v>
                </c:pt>
                <c:pt idx="3">
                  <c:v>2.8290999999999999</c:v>
                </c:pt>
                <c:pt idx="4">
                  <c:v>2.8216999999999999</c:v>
                </c:pt>
                <c:pt idx="5">
                  <c:v>2.8563999999999998</c:v>
                </c:pt>
                <c:pt idx="6">
                  <c:v>2.8491</c:v>
                </c:pt>
                <c:pt idx="7">
                  <c:v>2.8491</c:v>
                </c:pt>
                <c:pt idx="8">
                  <c:v>2.8454000000000002</c:v>
                </c:pt>
                <c:pt idx="9">
                  <c:v>2.8270999999999997</c:v>
                </c:pt>
                <c:pt idx="10">
                  <c:v>2.8582000000000001</c:v>
                </c:pt>
                <c:pt idx="11">
                  <c:v>2.86</c:v>
                </c:pt>
                <c:pt idx="12">
                  <c:v>2.8692000000000002</c:v>
                </c:pt>
                <c:pt idx="13">
                  <c:v>2.8380000000000001</c:v>
                </c:pt>
                <c:pt idx="14">
                  <c:v>2.8931</c:v>
                </c:pt>
                <c:pt idx="15">
                  <c:v>2.9540999999999999</c:v>
                </c:pt>
                <c:pt idx="16">
                  <c:v>2.9485999999999999</c:v>
                </c:pt>
                <c:pt idx="17">
                  <c:v>2.9746000000000001</c:v>
                </c:pt>
                <c:pt idx="18">
                  <c:v>2.9763999999999999</c:v>
                </c:pt>
                <c:pt idx="19">
                  <c:v>2.9542000000000002</c:v>
                </c:pt>
                <c:pt idx="20">
                  <c:v>2.9727999999999999</c:v>
                </c:pt>
                <c:pt idx="21">
                  <c:v>2.9598</c:v>
                </c:pt>
                <c:pt idx="22">
                  <c:v>3.0064000000000002</c:v>
                </c:pt>
                <c:pt idx="23">
                  <c:v>2.9859</c:v>
                </c:pt>
                <c:pt idx="24">
                  <c:v>2.9487999999999999</c:v>
                </c:pt>
                <c:pt idx="25">
                  <c:v>2.9394999999999998</c:v>
                </c:pt>
                <c:pt idx="26">
                  <c:v>2.9729999999999999</c:v>
                </c:pt>
                <c:pt idx="27">
                  <c:v>2.96</c:v>
                </c:pt>
                <c:pt idx="28">
                  <c:v>2.9257999999999997</c:v>
                </c:pt>
                <c:pt idx="29">
                  <c:v>2.8731999999999998</c:v>
                </c:pt>
                <c:pt idx="30">
                  <c:v>2.8786</c:v>
                </c:pt>
                <c:pt idx="31">
                  <c:v>2.8984999999999999</c:v>
                </c:pt>
                <c:pt idx="32">
                  <c:v>2.8622999999999998</c:v>
                </c:pt>
                <c:pt idx="33">
                  <c:v>2.8658999999999999</c:v>
                </c:pt>
                <c:pt idx="34">
                  <c:v>2.8605</c:v>
                </c:pt>
                <c:pt idx="35">
                  <c:v>2.819</c:v>
                </c:pt>
                <c:pt idx="36">
                  <c:v>2.8298000000000001</c:v>
                </c:pt>
                <c:pt idx="37">
                  <c:v>2.8189000000000002</c:v>
                </c:pt>
                <c:pt idx="38">
                  <c:v>2.8260999999999998</c:v>
                </c:pt>
                <c:pt idx="39">
                  <c:v>2.8098000000000001</c:v>
                </c:pt>
                <c:pt idx="40">
                  <c:v>2.8458999999999999</c:v>
                </c:pt>
                <c:pt idx="41">
                  <c:v>2.8803999999999998</c:v>
                </c:pt>
                <c:pt idx="42">
                  <c:v>2.8839999999999999</c:v>
                </c:pt>
                <c:pt idx="43">
                  <c:v>2.855</c:v>
                </c:pt>
                <c:pt idx="44">
                  <c:v>2.8604000000000003</c:v>
                </c:pt>
                <c:pt idx="45">
                  <c:v>2.8604000000000003</c:v>
                </c:pt>
                <c:pt idx="46">
                  <c:v>2.8984999999999999</c:v>
                </c:pt>
                <c:pt idx="47">
                  <c:v>2.9022000000000001</c:v>
                </c:pt>
                <c:pt idx="48">
                  <c:v>2.8731</c:v>
                </c:pt>
                <c:pt idx="49">
                  <c:v>2.9388000000000001</c:v>
                </c:pt>
                <c:pt idx="50">
                  <c:v>2.9314</c:v>
                </c:pt>
                <c:pt idx="51">
                  <c:v>2.9755000000000003</c:v>
                </c:pt>
                <c:pt idx="52">
                  <c:v>2.9626000000000001</c:v>
                </c:pt>
                <c:pt idx="53">
                  <c:v>2.9699999999999998</c:v>
                </c:pt>
                <c:pt idx="54">
                  <c:v>2.9958999999999998</c:v>
                </c:pt>
                <c:pt idx="55">
                  <c:v>2.9866999999999999</c:v>
                </c:pt>
                <c:pt idx="56">
                  <c:v>3.0550999999999999</c:v>
                </c:pt>
                <c:pt idx="57">
                  <c:v>3.0626000000000002</c:v>
                </c:pt>
                <c:pt idx="58">
                  <c:v>3.0626000000000002</c:v>
                </c:pt>
                <c:pt idx="59">
                  <c:v>3.0628000000000002</c:v>
                </c:pt>
                <c:pt idx="60">
                  <c:v>3.0889000000000002</c:v>
                </c:pt>
                <c:pt idx="61">
                  <c:v>3.0964</c:v>
                </c:pt>
                <c:pt idx="62">
                  <c:v>3.048</c:v>
                </c:pt>
                <c:pt idx="63">
                  <c:v>3.0518000000000001</c:v>
                </c:pt>
                <c:pt idx="64">
                  <c:v>3.0611999999999999</c:v>
                </c:pt>
              </c:numCache>
            </c:numRef>
          </c:val>
          <c:smooth val="0"/>
          <c:extLst xmlns:c16r2="http://schemas.microsoft.com/office/drawing/2015/06/chart">
            <c:ext xmlns:c16="http://schemas.microsoft.com/office/drawing/2014/chart" uri="{C3380CC4-5D6E-409C-BE32-E72D297353CC}">
              <c16:uniqueId val="{00000002-8857-0645-BDA0-694B01D73449}"/>
            </c:ext>
          </c:extLst>
        </c:ser>
        <c:ser>
          <c:idx val="3"/>
          <c:order val="3"/>
          <c:tx>
            <c:strRef>
              <c:f>'10 Year Bond Yield'!$E$1</c:f>
              <c:strCache>
                <c:ptCount val="1"/>
                <c:pt idx="0">
                  <c:v>UK</c:v>
                </c:pt>
              </c:strCache>
            </c:strRef>
          </c:tx>
          <c:spPr>
            <a:ln w="28575" cap="rnd">
              <a:solidFill>
                <a:schemeClr val="accent4"/>
              </a:solidFill>
              <a:round/>
            </a:ln>
            <a:effectLst/>
          </c:spPr>
          <c:marker>
            <c:symbol val="none"/>
          </c:marker>
          <c:cat>
            <c:numRef>
              <c:f>'10 Year Bond Yield'!$A$1957:$A$2021</c:f>
              <c:numCache>
                <c:formatCode>[$-409]mmm\-yy;@</c:formatCode>
                <c:ptCount val="65"/>
                <c:pt idx="0">
                  <c:v>43283</c:v>
                </c:pt>
                <c:pt idx="1">
                  <c:v>43284</c:v>
                </c:pt>
                <c:pt idx="2">
                  <c:v>43285</c:v>
                </c:pt>
                <c:pt idx="3">
                  <c:v>43286</c:v>
                </c:pt>
                <c:pt idx="4">
                  <c:v>43287</c:v>
                </c:pt>
                <c:pt idx="5">
                  <c:v>43290</c:v>
                </c:pt>
                <c:pt idx="6">
                  <c:v>43291</c:v>
                </c:pt>
                <c:pt idx="7">
                  <c:v>43292</c:v>
                </c:pt>
                <c:pt idx="8">
                  <c:v>43293</c:v>
                </c:pt>
                <c:pt idx="9">
                  <c:v>43294</c:v>
                </c:pt>
                <c:pt idx="10">
                  <c:v>43297</c:v>
                </c:pt>
                <c:pt idx="11">
                  <c:v>43298</c:v>
                </c:pt>
                <c:pt idx="12">
                  <c:v>43299</c:v>
                </c:pt>
                <c:pt idx="13">
                  <c:v>43300</c:v>
                </c:pt>
                <c:pt idx="14">
                  <c:v>43301</c:v>
                </c:pt>
                <c:pt idx="15">
                  <c:v>43304</c:v>
                </c:pt>
                <c:pt idx="16">
                  <c:v>43305</c:v>
                </c:pt>
                <c:pt idx="17">
                  <c:v>43306</c:v>
                </c:pt>
                <c:pt idx="18">
                  <c:v>43307</c:v>
                </c:pt>
                <c:pt idx="19">
                  <c:v>43308</c:v>
                </c:pt>
                <c:pt idx="20">
                  <c:v>43311</c:v>
                </c:pt>
                <c:pt idx="21">
                  <c:v>43312</c:v>
                </c:pt>
                <c:pt idx="22">
                  <c:v>43313</c:v>
                </c:pt>
                <c:pt idx="23">
                  <c:v>43314</c:v>
                </c:pt>
                <c:pt idx="24">
                  <c:v>43315</c:v>
                </c:pt>
                <c:pt idx="25">
                  <c:v>43318</c:v>
                </c:pt>
                <c:pt idx="26">
                  <c:v>43319</c:v>
                </c:pt>
                <c:pt idx="27">
                  <c:v>43320</c:v>
                </c:pt>
                <c:pt idx="28">
                  <c:v>43321</c:v>
                </c:pt>
                <c:pt idx="29">
                  <c:v>43322</c:v>
                </c:pt>
                <c:pt idx="30">
                  <c:v>43325</c:v>
                </c:pt>
                <c:pt idx="31">
                  <c:v>43326</c:v>
                </c:pt>
                <c:pt idx="32">
                  <c:v>43327</c:v>
                </c:pt>
                <c:pt idx="33">
                  <c:v>43328</c:v>
                </c:pt>
                <c:pt idx="34">
                  <c:v>43329</c:v>
                </c:pt>
                <c:pt idx="35">
                  <c:v>43332</c:v>
                </c:pt>
                <c:pt idx="36">
                  <c:v>43333</c:v>
                </c:pt>
                <c:pt idx="37">
                  <c:v>43334</c:v>
                </c:pt>
                <c:pt idx="38">
                  <c:v>43335</c:v>
                </c:pt>
                <c:pt idx="39">
                  <c:v>43336</c:v>
                </c:pt>
                <c:pt idx="40">
                  <c:v>43339</c:v>
                </c:pt>
                <c:pt idx="41">
                  <c:v>43340</c:v>
                </c:pt>
                <c:pt idx="42">
                  <c:v>43341</c:v>
                </c:pt>
                <c:pt idx="43">
                  <c:v>43342</c:v>
                </c:pt>
                <c:pt idx="44">
                  <c:v>43343</c:v>
                </c:pt>
                <c:pt idx="45">
                  <c:v>43346</c:v>
                </c:pt>
                <c:pt idx="46">
                  <c:v>43347</c:v>
                </c:pt>
                <c:pt idx="47">
                  <c:v>43348</c:v>
                </c:pt>
                <c:pt idx="48">
                  <c:v>43349</c:v>
                </c:pt>
                <c:pt idx="49">
                  <c:v>43350</c:v>
                </c:pt>
                <c:pt idx="50">
                  <c:v>43353</c:v>
                </c:pt>
                <c:pt idx="51">
                  <c:v>43354</c:v>
                </c:pt>
                <c:pt idx="52">
                  <c:v>43355</c:v>
                </c:pt>
                <c:pt idx="53">
                  <c:v>43356</c:v>
                </c:pt>
                <c:pt idx="54">
                  <c:v>43357</c:v>
                </c:pt>
                <c:pt idx="55">
                  <c:v>43360</c:v>
                </c:pt>
                <c:pt idx="56">
                  <c:v>43361</c:v>
                </c:pt>
                <c:pt idx="57">
                  <c:v>43362</c:v>
                </c:pt>
                <c:pt idx="58">
                  <c:v>43363</c:v>
                </c:pt>
                <c:pt idx="59">
                  <c:v>43364</c:v>
                </c:pt>
                <c:pt idx="60">
                  <c:v>43367</c:v>
                </c:pt>
                <c:pt idx="61">
                  <c:v>43368</c:v>
                </c:pt>
                <c:pt idx="62">
                  <c:v>43369</c:v>
                </c:pt>
                <c:pt idx="63">
                  <c:v>43370</c:v>
                </c:pt>
                <c:pt idx="64">
                  <c:v>43371</c:v>
                </c:pt>
              </c:numCache>
            </c:numRef>
          </c:cat>
          <c:val>
            <c:numRef>
              <c:f>'10 Year Bond Yield'!$E$1957:$E$2021</c:f>
              <c:numCache>
                <c:formatCode>0.00</c:formatCode>
                <c:ptCount val="65"/>
                <c:pt idx="0">
                  <c:v>1.2549999999999999</c:v>
                </c:pt>
                <c:pt idx="1">
                  <c:v>1.2429999999999999</c:v>
                </c:pt>
                <c:pt idx="2">
                  <c:v>1.2770000000000001</c:v>
                </c:pt>
                <c:pt idx="3">
                  <c:v>1.258</c:v>
                </c:pt>
                <c:pt idx="4">
                  <c:v>1.2669999999999999</c:v>
                </c:pt>
                <c:pt idx="5">
                  <c:v>1.252</c:v>
                </c:pt>
                <c:pt idx="6">
                  <c:v>1.302</c:v>
                </c:pt>
                <c:pt idx="7">
                  <c:v>1.294</c:v>
                </c:pt>
                <c:pt idx="8">
                  <c:v>1.282</c:v>
                </c:pt>
                <c:pt idx="9">
                  <c:v>1.2730000000000001</c:v>
                </c:pt>
                <c:pt idx="10">
                  <c:v>1.28</c:v>
                </c:pt>
                <c:pt idx="11">
                  <c:v>1.258</c:v>
                </c:pt>
                <c:pt idx="12">
                  <c:v>1.226</c:v>
                </c:pt>
                <c:pt idx="13">
                  <c:v>1.1850000000000001</c:v>
                </c:pt>
                <c:pt idx="14">
                  <c:v>1.232</c:v>
                </c:pt>
                <c:pt idx="15">
                  <c:v>1.272</c:v>
                </c:pt>
                <c:pt idx="16">
                  <c:v>1.276</c:v>
                </c:pt>
                <c:pt idx="17">
                  <c:v>1.274</c:v>
                </c:pt>
                <c:pt idx="18">
                  <c:v>1.278</c:v>
                </c:pt>
                <c:pt idx="19">
                  <c:v>1.28</c:v>
                </c:pt>
                <c:pt idx="20">
                  <c:v>1.343</c:v>
                </c:pt>
                <c:pt idx="21">
                  <c:v>1.33</c:v>
                </c:pt>
                <c:pt idx="22">
                  <c:v>1.38</c:v>
                </c:pt>
                <c:pt idx="23">
                  <c:v>1.377</c:v>
                </c:pt>
                <c:pt idx="24">
                  <c:v>1.329</c:v>
                </c:pt>
                <c:pt idx="25">
                  <c:v>1.304</c:v>
                </c:pt>
                <c:pt idx="26">
                  <c:v>1.325</c:v>
                </c:pt>
                <c:pt idx="27">
                  <c:v>1.3129999999999999</c:v>
                </c:pt>
                <c:pt idx="28">
                  <c:v>1.296</c:v>
                </c:pt>
                <c:pt idx="29">
                  <c:v>1.242</c:v>
                </c:pt>
                <c:pt idx="30">
                  <c:v>1.252</c:v>
                </c:pt>
                <c:pt idx="31">
                  <c:v>1.2629999999999999</c:v>
                </c:pt>
                <c:pt idx="32">
                  <c:v>1.2250000000000001</c:v>
                </c:pt>
                <c:pt idx="33">
                  <c:v>1.24</c:v>
                </c:pt>
                <c:pt idx="34">
                  <c:v>1.236</c:v>
                </c:pt>
                <c:pt idx="35">
                  <c:v>1.2230000000000001</c:v>
                </c:pt>
                <c:pt idx="36">
                  <c:v>1.2669999999999999</c:v>
                </c:pt>
                <c:pt idx="37">
                  <c:v>1.272</c:v>
                </c:pt>
                <c:pt idx="38">
                  <c:v>1.27</c:v>
                </c:pt>
                <c:pt idx="39">
                  <c:v>1.278</c:v>
                </c:pt>
                <c:pt idx="40">
                  <c:v>1.278</c:v>
                </c:pt>
                <c:pt idx="41">
                  <c:v>1.452</c:v>
                </c:pt>
                <c:pt idx="42">
                  <c:v>1.4889999999999999</c:v>
                </c:pt>
                <c:pt idx="43">
                  <c:v>1.4550000000000001</c:v>
                </c:pt>
                <c:pt idx="44">
                  <c:v>1.427</c:v>
                </c:pt>
                <c:pt idx="45">
                  <c:v>1.4039999999999999</c:v>
                </c:pt>
                <c:pt idx="46">
                  <c:v>1.429</c:v>
                </c:pt>
                <c:pt idx="47">
                  <c:v>1.4419999999999999</c:v>
                </c:pt>
                <c:pt idx="48">
                  <c:v>1.4159999999999999</c:v>
                </c:pt>
                <c:pt idx="49">
                  <c:v>1.4590000000000001</c:v>
                </c:pt>
                <c:pt idx="50">
                  <c:v>1.4689999999999999</c:v>
                </c:pt>
                <c:pt idx="51">
                  <c:v>1.5</c:v>
                </c:pt>
                <c:pt idx="52">
                  <c:v>1.484</c:v>
                </c:pt>
                <c:pt idx="53">
                  <c:v>1.504</c:v>
                </c:pt>
                <c:pt idx="54">
                  <c:v>1.53</c:v>
                </c:pt>
                <c:pt idx="55">
                  <c:v>1.536</c:v>
                </c:pt>
                <c:pt idx="56">
                  <c:v>1.5680000000000001</c:v>
                </c:pt>
                <c:pt idx="57">
                  <c:v>1.6080000000000001</c:v>
                </c:pt>
                <c:pt idx="58">
                  <c:v>1.585</c:v>
                </c:pt>
                <c:pt idx="59">
                  <c:v>1.5529999999999999</c:v>
                </c:pt>
                <c:pt idx="60">
                  <c:v>1.613</c:v>
                </c:pt>
                <c:pt idx="61">
                  <c:v>1.6320000000000001</c:v>
                </c:pt>
                <c:pt idx="62">
                  <c:v>1.593</c:v>
                </c:pt>
                <c:pt idx="63">
                  <c:v>1.5979999999999999</c:v>
                </c:pt>
                <c:pt idx="64">
                  <c:v>1.573</c:v>
                </c:pt>
              </c:numCache>
            </c:numRef>
          </c:val>
          <c:smooth val="0"/>
          <c:extLst xmlns:c16r2="http://schemas.microsoft.com/office/drawing/2015/06/chart">
            <c:ext xmlns:c16="http://schemas.microsoft.com/office/drawing/2014/chart" uri="{C3380CC4-5D6E-409C-BE32-E72D297353CC}">
              <c16:uniqueId val="{00000003-8857-0645-BDA0-694B01D73449}"/>
            </c:ext>
          </c:extLst>
        </c:ser>
        <c:ser>
          <c:idx val="4"/>
          <c:order val="4"/>
          <c:tx>
            <c:strRef>
              <c:f>'10 Year Bond Yield'!$F$1</c:f>
              <c:strCache>
                <c:ptCount val="1"/>
                <c:pt idx="0">
                  <c:v>Japan</c:v>
                </c:pt>
              </c:strCache>
            </c:strRef>
          </c:tx>
          <c:spPr>
            <a:ln w="28575" cap="rnd">
              <a:solidFill>
                <a:schemeClr val="accent5"/>
              </a:solidFill>
              <a:round/>
            </a:ln>
            <a:effectLst/>
          </c:spPr>
          <c:marker>
            <c:symbol val="none"/>
          </c:marker>
          <c:cat>
            <c:numRef>
              <c:f>'10 Year Bond Yield'!$A$1957:$A$2021</c:f>
              <c:numCache>
                <c:formatCode>[$-409]mmm\-yy;@</c:formatCode>
                <c:ptCount val="65"/>
                <c:pt idx="0">
                  <c:v>43283</c:v>
                </c:pt>
                <c:pt idx="1">
                  <c:v>43284</c:v>
                </c:pt>
                <c:pt idx="2">
                  <c:v>43285</c:v>
                </c:pt>
                <c:pt idx="3">
                  <c:v>43286</c:v>
                </c:pt>
                <c:pt idx="4">
                  <c:v>43287</c:v>
                </c:pt>
                <c:pt idx="5">
                  <c:v>43290</c:v>
                </c:pt>
                <c:pt idx="6">
                  <c:v>43291</c:v>
                </c:pt>
                <c:pt idx="7">
                  <c:v>43292</c:v>
                </c:pt>
                <c:pt idx="8">
                  <c:v>43293</c:v>
                </c:pt>
                <c:pt idx="9">
                  <c:v>43294</c:v>
                </c:pt>
                <c:pt idx="10">
                  <c:v>43297</c:v>
                </c:pt>
                <c:pt idx="11">
                  <c:v>43298</c:v>
                </c:pt>
                <c:pt idx="12">
                  <c:v>43299</c:v>
                </c:pt>
                <c:pt idx="13">
                  <c:v>43300</c:v>
                </c:pt>
                <c:pt idx="14">
                  <c:v>43301</c:v>
                </c:pt>
                <c:pt idx="15">
                  <c:v>43304</c:v>
                </c:pt>
                <c:pt idx="16">
                  <c:v>43305</c:v>
                </c:pt>
                <c:pt idx="17">
                  <c:v>43306</c:v>
                </c:pt>
                <c:pt idx="18">
                  <c:v>43307</c:v>
                </c:pt>
                <c:pt idx="19">
                  <c:v>43308</c:v>
                </c:pt>
                <c:pt idx="20">
                  <c:v>43311</c:v>
                </c:pt>
                <c:pt idx="21">
                  <c:v>43312</c:v>
                </c:pt>
                <c:pt idx="22">
                  <c:v>43313</c:v>
                </c:pt>
                <c:pt idx="23">
                  <c:v>43314</c:v>
                </c:pt>
                <c:pt idx="24">
                  <c:v>43315</c:v>
                </c:pt>
                <c:pt idx="25">
                  <c:v>43318</c:v>
                </c:pt>
                <c:pt idx="26">
                  <c:v>43319</c:v>
                </c:pt>
                <c:pt idx="27">
                  <c:v>43320</c:v>
                </c:pt>
                <c:pt idx="28">
                  <c:v>43321</c:v>
                </c:pt>
                <c:pt idx="29">
                  <c:v>43322</c:v>
                </c:pt>
                <c:pt idx="30">
                  <c:v>43325</c:v>
                </c:pt>
                <c:pt idx="31">
                  <c:v>43326</c:v>
                </c:pt>
                <c:pt idx="32">
                  <c:v>43327</c:v>
                </c:pt>
                <c:pt idx="33">
                  <c:v>43328</c:v>
                </c:pt>
                <c:pt idx="34">
                  <c:v>43329</c:v>
                </c:pt>
                <c:pt idx="35">
                  <c:v>43332</c:v>
                </c:pt>
                <c:pt idx="36">
                  <c:v>43333</c:v>
                </c:pt>
                <c:pt idx="37">
                  <c:v>43334</c:v>
                </c:pt>
                <c:pt idx="38">
                  <c:v>43335</c:v>
                </c:pt>
                <c:pt idx="39">
                  <c:v>43336</c:v>
                </c:pt>
                <c:pt idx="40">
                  <c:v>43339</c:v>
                </c:pt>
                <c:pt idx="41">
                  <c:v>43340</c:v>
                </c:pt>
                <c:pt idx="42">
                  <c:v>43341</c:v>
                </c:pt>
                <c:pt idx="43">
                  <c:v>43342</c:v>
                </c:pt>
                <c:pt idx="44">
                  <c:v>43343</c:v>
                </c:pt>
                <c:pt idx="45">
                  <c:v>43346</c:v>
                </c:pt>
                <c:pt idx="46">
                  <c:v>43347</c:v>
                </c:pt>
                <c:pt idx="47">
                  <c:v>43348</c:v>
                </c:pt>
                <c:pt idx="48">
                  <c:v>43349</c:v>
                </c:pt>
                <c:pt idx="49">
                  <c:v>43350</c:v>
                </c:pt>
                <c:pt idx="50">
                  <c:v>43353</c:v>
                </c:pt>
                <c:pt idx="51">
                  <c:v>43354</c:v>
                </c:pt>
                <c:pt idx="52">
                  <c:v>43355</c:v>
                </c:pt>
                <c:pt idx="53">
                  <c:v>43356</c:v>
                </c:pt>
                <c:pt idx="54">
                  <c:v>43357</c:v>
                </c:pt>
                <c:pt idx="55">
                  <c:v>43360</c:v>
                </c:pt>
                <c:pt idx="56">
                  <c:v>43361</c:v>
                </c:pt>
                <c:pt idx="57">
                  <c:v>43362</c:v>
                </c:pt>
                <c:pt idx="58">
                  <c:v>43363</c:v>
                </c:pt>
                <c:pt idx="59">
                  <c:v>43364</c:v>
                </c:pt>
                <c:pt idx="60">
                  <c:v>43367</c:v>
                </c:pt>
                <c:pt idx="61">
                  <c:v>43368</c:v>
                </c:pt>
                <c:pt idx="62">
                  <c:v>43369</c:v>
                </c:pt>
                <c:pt idx="63">
                  <c:v>43370</c:v>
                </c:pt>
                <c:pt idx="64">
                  <c:v>43371</c:v>
                </c:pt>
              </c:numCache>
            </c:numRef>
          </c:cat>
          <c:val>
            <c:numRef>
              <c:f>'10 Year Bond Yield'!$F$1957:$F$2021</c:f>
              <c:numCache>
                <c:formatCode>0.00</c:formatCode>
                <c:ptCount val="65"/>
                <c:pt idx="0">
                  <c:v>2.5000000000000001E-2</c:v>
                </c:pt>
                <c:pt idx="1">
                  <c:v>3.3000000000000002E-2</c:v>
                </c:pt>
                <c:pt idx="2">
                  <c:v>2.9000000000000001E-2</c:v>
                </c:pt>
                <c:pt idx="3">
                  <c:v>3.7999999999999999E-2</c:v>
                </c:pt>
                <c:pt idx="4">
                  <c:v>3.3000000000000002E-2</c:v>
                </c:pt>
                <c:pt idx="5">
                  <c:v>0.04</c:v>
                </c:pt>
                <c:pt idx="6">
                  <c:v>4.4999999999999998E-2</c:v>
                </c:pt>
                <c:pt idx="7">
                  <c:v>4.2999999999999997E-2</c:v>
                </c:pt>
                <c:pt idx="8">
                  <c:v>0.04</c:v>
                </c:pt>
                <c:pt idx="9">
                  <c:v>0.04</c:v>
                </c:pt>
                <c:pt idx="10">
                  <c:v>0.04</c:v>
                </c:pt>
                <c:pt idx="11">
                  <c:v>4.2999999999999997E-2</c:v>
                </c:pt>
                <c:pt idx="12">
                  <c:v>4.4999999999999998E-2</c:v>
                </c:pt>
                <c:pt idx="13">
                  <c:v>4.2000000000000003E-2</c:v>
                </c:pt>
                <c:pt idx="14">
                  <c:v>3.5000000000000003E-2</c:v>
                </c:pt>
                <c:pt idx="15">
                  <c:v>8.5999999999999993E-2</c:v>
                </c:pt>
                <c:pt idx="16">
                  <c:v>8.5999999999999993E-2</c:v>
                </c:pt>
                <c:pt idx="17">
                  <c:v>7.3999999999999996E-2</c:v>
                </c:pt>
                <c:pt idx="18">
                  <c:v>9.4E-2</c:v>
                </c:pt>
                <c:pt idx="19">
                  <c:v>0.104</c:v>
                </c:pt>
                <c:pt idx="20">
                  <c:v>0.10199999999999999</c:v>
                </c:pt>
                <c:pt idx="21">
                  <c:v>6.2E-2</c:v>
                </c:pt>
                <c:pt idx="22">
                  <c:v>0.13100000000000001</c:v>
                </c:pt>
                <c:pt idx="23">
                  <c:v>0.126</c:v>
                </c:pt>
                <c:pt idx="24">
                  <c:v>0.11</c:v>
                </c:pt>
                <c:pt idx="25">
                  <c:v>0.11</c:v>
                </c:pt>
                <c:pt idx="26">
                  <c:v>0.11600000000000001</c:v>
                </c:pt>
                <c:pt idx="27">
                  <c:v>0.113</c:v>
                </c:pt>
                <c:pt idx="28">
                  <c:v>0.115</c:v>
                </c:pt>
                <c:pt idx="29">
                  <c:v>0.10100000000000001</c:v>
                </c:pt>
                <c:pt idx="30">
                  <c:v>0.10100000000000001</c:v>
                </c:pt>
                <c:pt idx="31">
                  <c:v>0.112</c:v>
                </c:pt>
                <c:pt idx="32">
                  <c:v>0.10100000000000001</c:v>
                </c:pt>
                <c:pt idx="33">
                  <c:v>0.10199999999999999</c:v>
                </c:pt>
                <c:pt idx="34">
                  <c:v>9.8000000000000004E-2</c:v>
                </c:pt>
                <c:pt idx="35">
                  <c:v>0.104</c:v>
                </c:pt>
                <c:pt idx="36">
                  <c:v>8.5999999999999993E-2</c:v>
                </c:pt>
                <c:pt idx="37">
                  <c:v>9.9000000000000005E-2</c:v>
                </c:pt>
                <c:pt idx="38">
                  <c:v>0.1</c:v>
                </c:pt>
                <c:pt idx="39">
                  <c:v>0.10100000000000001</c:v>
                </c:pt>
                <c:pt idx="40">
                  <c:v>9.7000000000000003E-2</c:v>
                </c:pt>
                <c:pt idx="41">
                  <c:v>9.8000000000000004E-2</c:v>
                </c:pt>
                <c:pt idx="42">
                  <c:v>0.10299999999999999</c:v>
                </c:pt>
                <c:pt idx="43">
                  <c:v>0.111</c:v>
                </c:pt>
                <c:pt idx="44">
                  <c:v>0.107</c:v>
                </c:pt>
                <c:pt idx="45">
                  <c:v>0.11799999999999999</c:v>
                </c:pt>
                <c:pt idx="46">
                  <c:v>0.123</c:v>
                </c:pt>
                <c:pt idx="47">
                  <c:v>0.115</c:v>
                </c:pt>
                <c:pt idx="48">
                  <c:v>0.111</c:v>
                </c:pt>
                <c:pt idx="49">
                  <c:v>0.113</c:v>
                </c:pt>
                <c:pt idx="50">
                  <c:v>0.11799999999999999</c:v>
                </c:pt>
                <c:pt idx="51">
                  <c:v>0.115</c:v>
                </c:pt>
                <c:pt idx="52">
                  <c:v>0.113</c:v>
                </c:pt>
                <c:pt idx="53">
                  <c:v>0.112</c:v>
                </c:pt>
                <c:pt idx="54">
                  <c:v>0.11799999999999999</c:v>
                </c:pt>
                <c:pt idx="55">
                  <c:v>0.11799999999999999</c:v>
                </c:pt>
                <c:pt idx="56">
                  <c:v>0.11700000000000001</c:v>
                </c:pt>
                <c:pt idx="57">
                  <c:v>0.124</c:v>
                </c:pt>
                <c:pt idx="58">
                  <c:v>0.123</c:v>
                </c:pt>
                <c:pt idx="59">
                  <c:v>0.13300000000000001</c:v>
                </c:pt>
                <c:pt idx="60">
                  <c:v>0.13300000000000001</c:v>
                </c:pt>
                <c:pt idx="61">
                  <c:v>0.13300000000000001</c:v>
                </c:pt>
                <c:pt idx="62">
                  <c:v>0.126</c:v>
                </c:pt>
                <c:pt idx="63">
                  <c:v>0.12</c:v>
                </c:pt>
                <c:pt idx="64">
                  <c:v>0.13</c:v>
                </c:pt>
              </c:numCache>
            </c:numRef>
          </c:val>
          <c:smooth val="0"/>
          <c:extLst xmlns:c16r2="http://schemas.microsoft.com/office/drawing/2015/06/chart">
            <c:ext xmlns:c16="http://schemas.microsoft.com/office/drawing/2014/chart" uri="{C3380CC4-5D6E-409C-BE32-E72D297353CC}">
              <c16:uniqueId val="{00000004-8857-0645-BDA0-694B01D73449}"/>
            </c:ext>
          </c:extLst>
        </c:ser>
        <c:dLbls>
          <c:showLegendKey val="0"/>
          <c:showVal val="0"/>
          <c:showCatName val="0"/>
          <c:showSerName val="0"/>
          <c:showPercent val="0"/>
          <c:showBubbleSize val="0"/>
        </c:dLbls>
        <c:smooth val="0"/>
        <c:axId val="491534744"/>
        <c:axId val="491528080"/>
      </c:lineChart>
      <c:dateAx>
        <c:axId val="491534744"/>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28080"/>
        <c:crosses val="autoZero"/>
        <c:auto val="1"/>
        <c:lblOffset val="100"/>
        <c:baseTimeUnit val="days"/>
        <c:majorUnit val="1"/>
        <c:majorTimeUnit val="months"/>
      </c:dateAx>
      <c:valAx>
        <c:axId val="491528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34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'10 Year Bond Yield'!$G$1</c:f>
              <c:strCache>
                <c:ptCount val="1"/>
                <c:pt idx="0">
                  <c:v>India</c:v>
                </c:pt>
              </c:strCache>
            </c:strRef>
          </c:tx>
          <c:spPr>
            <a:ln w="28575" cap="rnd">
              <a:solidFill>
                <a:schemeClr val="accent1"/>
              </a:solidFill>
              <a:round/>
            </a:ln>
            <a:effectLst/>
          </c:spPr>
          <c:marker>
            <c:symbol val="none"/>
          </c:marker>
          <c:cat>
            <c:numRef>
              <c:f>'10 Year Bond Yield'!$A$1957:$A$2021</c:f>
              <c:numCache>
                <c:formatCode>[$-409]mmm\-yy;@</c:formatCode>
                <c:ptCount val="65"/>
                <c:pt idx="0">
                  <c:v>43283</c:v>
                </c:pt>
                <c:pt idx="1">
                  <c:v>43284</c:v>
                </c:pt>
                <c:pt idx="2">
                  <c:v>43285</c:v>
                </c:pt>
                <c:pt idx="3">
                  <c:v>43286</c:v>
                </c:pt>
                <c:pt idx="4">
                  <c:v>43287</c:v>
                </c:pt>
                <c:pt idx="5">
                  <c:v>43290</c:v>
                </c:pt>
                <c:pt idx="6">
                  <c:v>43291</c:v>
                </c:pt>
                <c:pt idx="7">
                  <c:v>43292</c:v>
                </c:pt>
                <c:pt idx="8">
                  <c:v>43293</c:v>
                </c:pt>
                <c:pt idx="9">
                  <c:v>43294</c:v>
                </c:pt>
                <c:pt idx="10">
                  <c:v>43297</c:v>
                </c:pt>
                <c:pt idx="11">
                  <c:v>43298</c:v>
                </c:pt>
                <c:pt idx="12">
                  <c:v>43299</c:v>
                </c:pt>
                <c:pt idx="13">
                  <c:v>43300</c:v>
                </c:pt>
                <c:pt idx="14">
                  <c:v>43301</c:v>
                </c:pt>
                <c:pt idx="15">
                  <c:v>43304</c:v>
                </c:pt>
                <c:pt idx="16">
                  <c:v>43305</c:v>
                </c:pt>
                <c:pt idx="17">
                  <c:v>43306</c:v>
                </c:pt>
                <c:pt idx="18">
                  <c:v>43307</c:v>
                </c:pt>
                <c:pt idx="19">
                  <c:v>43308</c:v>
                </c:pt>
                <c:pt idx="20">
                  <c:v>43311</c:v>
                </c:pt>
                <c:pt idx="21">
                  <c:v>43312</c:v>
                </c:pt>
                <c:pt idx="22">
                  <c:v>43313</c:v>
                </c:pt>
                <c:pt idx="23">
                  <c:v>43314</c:v>
                </c:pt>
                <c:pt idx="24">
                  <c:v>43315</c:v>
                </c:pt>
                <c:pt idx="25">
                  <c:v>43318</c:v>
                </c:pt>
                <c:pt idx="26">
                  <c:v>43319</c:v>
                </c:pt>
                <c:pt idx="27">
                  <c:v>43320</c:v>
                </c:pt>
                <c:pt idx="28">
                  <c:v>43321</c:v>
                </c:pt>
                <c:pt idx="29">
                  <c:v>43322</c:v>
                </c:pt>
                <c:pt idx="30">
                  <c:v>43325</c:v>
                </c:pt>
                <c:pt idx="31">
                  <c:v>43326</c:v>
                </c:pt>
                <c:pt idx="32">
                  <c:v>43327</c:v>
                </c:pt>
                <c:pt idx="33">
                  <c:v>43328</c:v>
                </c:pt>
                <c:pt idx="34">
                  <c:v>43329</c:v>
                </c:pt>
                <c:pt idx="35">
                  <c:v>43332</c:v>
                </c:pt>
                <c:pt idx="36">
                  <c:v>43333</c:v>
                </c:pt>
                <c:pt idx="37">
                  <c:v>43334</c:v>
                </c:pt>
                <c:pt idx="38">
                  <c:v>43335</c:v>
                </c:pt>
                <c:pt idx="39">
                  <c:v>43336</c:v>
                </c:pt>
                <c:pt idx="40">
                  <c:v>43339</c:v>
                </c:pt>
                <c:pt idx="41">
                  <c:v>43340</c:v>
                </c:pt>
                <c:pt idx="42">
                  <c:v>43341</c:v>
                </c:pt>
                <c:pt idx="43">
                  <c:v>43342</c:v>
                </c:pt>
                <c:pt idx="44">
                  <c:v>43343</c:v>
                </c:pt>
                <c:pt idx="45">
                  <c:v>43346</c:v>
                </c:pt>
                <c:pt idx="46">
                  <c:v>43347</c:v>
                </c:pt>
                <c:pt idx="47">
                  <c:v>43348</c:v>
                </c:pt>
                <c:pt idx="48">
                  <c:v>43349</c:v>
                </c:pt>
                <c:pt idx="49">
                  <c:v>43350</c:v>
                </c:pt>
                <c:pt idx="50">
                  <c:v>43353</c:v>
                </c:pt>
                <c:pt idx="51">
                  <c:v>43354</c:v>
                </c:pt>
                <c:pt idx="52">
                  <c:v>43355</c:v>
                </c:pt>
                <c:pt idx="53">
                  <c:v>43356</c:v>
                </c:pt>
                <c:pt idx="54">
                  <c:v>43357</c:v>
                </c:pt>
                <c:pt idx="55">
                  <c:v>43360</c:v>
                </c:pt>
                <c:pt idx="56">
                  <c:v>43361</c:v>
                </c:pt>
                <c:pt idx="57">
                  <c:v>43362</c:v>
                </c:pt>
                <c:pt idx="58">
                  <c:v>43363</c:v>
                </c:pt>
                <c:pt idx="59">
                  <c:v>43364</c:v>
                </c:pt>
                <c:pt idx="60">
                  <c:v>43367</c:v>
                </c:pt>
                <c:pt idx="61">
                  <c:v>43368</c:v>
                </c:pt>
                <c:pt idx="62">
                  <c:v>43369</c:v>
                </c:pt>
                <c:pt idx="63">
                  <c:v>43370</c:v>
                </c:pt>
                <c:pt idx="64">
                  <c:v>43371</c:v>
                </c:pt>
              </c:numCache>
            </c:numRef>
          </c:cat>
          <c:val>
            <c:numRef>
              <c:f>'10 Year Bond Yield'!$G$1957:$G$2021</c:f>
              <c:numCache>
                <c:formatCode>0.00</c:formatCode>
                <c:ptCount val="65"/>
                <c:pt idx="0">
                  <c:v>7.9119999999999999</c:v>
                </c:pt>
                <c:pt idx="1">
                  <c:v>7.883</c:v>
                </c:pt>
                <c:pt idx="2">
                  <c:v>7.8520000000000003</c:v>
                </c:pt>
                <c:pt idx="3">
                  <c:v>7.8970000000000002</c:v>
                </c:pt>
                <c:pt idx="4">
                  <c:v>7.87</c:v>
                </c:pt>
                <c:pt idx="5">
                  <c:v>7.891</c:v>
                </c:pt>
                <c:pt idx="6">
                  <c:v>7.899</c:v>
                </c:pt>
                <c:pt idx="7">
                  <c:v>7.8719999999999999</c:v>
                </c:pt>
                <c:pt idx="8">
                  <c:v>7.7789999999999999</c:v>
                </c:pt>
                <c:pt idx="9">
                  <c:v>7.7930000000000001</c:v>
                </c:pt>
                <c:pt idx="10">
                  <c:v>7.8010000000000002</c:v>
                </c:pt>
                <c:pt idx="11">
                  <c:v>7.7450000000000001</c:v>
                </c:pt>
                <c:pt idx="12">
                  <c:v>7.7519999999999998</c:v>
                </c:pt>
                <c:pt idx="13">
                  <c:v>7.7830000000000004</c:v>
                </c:pt>
                <c:pt idx="14">
                  <c:v>7.7859999999999996</c:v>
                </c:pt>
                <c:pt idx="15">
                  <c:v>7.8100000000000005</c:v>
                </c:pt>
                <c:pt idx="16">
                  <c:v>7.7830000000000004</c:v>
                </c:pt>
                <c:pt idx="17">
                  <c:v>7.7859999999999996</c:v>
                </c:pt>
                <c:pt idx="18">
                  <c:v>7.76</c:v>
                </c:pt>
                <c:pt idx="19">
                  <c:v>7.78</c:v>
                </c:pt>
                <c:pt idx="20">
                  <c:v>7.79</c:v>
                </c:pt>
                <c:pt idx="21">
                  <c:v>7.7729999999999997</c:v>
                </c:pt>
                <c:pt idx="22">
                  <c:v>7.7009999999999996</c:v>
                </c:pt>
                <c:pt idx="23">
                  <c:v>7.7210000000000001</c:v>
                </c:pt>
                <c:pt idx="24">
                  <c:v>7.7629999999999999</c:v>
                </c:pt>
                <c:pt idx="25">
                  <c:v>7.7679999999999998</c:v>
                </c:pt>
                <c:pt idx="26">
                  <c:v>7.7859999999999996</c:v>
                </c:pt>
                <c:pt idx="27">
                  <c:v>7.7809999999999997</c:v>
                </c:pt>
                <c:pt idx="28">
                  <c:v>7.7450000000000001</c:v>
                </c:pt>
                <c:pt idx="29">
                  <c:v>7.7539999999999996</c:v>
                </c:pt>
                <c:pt idx="30">
                  <c:v>7.8230000000000004</c:v>
                </c:pt>
                <c:pt idx="31">
                  <c:v>7.8179999999999996</c:v>
                </c:pt>
                <c:pt idx="32">
                  <c:v>7.8179999999999996</c:v>
                </c:pt>
                <c:pt idx="33">
                  <c:v>7.8609999999999998</c:v>
                </c:pt>
                <c:pt idx="34">
                  <c:v>7.8609999999999998</c:v>
                </c:pt>
                <c:pt idx="35">
                  <c:v>7.8380000000000001</c:v>
                </c:pt>
                <c:pt idx="36">
                  <c:v>7.8280000000000003</c:v>
                </c:pt>
                <c:pt idx="37">
                  <c:v>7.8280000000000003</c:v>
                </c:pt>
                <c:pt idx="38">
                  <c:v>7.8789999999999996</c:v>
                </c:pt>
                <c:pt idx="39">
                  <c:v>7.8730000000000002</c:v>
                </c:pt>
                <c:pt idx="40">
                  <c:v>7.8940000000000001</c:v>
                </c:pt>
                <c:pt idx="41">
                  <c:v>7.8959999999999999</c:v>
                </c:pt>
                <c:pt idx="42">
                  <c:v>7.9180000000000001</c:v>
                </c:pt>
                <c:pt idx="43">
                  <c:v>7.931</c:v>
                </c:pt>
                <c:pt idx="44">
                  <c:v>7.952</c:v>
                </c:pt>
                <c:pt idx="45">
                  <c:v>7.9989999999999997</c:v>
                </c:pt>
                <c:pt idx="46">
                  <c:v>8.0619999999999994</c:v>
                </c:pt>
                <c:pt idx="47">
                  <c:v>8.0500000000000007</c:v>
                </c:pt>
                <c:pt idx="48">
                  <c:v>8.0559999999999992</c:v>
                </c:pt>
                <c:pt idx="49">
                  <c:v>8.0289999999999999</c:v>
                </c:pt>
                <c:pt idx="50">
                  <c:v>8.1579999999999995</c:v>
                </c:pt>
                <c:pt idx="51">
                  <c:v>8.1809999999999992</c:v>
                </c:pt>
                <c:pt idx="52">
                  <c:v>8.1340000000000003</c:v>
                </c:pt>
                <c:pt idx="53">
                  <c:v>8.1340000000000003</c:v>
                </c:pt>
                <c:pt idx="54">
                  <c:v>8.1270000000000007</c:v>
                </c:pt>
                <c:pt idx="55">
                  <c:v>8.0990000000000002</c:v>
                </c:pt>
                <c:pt idx="56">
                  <c:v>8.1389999999999993</c:v>
                </c:pt>
                <c:pt idx="57">
                  <c:v>8.0719999999999992</c:v>
                </c:pt>
                <c:pt idx="58">
                  <c:v>8.0719999999999992</c:v>
                </c:pt>
                <c:pt idx="59">
                  <c:v>8.0790000000000006</c:v>
                </c:pt>
                <c:pt idx="60">
                  <c:v>8.1219999999999999</c:v>
                </c:pt>
                <c:pt idx="61">
                  <c:v>8.1259999999999994</c:v>
                </c:pt>
                <c:pt idx="62">
                  <c:v>8.0719999999999992</c:v>
                </c:pt>
                <c:pt idx="63">
                  <c:v>8.0269999999999992</c:v>
                </c:pt>
                <c:pt idx="64">
                  <c:v>8.0239999999999991</c:v>
                </c:pt>
              </c:numCache>
            </c:numRef>
          </c:val>
          <c:smooth val="0"/>
          <c:extLst xmlns:c16r2="http://schemas.microsoft.com/office/drawing/2015/06/chart">
            <c:ext xmlns:c16="http://schemas.microsoft.com/office/drawing/2014/chart" uri="{C3380CC4-5D6E-409C-BE32-E72D297353CC}">
              <c16:uniqueId val="{00000000-E3A1-7745-83C9-AA0CCCAED2E6}"/>
            </c:ext>
          </c:extLst>
        </c:ser>
        <c:ser>
          <c:idx val="1"/>
          <c:order val="1"/>
          <c:tx>
            <c:strRef>
              <c:f>'10 Year Bond Yield'!$H$1</c:f>
              <c:strCache>
                <c:ptCount val="1"/>
                <c:pt idx="0">
                  <c:v>China</c:v>
                </c:pt>
              </c:strCache>
            </c:strRef>
          </c:tx>
          <c:spPr>
            <a:ln w="28575" cap="rnd">
              <a:solidFill>
                <a:schemeClr val="accent2"/>
              </a:solidFill>
              <a:round/>
            </a:ln>
            <a:effectLst/>
          </c:spPr>
          <c:marker>
            <c:symbol val="none"/>
          </c:marker>
          <c:cat>
            <c:numRef>
              <c:f>'10 Year Bond Yield'!$A$1957:$A$2021</c:f>
              <c:numCache>
                <c:formatCode>[$-409]mmm\-yy;@</c:formatCode>
                <c:ptCount val="65"/>
                <c:pt idx="0">
                  <c:v>43283</c:v>
                </c:pt>
                <c:pt idx="1">
                  <c:v>43284</c:v>
                </c:pt>
                <c:pt idx="2">
                  <c:v>43285</c:v>
                </c:pt>
                <c:pt idx="3">
                  <c:v>43286</c:v>
                </c:pt>
                <c:pt idx="4">
                  <c:v>43287</c:v>
                </c:pt>
                <c:pt idx="5">
                  <c:v>43290</c:v>
                </c:pt>
                <c:pt idx="6">
                  <c:v>43291</c:v>
                </c:pt>
                <c:pt idx="7">
                  <c:v>43292</c:v>
                </c:pt>
                <c:pt idx="8">
                  <c:v>43293</c:v>
                </c:pt>
                <c:pt idx="9">
                  <c:v>43294</c:v>
                </c:pt>
                <c:pt idx="10">
                  <c:v>43297</c:v>
                </c:pt>
                <c:pt idx="11">
                  <c:v>43298</c:v>
                </c:pt>
                <c:pt idx="12">
                  <c:v>43299</c:v>
                </c:pt>
                <c:pt idx="13">
                  <c:v>43300</c:v>
                </c:pt>
                <c:pt idx="14">
                  <c:v>43301</c:v>
                </c:pt>
                <c:pt idx="15">
                  <c:v>43304</c:v>
                </c:pt>
                <c:pt idx="16">
                  <c:v>43305</c:v>
                </c:pt>
                <c:pt idx="17">
                  <c:v>43306</c:v>
                </c:pt>
                <c:pt idx="18">
                  <c:v>43307</c:v>
                </c:pt>
                <c:pt idx="19">
                  <c:v>43308</c:v>
                </c:pt>
                <c:pt idx="20">
                  <c:v>43311</c:v>
                </c:pt>
                <c:pt idx="21">
                  <c:v>43312</c:v>
                </c:pt>
                <c:pt idx="22">
                  <c:v>43313</c:v>
                </c:pt>
                <c:pt idx="23">
                  <c:v>43314</c:v>
                </c:pt>
                <c:pt idx="24">
                  <c:v>43315</c:v>
                </c:pt>
                <c:pt idx="25">
                  <c:v>43318</c:v>
                </c:pt>
                <c:pt idx="26">
                  <c:v>43319</c:v>
                </c:pt>
                <c:pt idx="27">
                  <c:v>43320</c:v>
                </c:pt>
                <c:pt idx="28">
                  <c:v>43321</c:v>
                </c:pt>
                <c:pt idx="29">
                  <c:v>43322</c:v>
                </c:pt>
                <c:pt idx="30">
                  <c:v>43325</c:v>
                </c:pt>
                <c:pt idx="31">
                  <c:v>43326</c:v>
                </c:pt>
                <c:pt idx="32">
                  <c:v>43327</c:v>
                </c:pt>
                <c:pt idx="33">
                  <c:v>43328</c:v>
                </c:pt>
                <c:pt idx="34">
                  <c:v>43329</c:v>
                </c:pt>
                <c:pt idx="35">
                  <c:v>43332</c:v>
                </c:pt>
                <c:pt idx="36">
                  <c:v>43333</c:v>
                </c:pt>
                <c:pt idx="37">
                  <c:v>43334</c:v>
                </c:pt>
                <c:pt idx="38">
                  <c:v>43335</c:v>
                </c:pt>
                <c:pt idx="39">
                  <c:v>43336</c:v>
                </c:pt>
                <c:pt idx="40">
                  <c:v>43339</c:v>
                </c:pt>
                <c:pt idx="41">
                  <c:v>43340</c:v>
                </c:pt>
                <c:pt idx="42">
                  <c:v>43341</c:v>
                </c:pt>
                <c:pt idx="43">
                  <c:v>43342</c:v>
                </c:pt>
                <c:pt idx="44">
                  <c:v>43343</c:v>
                </c:pt>
                <c:pt idx="45">
                  <c:v>43346</c:v>
                </c:pt>
                <c:pt idx="46">
                  <c:v>43347</c:v>
                </c:pt>
                <c:pt idx="47">
                  <c:v>43348</c:v>
                </c:pt>
                <c:pt idx="48">
                  <c:v>43349</c:v>
                </c:pt>
                <c:pt idx="49">
                  <c:v>43350</c:v>
                </c:pt>
                <c:pt idx="50">
                  <c:v>43353</c:v>
                </c:pt>
                <c:pt idx="51">
                  <c:v>43354</c:v>
                </c:pt>
                <c:pt idx="52">
                  <c:v>43355</c:v>
                </c:pt>
                <c:pt idx="53">
                  <c:v>43356</c:v>
                </c:pt>
                <c:pt idx="54">
                  <c:v>43357</c:v>
                </c:pt>
                <c:pt idx="55">
                  <c:v>43360</c:v>
                </c:pt>
                <c:pt idx="56">
                  <c:v>43361</c:v>
                </c:pt>
                <c:pt idx="57">
                  <c:v>43362</c:v>
                </c:pt>
                <c:pt idx="58">
                  <c:v>43363</c:v>
                </c:pt>
                <c:pt idx="59">
                  <c:v>43364</c:v>
                </c:pt>
                <c:pt idx="60">
                  <c:v>43367</c:v>
                </c:pt>
                <c:pt idx="61">
                  <c:v>43368</c:v>
                </c:pt>
                <c:pt idx="62">
                  <c:v>43369</c:v>
                </c:pt>
                <c:pt idx="63">
                  <c:v>43370</c:v>
                </c:pt>
                <c:pt idx="64">
                  <c:v>43371</c:v>
                </c:pt>
              </c:numCache>
            </c:numRef>
          </c:cat>
          <c:val>
            <c:numRef>
              <c:f>'10 Year Bond Yield'!$H$1957:$H$2021</c:f>
              <c:numCache>
                <c:formatCode>0.00</c:formatCode>
                <c:ptCount val="65"/>
                <c:pt idx="0">
                  <c:v>3.468</c:v>
                </c:pt>
                <c:pt idx="1">
                  <c:v>3.4969999999999999</c:v>
                </c:pt>
                <c:pt idx="2">
                  <c:v>3.52</c:v>
                </c:pt>
                <c:pt idx="3">
                  <c:v>3.51</c:v>
                </c:pt>
                <c:pt idx="4">
                  <c:v>3.532</c:v>
                </c:pt>
                <c:pt idx="5">
                  <c:v>3.552</c:v>
                </c:pt>
                <c:pt idx="6">
                  <c:v>3.5489999999999999</c:v>
                </c:pt>
                <c:pt idx="7">
                  <c:v>3.5150000000000001</c:v>
                </c:pt>
                <c:pt idx="8">
                  <c:v>3.5220000000000002</c:v>
                </c:pt>
                <c:pt idx="9">
                  <c:v>3.4990000000000001</c:v>
                </c:pt>
                <c:pt idx="10">
                  <c:v>3.4939999999999998</c:v>
                </c:pt>
                <c:pt idx="11">
                  <c:v>3.4849999999999999</c:v>
                </c:pt>
                <c:pt idx="12">
                  <c:v>3.4769999999999999</c:v>
                </c:pt>
                <c:pt idx="13">
                  <c:v>3.4430000000000001</c:v>
                </c:pt>
                <c:pt idx="14">
                  <c:v>3.516</c:v>
                </c:pt>
                <c:pt idx="15">
                  <c:v>3.5209999999999999</c:v>
                </c:pt>
                <c:pt idx="16">
                  <c:v>3.5670000000000002</c:v>
                </c:pt>
                <c:pt idx="17">
                  <c:v>3.573</c:v>
                </c:pt>
                <c:pt idx="18">
                  <c:v>3.548</c:v>
                </c:pt>
                <c:pt idx="19">
                  <c:v>3.524</c:v>
                </c:pt>
                <c:pt idx="20">
                  <c:v>3.524</c:v>
                </c:pt>
                <c:pt idx="21">
                  <c:v>3.4870000000000001</c:v>
                </c:pt>
                <c:pt idx="22">
                  <c:v>3.4689999999999999</c:v>
                </c:pt>
                <c:pt idx="23">
                  <c:v>3.4779999999999998</c:v>
                </c:pt>
                <c:pt idx="24">
                  <c:v>3.464</c:v>
                </c:pt>
                <c:pt idx="25">
                  <c:v>3.4699999999999998</c:v>
                </c:pt>
                <c:pt idx="26">
                  <c:v>3.5</c:v>
                </c:pt>
                <c:pt idx="27">
                  <c:v>3.5270000000000001</c:v>
                </c:pt>
                <c:pt idx="28">
                  <c:v>3.5510000000000002</c:v>
                </c:pt>
                <c:pt idx="29">
                  <c:v>3.5569999999999999</c:v>
                </c:pt>
                <c:pt idx="30">
                  <c:v>3.597</c:v>
                </c:pt>
                <c:pt idx="31">
                  <c:v>3.5629999999999997</c:v>
                </c:pt>
                <c:pt idx="32">
                  <c:v>3.5920000000000001</c:v>
                </c:pt>
                <c:pt idx="33">
                  <c:v>3.61</c:v>
                </c:pt>
                <c:pt idx="34">
                  <c:v>3.6520000000000001</c:v>
                </c:pt>
                <c:pt idx="35">
                  <c:v>3.6480000000000001</c:v>
                </c:pt>
                <c:pt idx="36">
                  <c:v>3.6550000000000002</c:v>
                </c:pt>
                <c:pt idx="37">
                  <c:v>3.6390000000000002</c:v>
                </c:pt>
                <c:pt idx="38">
                  <c:v>3.6160000000000001</c:v>
                </c:pt>
                <c:pt idx="39">
                  <c:v>3.6339999999999999</c:v>
                </c:pt>
                <c:pt idx="40">
                  <c:v>3.64</c:v>
                </c:pt>
                <c:pt idx="41">
                  <c:v>3.6390000000000002</c:v>
                </c:pt>
                <c:pt idx="42">
                  <c:v>3.6259999999999999</c:v>
                </c:pt>
                <c:pt idx="43">
                  <c:v>3.609</c:v>
                </c:pt>
                <c:pt idx="44">
                  <c:v>3.5949999999999998</c:v>
                </c:pt>
                <c:pt idx="45">
                  <c:v>3.605</c:v>
                </c:pt>
                <c:pt idx="46">
                  <c:v>3.6139999999999999</c:v>
                </c:pt>
                <c:pt idx="47">
                  <c:v>3.6269999999999998</c:v>
                </c:pt>
                <c:pt idx="48">
                  <c:v>3.633</c:v>
                </c:pt>
                <c:pt idx="49">
                  <c:v>3.645</c:v>
                </c:pt>
                <c:pt idx="50">
                  <c:v>3.6579999999999999</c:v>
                </c:pt>
                <c:pt idx="51">
                  <c:v>3.6749999999999998</c:v>
                </c:pt>
                <c:pt idx="52">
                  <c:v>3.6790000000000003</c:v>
                </c:pt>
                <c:pt idx="53">
                  <c:v>3.68</c:v>
                </c:pt>
                <c:pt idx="54">
                  <c:v>3.677</c:v>
                </c:pt>
                <c:pt idx="55">
                  <c:v>3.6619999999999999</c:v>
                </c:pt>
                <c:pt idx="56">
                  <c:v>3.665</c:v>
                </c:pt>
                <c:pt idx="57">
                  <c:v>3.681</c:v>
                </c:pt>
                <c:pt idx="58">
                  <c:v>3.698</c:v>
                </c:pt>
                <c:pt idx="59">
                  <c:v>3.6989999999999998</c:v>
                </c:pt>
                <c:pt idx="60">
                  <c:v>3.6989999999999998</c:v>
                </c:pt>
                <c:pt idx="61">
                  <c:v>3.6879999999999997</c:v>
                </c:pt>
                <c:pt idx="62">
                  <c:v>3.6579999999999999</c:v>
                </c:pt>
                <c:pt idx="63">
                  <c:v>3.6360000000000001</c:v>
                </c:pt>
                <c:pt idx="64">
                  <c:v>3.625</c:v>
                </c:pt>
              </c:numCache>
            </c:numRef>
          </c:val>
          <c:smooth val="0"/>
          <c:extLst xmlns:c16r2="http://schemas.microsoft.com/office/drawing/2015/06/chart">
            <c:ext xmlns:c16="http://schemas.microsoft.com/office/drawing/2014/chart" uri="{C3380CC4-5D6E-409C-BE32-E72D297353CC}">
              <c16:uniqueId val="{00000001-E3A1-7745-83C9-AA0CCCAED2E6}"/>
            </c:ext>
          </c:extLst>
        </c:ser>
        <c:ser>
          <c:idx val="2"/>
          <c:order val="2"/>
          <c:tx>
            <c:strRef>
              <c:f>'10 Year Bond Yield'!$I$1</c:f>
              <c:strCache>
                <c:ptCount val="1"/>
                <c:pt idx="0">
                  <c:v>Brazil</c:v>
                </c:pt>
              </c:strCache>
            </c:strRef>
          </c:tx>
          <c:spPr>
            <a:ln w="28575" cap="rnd">
              <a:solidFill>
                <a:schemeClr val="accent3"/>
              </a:solidFill>
              <a:round/>
            </a:ln>
            <a:effectLst/>
          </c:spPr>
          <c:marker>
            <c:symbol val="none"/>
          </c:marker>
          <c:cat>
            <c:numRef>
              <c:f>'10 Year Bond Yield'!$A$1957:$A$2021</c:f>
              <c:numCache>
                <c:formatCode>[$-409]mmm\-yy;@</c:formatCode>
                <c:ptCount val="65"/>
                <c:pt idx="0">
                  <c:v>43283</c:v>
                </c:pt>
                <c:pt idx="1">
                  <c:v>43284</c:v>
                </c:pt>
                <c:pt idx="2">
                  <c:v>43285</c:v>
                </c:pt>
                <c:pt idx="3">
                  <c:v>43286</c:v>
                </c:pt>
                <c:pt idx="4">
                  <c:v>43287</c:v>
                </c:pt>
                <c:pt idx="5">
                  <c:v>43290</c:v>
                </c:pt>
                <c:pt idx="6">
                  <c:v>43291</c:v>
                </c:pt>
                <c:pt idx="7">
                  <c:v>43292</c:v>
                </c:pt>
                <c:pt idx="8">
                  <c:v>43293</c:v>
                </c:pt>
                <c:pt idx="9">
                  <c:v>43294</c:v>
                </c:pt>
                <c:pt idx="10">
                  <c:v>43297</c:v>
                </c:pt>
                <c:pt idx="11">
                  <c:v>43298</c:v>
                </c:pt>
                <c:pt idx="12">
                  <c:v>43299</c:v>
                </c:pt>
                <c:pt idx="13">
                  <c:v>43300</c:v>
                </c:pt>
                <c:pt idx="14">
                  <c:v>43301</c:v>
                </c:pt>
                <c:pt idx="15">
                  <c:v>43304</c:v>
                </c:pt>
                <c:pt idx="16">
                  <c:v>43305</c:v>
                </c:pt>
                <c:pt idx="17">
                  <c:v>43306</c:v>
                </c:pt>
                <c:pt idx="18">
                  <c:v>43307</c:v>
                </c:pt>
                <c:pt idx="19">
                  <c:v>43308</c:v>
                </c:pt>
                <c:pt idx="20">
                  <c:v>43311</c:v>
                </c:pt>
                <c:pt idx="21">
                  <c:v>43312</c:v>
                </c:pt>
                <c:pt idx="22">
                  <c:v>43313</c:v>
                </c:pt>
                <c:pt idx="23">
                  <c:v>43314</c:v>
                </c:pt>
                <c:pt idx="24">
                  <c:v>43315</c:v>
                </c:pt>
                <c:pt idx="25">
                  <c:v>43318</c:v>
                </c:pt>
                <c:pt idx="26">
                  <c:v>43319</c:v>
                </c:pt>
                <c:pt idx="27">
                  <c:v>43320</c:v>
                </c:pt>
                <c:pt idx="28">
                  <c:v>43321</c:v>
                </c:pt>
                <c:pt idx="29">
                  <c:v>43322</c:v>
                </c:pt>
                <c:pt idx="30">
                  <c:v>43325</c:v>
                </c:pt>
                <c:pt idx="31">
                  <c:v>43326</c:v>
                </c:pt>
                <c:pt idx="32">
                  <c:v>43327</c:v>
                </c:pt>
                <c:pt idx="33">
                  <c:v>43328</c:v>
                </c:pt>
                <c:pt idx="34">
                  <c:v>43329</c:v>
                </c:pt>
                <c:pt idx="35">
                  <c:v>43332</c:v>
                </c:pt>
                <c:pt idx="36">
                  <c:v>43333</c:v>
                </c:pt>
                <c:pt idx="37">
                  <c:v>43334</c:v>
                </c:pt>
                <c:pt idx="38">
                  <c:v>43335</c:v>
                </c:pt>
                <c:pt idx="39">
                  <c:v>43336</c:v>
                </c:pt>
                <c:pt idx="40">
                  <c:v>43339</c:v>
                </c:pt>
                <c:pt idx="41">
                  <c:v>43340</c:v>
                </c:pt>
                <c:pt idx="42">
                  <c:v>43341</c:v>
                </c:pt>
                <c:pt idx="43">
                  <c:v>43342</c:v>
                </c:pt>
                <c:pt idx="44">
                  <c:v>43343</c:v>
                </c:pt>
                <c:pt idx="45">
                  <c:v>43346</c:v>
                </c:pt>
                <c:pt idx="46">
                  <c:v>43347</c:v>
                </c:pt>
                <c:pt idx="47">
                  <c:v>43348</c:v>
                </c:pt>
                <c:pt idx="48">
                  <c:v>43349</c:v>
                </c:pt>
                <c:pt idx="49">
                  <c:v>43350</c:v>
                </c:pt>
                <c:pt idx="50">
                  <c:v>43353</c:v>
                </c:pt>
                <c:pt idx="51">
                  <c:v>43354</c:v>
                </c:pt>
                <c:pt idx="52">
                  <c:v>43355</c:v>
                </c:pt>
                <c:pt idx="53">
                  <c:v>43356</c:v>
                </c:pt>
                <c:pt idx="54">
                  <c:v>43357</c:v>
                </c:pt>
                <c:pt idx="55">
                  <c:v>43360</c:v>
                </c:pt>
                <c:pt idx="56">
                  <c:v>43361</c:v>
                </c:pt>
                <c:pt idx="57">
                  <c:v>43362</c:v>
                </c:pt>
                <c:pt idx="58">
                  <c:v>43363</c:v>
                </c:pt>
                <c:pt idx="59">
                  <c:v>43364</c:v>
                </c:pt>
                <c:pt idx="60">
                  <c:v>43367</c:v>
                </c:pt>
                <c:pt idx="61">
                  <c:v>43368</c:v>
                </c:pt>
                <c:pt idx="62">
                  <c:v>43369</c:v>
                </c:pt>
                <c:pt idx="63">
                  <c:v>43370</c:v>
                </c:pt>
                <c:pt idx="64">
                  <c:v>43371</c:v>
                </c:pt>
              </c:numCache>
            </c:numRef>
          </c:cat>
          <c:val>
            <c:numRef>
              <c:f>'10 Year Bond Yield'!$I$1957:$I$2021</c:f>
              <c:numCache>
                <c:formatCode>0.00</c:formatCode>
                <c:ptCount val="65"/>
                <c:pt idx="0">
                  <c:v>11.414</c:v>
                </c:pt>
                <c:pt idx="1">
                  <c:v>11.416</c:v>
                </c:pt>
                <c:pt idx="2">
                  <c:v>11.173999999999999</c:v>
                </c:pt>
                <c:pt idx="3">
                  <c:v>11.038</c:v>
                </c:pt>
                <c:pt idx="4">
                  <c:v>11.058</c:v>
                </c:pt>
                <c:pt idx="5">
                  <c:v>11.087</c:v>
                </c:pt>
                <c:pt idx="6">
                  <c:v>10.931000000000001</c:v>
                </c:pt>
                <c:pt idx="7">
                  <c:v>11.068</c:v>
                </c:pt>
                <c:pt idx="8">
                  <c:v>11.042999999999999</c:v>
                </c:pt>
                <c:pt idx="9">
                  <c:v>11.061</c:v>
                </c:pt>
                <c:pt idx="10">
                  <c:v>11.177</c:v>
                </c:pt>
                <c:pt idx="11">
                  <c:v>11.291</c:v>
                </c:pt>
                <c:pt idx="12">
                  <c:v>11.173999999999999</c:v>
                </c:pt>
                <c:pt idx="13">
                  <c:v>11.038</c:v>
                </c:pt>
                <c:pt idx="14">
                  <c:v>11.058</c:v>
                </c:pt>
                <c:pt idx="15">
                  <c:v>11.087</c:v>
                </c:pt>
                <c:pt idx="16">
                  <c:v>10.931000000000001</c:v>
                </c:pt>
                <c:pt idx="17">
                  <c:v>11.068</c:v>
                </c:pt>
                <c:pt idx="18">
                  <c:v>11.042999999999999</c:v>
                </c:pt>
                <c:pt idx="19">
                  <c:v>11.061</c:v>
                </c:pt>
                <c:pt idx="20">
                  <c:v>11.177</c:v>
                </c:pt>
                <c:pt idx="21">
                  <c:v>11.177</c:v>
                </c:pt>
                <c:pt idx="22">
                  <c:v>11.291</c:v>
                </c:pt>
                <c:pt idx="23">
                  <c:v>11.314</c:v>
                </c:pt>
                <c:pt idx="24">
                  <c:v>11.159000000000001</c:v>
                </c:pt>
                <c:pt idx="25">
                  <c:v>11.15</c:v>
                </c:pt>
                <c:pt idx="26">
                  <c:v>11.237</c:v>
                </c:pt>
                <c:pt idx="27">
                  <c:v>11.413</c:v>
                </c:pt>
                <c:pt idx="28">
                  <c:v>11.571</c:v>
                </c:pt>
                <c:pt idx="29">
                  <c:v>11.847</c:v>
                </c:pt>
                <c:pt idx="30">
                  <c:v>11.827</c:v>
                </c:pt>
                <c:pt idx="31">
                  <c:v>11.696999999999999</c:v>
                </c:pt>
                <c:pt idx="32">
                  <c:v>11.634</c:v>
                </c:pt>
                <c:pt idx="33">
                  <c:v>11.734999999999999</c:v>
                </c:pt>
                <c:pt idx="34">
                  <c:v>11.867000000000001</c:v>
                </c:pt>
                <c:pt idx="35">
                  <c:v>11.958</c:v>
                </c:pt>
                <c:pt idx="36">
                  <c:v>12.399000000000001</c:v>
                </c:pt>
                <c:pt idx="37">
                  <c:v>12.106999999999999</c:v>
                </c:pt>
                <c:pt idx="38">
                  <c:v>12.262</c:v>
                </c:pt>
                <c:pt idx="39">
                  <c:v>12.084</c:v>
                </c:pt>
                <c:pt idx="40">
                  <c:v>12.007</c:v>
                </c:pt>
                <c:pt idx="41">
                  <c:v>12.098000000000001</c:v>
                </c:pt>
                <c:pt idx="42">
                  <c:v>12.102</c:v>
                </c:pt>
                <c:pt idx="43">
                  <c:v>12.362</c:v>
                </c:pt>
                <c:pt idx="44">
                  <c:v>12.196</c:v>
                </c:pt>
                <c:pt idx="45">
                  <c:v>12.352</c:v>
                </c:pt>
                <c:pt idx="46">
                  <c:v>12.526999999999999</c:v>
                </c:pt>
                <c:pt idx="47">
                  <c:v>12.596</c:v>
                </c:pt>
                <c:pt idx="48">
                  <c:v>12.157</c:v>
                </c:pt>
                <c:pt idx="49">
                  <c:v>12.157</c:v>
                </c:pt>
                <c:pt idx="50">
                  <c:v>12.281000000000001</c:v>
                </c:pt>
                <c:pt idx="51">
                  <c:v>12.46</c:v>
                </c:pt>
                <c:pt idx="52">
                  <c:v>12.43</c:v>
                </c:pt>
                <c:pt idx="53">
                  <c:v>12.457000000000001</c:v>
                </c:pt>
                <c:pt idx="54">
                  <c:v>12.4</c:v>
                </c:pt>
                <c:pt idx="55">
                  <c:v>12.278</c:v>
                </c:pt>
                <c:pt idx="56">
                  <c:v>12.279</c:v>
                </c:pt>
                <c:pt idx="57">
                  <c:v>12.127000000000001</c:v>
                </c:pt>
                <c:pt idx="58">
                  <c:v>12.055</c:v>
                </c:pt>
                <c:pt idx="59">
                  <c:v>11.778</c:v>
                </c:pt>
                <c:pt idx="60">
                  <c:v>11.835000000000001</c:v>
                </c:pt>
                <c:pt idx="61">
                  <c:v>11.840999999999999</c:v>
                </c:pt>
                <c:pt idx="62">
                  <c:v>11.714</c:v>
                </c:pt>
                <c:pt idx="63">
                  <c:v>11.618</c:v>
                </c:pt>
                <c:pt idx="64">
                  <c:v>11.755000000000001</c:v>
                </c:pt>
              </c:numCache>
            </c:numRef>
          </c:val>
          <c:smooth val="0"/>
          <c:extLst xmlns:c16r2="http://schemas.microsoft.com/office/drawing/2015/06/chart">
            <c:ext xmlns:c16="http://schemas.microsoft.com/office/drawing/2014/chart" uri="{C3380CC4-5D6E-409C-BE32-E72D297353CC}">
              <c16:uniqueId val="{00000002-E3A1-7745-83C9-AA0CCCAED2E6}"/>
            </c:ext>
          </c:extLst>
        </c:ser>
        <c:ser>
          <c:idx val="3"/>
          <c:order val="3"/>
          <c:tx>
            <c:strRef>
              <c:f>'10 Year Bond Yield'!$J$1</c:f>
              <c:strCache>
                <c:ptCount val="1"/>
                <c:pt idx="0">
                  <c:v>Russia</c:v>
                </c:pt>
              </c:strCache>
            </c:strRef>
          </c:tx>
          <c:spPr>
            <a:ln w="28575" cap="rnd">
              <a:solidFill>
                <a:schemeClr val="accent4"/>
              </a:solidFill>
              <a:round/>
            </a:ln>
            <a:effectLst/>
          </c:spPr>
          <c:marker>
            <c:symbol val="none"/>
          </c:marker>
          <c:cat>
            <c:numRef>
              <c:f>'10 Year Bond Yield'!$A$1957:$A$2021</c:f>
              <c:numCache>
                <c:formatCode>[$-409]mmm\-yy;@</c:formatCode>
                <c:ptCount val="65"/>
                <c:pt idx="0">
                  <c:v>43283</c:v>
                </c:pt>
                <c:pt idx="1">
                  <c:v>43284</c:v>
                </c:pt>
                <c:pt idx="2">
                  <c:v>43285</c:v>
                </c:pt>
                <c:pt idx="3">
                  <c:v>43286</c:v>
                </c:pt>
                <c:pt idx="4">
                  <c:v>43287</c:v>
                </c:pt>
                <c:pt idx="5">
                  <c:v>43290</c:v>
                </c:pt>
                <c:pt idx="6">
                  <c:v>43291</c:v>
                </c:pt>
                <c:pt idx="7">
                  <c:v>43292</c:v>
                </c:pt>
                <c:pt idx="8">
                  <c:v>43293</c:v>
                </c:pt>
                <c:pt idx="9">
                  <c:v>43294</c:v>
                </c:pt>
                <c:pt idx="10">
                  <c:v>43297</c:v>
                </c:pt>
                <c:pt idx="11">
                  <c:v>43298</c:v>
                </c:pt>
                <c:pt idx="12">
                  <c:v>43299</c:v>
                </c:pt>
                <c:pt idx="13">
                  <c:v>43300</c:v>
                </c:pt>
                <c:pt idx="14">
                  <c:v>43301</c:v>
                </c:pt>
                <c:pt idx="15">
                  <c:v>43304</c:v>
                </c:pt>
                <c:pt idx="16">
                  <c:v>43305</c:v>
                </c:pt>
                <c:pt idx="17">
                  <c:v>43306</c:v>
                </c:pt>
                <c:pt idx="18">
                  <c:v>43307</c:v>
                </c:pt>
                <c:pt idx="19">
                  <c:v>43308</c:v>
                </c:pt>
                <c:pt idx="20">
                  <c:v>43311</c:v>
                </c:pt>
                <c:pt idx="21">
                  <c:v>43312</c:v>
                </c:pt>
                <c:pt idx="22">
                  <c:v>43313</c:v>
                </c:pt>
                <c:pt idx="23">
                  <c:v>43314</c:v>
                </c:pt>
                <c:pt idx="24">
                  <c:v>43315</c:v>
                </c:pt>
                <c:pt idx="25">
                  <c:v>43318</c:v>
                </c:pt>
                <c:pt idx="26">
                  <c:v>43319</c:v>
                </c:pt>
                <c:pt idx="27">
                  <c:v>43320</c:v>
                </c:pt>
                <c:pt idx="28">
                  <c:v>43321</c:v>
                </c:pt>
                <c:pt idx="29">
                  <c:v>43322</c:v>
                </c:pt>
                <c:pt idx="30">
                  <c:v>43325</c:v>
                </c:pt>
                <c:pt idx="31">
                  <c:v>43326</c:v>
                </c:pt>
                <c:pt idx="32">
                  <c:v>43327</c:v>
                </c:pt>
                <c:pt idx="33">
                  <c:v>43328</c:v>
                </c:pt>
                <c:pt idx="34">
                  <c:v>43329</c:v>
                </c:pt>
                <c:pt idx="35">
                  <c:v>43332</c:v>
                </c:pt>
                <c:pt idx="36">
                  <c:v>43333</c:v>
                </c:pt>
                <c:pt idx="37">
                  <c:v>43334</c:v>
                </c:pt>
                <c:pt idx="38">
                  <c:v>43335</c:v>
                </c:pt>
                <c:pt idx="39">
                  <c:v>43336</c:v>
                </c:pt>
                <c:pt idx="40">
                  <c:v>43339</c:v>
                </c:pt>
                <c:pt idx="41">
                  <c:v>43340</c:v>
                </c:pt>
                <c:pt idx="42">
                  <c:v>43341</c:v>
                </c:pt>
                <c:pt idx="43">
                  <c:v>43342</c:v>
                </c:pt>
                <c:pt idx="44">
                  <c:v>43343</c:v>
                </c:pt>
                <c:pt idx="45">
                  <c:v>43346</c:v>
                </c:pt>
                <c:pt idx="46">
                  <c:v>43347</c:v>
                </c:pt>
                <c:pt idx="47">
                  <c:v>43348</c:v>
                </c:pt>
                <c:pt idx="48">
                  <c:v>43349</c:v>
                </c:pt>
                <c:pt idx="49">
                  <c:v>43350</c:v>
                </c:pt>
                <c:pt idx="50">
                  <c:v>43353</c:v>
                </c:pt>
                <c:pt idx="51">
                  <c:v>43354</c:v>
                </c:pt>
                <c:pt idx="52">
                  <c:v>43355</c:v>
                </c:pt>
                <c:pt idx="53">
                  <c:v>43356</c:v>
                </c:pt>
                <c:pt idx="54">
                  <c:v>43357</c:v>
                </c:pt>
                <c:pt idx="55">
                  <c:v>43360</c:v>
                </c:pt>
                <c:pt idx="56">
                  <c:v>43361</c:v>
                </c:pt>
                <c:pt idx="57">
                  <c:v>43362</c:v>
                </c:pt>
                <c:pt idx="58">
                  <c:v>43363</c:v>
                </c:pt>
                <c:pt idx="59">
                  <c:v>43364</c:v>
                </c:pt>
                <c:pt idx="60">
                  <c:v>43367</c:v>
                </c:pt>
                <c:pt idx="61">
                  <c:v>43368</c:v>
                </c:pt>
                <c:pt idx="62">
                  <c:v>43369</c:v>
                </c:pt>
                <c:pt idx="63">
                  <c:v>43370</c:v>
                </c:pt>
                <c:pt idx="64">
                  <c:v>43371</c:v>
                </c:pt>
              </c:numCache>
            </c:numRef>
          </c:cat>
          <c:val>
            <c:numRef>
              <c:f>'10 Year Bond Yield'!$J$1957:$J$2021</c:f>
              <c:numCache>
                <c:formatCode>0.00</c:formatCode>
                <c:ptCount val="65"/>
                <c:pt idx="0">
                  <c:v>4.6459999999999999</c:v>
                </c:pt>
                <c:pt idx="1">
                  <c:v>4.6470000000000002</c:v>
                </c:pt>
                <c:pt idx="2">
                  <c:v>4.5949999999999998</c:v>
                </c:pt>
                <c:pt idx="3">
                  <c:v>4.5670000000000002</c:v>
                </c:pt>
                <c:pt idx="4">
                  <c:v>4.5780000000000003</c:v>
                </c:pt>
                <c:pt idx="5">
                  <c:v>4.57</c:v>
                </c:pt>
                <c:pt idx="6">
                  <c:v>4.5110000000000001</c:v>
                </c:pt>
                <c:pt idx="7">
                  <c:v>4.5280000000000005</c:v>
                </c:pt>
                <c:pt idx="8">
                  <c:v>4.6120000000000001</c:v>
                </c:pt>
                <c:pt idx="9">
                  <c:v>4.6820000000000004</c:v>
                </c:pt>
                <c:pt idx="10">
                  <c:v>4.7059999999999995</c:v>
                </c:pt>
                <c:pt idx="11">
                  <c:v>4.694</c:v>
                </c:pt>
                <c:pt idx="12">
                  <c:v>4.7030000000000003</c:v>
                </c:pt>
                <c:pt idx="13">
                  <c:v>4.7069999999999999</c:v>
                </c:pt>
                <c:pt idx="14">
                  <c:v>4.6950000000000003</c:v>
                </c:pt>
                <c:pt idx="15">
                  <c:v>4.67</c:v>
                </c:pt>
                <c:pt idx="16">
                  <c:v>4.657</c:v>
                </c:pt>
                <c:pt idx="17">
                  <c:v>4.6500000000000004</c:v>
                </c:pt>
                <c:pt idx="18">
                  <c:v>4.6459999999999999</c:v>
                </c:pt>
                <c:pt idx="19">
                  <c:v>4.58674230769231</c:v>
                </c:pt>
                <c:pt idx="20">
                  <c:v>4.57822485928705</c:v>
                </c:pt>
                <c:pt idx="21">
                  <c:v>4.5697074108817999</c:v>
                </c:pt>
                <c:pt idx="22">
                  <c:v>4.6850000000000005</c:v>
                </c:pt>
                <c:pt idx="23">
                  <c:v>4.7649999999999997</c:v>
                </c:pt>
                <c:pt idx="24">
                  <c:v>4.7409999999999997</c:v>
                </c:pt>
                <c:pt idx="25">
                  <c:v>4.7940000000000005</c:v>
                </c:pt>
                <c:pt idx="26">
                  <c:v>4.9180000000000001</c:v>
                </c:pt>
                <c:pt idx="27">
                  <c:v>5.0659999999999998</c:v>
                </c:pt>
                <c:pt idx="28">
                  <c:v>5.0919999999999996</c:v>
                </c:pt>
                <c:pt idx="29">
                  <c:v>5.1349999999999998</c:v>
                </c:pt>
                <c:pt idx="30">
                  <c:v>5.1619999999999999</c:v>
                </c:pt>
                <c:pt idx="31">
                  <c:v>5.0430000000000001</c:v>
                </c:pt>
                <c:pt idx="32">
                  <c:v>5.0599999999999996</c:v>
                </c:pt>
                <c:pt idx="33">
                  <c:v>5.0540000000000003</c:v>
                </c:pt>
                <c:pt idx="34">
                  <c:v>5.0419999999999998</c:v>
                </c:pt>
                <c:pt idx="35">
                  <c:v>5.0570000000000004</c:v>
                </c:pt>
                <c:pt idx="36">
                  <c:v>5.0720000000000001</c:v>
                </c:pt>
                <c:pt idx="37">
                  <c:v>5.04</c:v>
                </c:pt>
                <c:pt idx="38">
                  <c:v>5.0389999999999997</c:v>
                </c:pt>
                <c:pt idx="39">
                  <c:v>5.0129999999999999</c:v>
                </c:pt>
                <c:pt idx="40">
                  <c:v>5.0199999999999996</c:v>
                </c:pt>
                <c:pt idx="41">
                  <c:v>4.9710000000000001</c:v>
                </c:pt>
                <c:pt idx="42">
                  <c:v>4.97</c:v>
                </c:pt>
                <c:pt idx="43">
                  <c:v>4.96</c:v>
                </c:pt>
                <c:pt idx="44">
                  <c:v>4.9690000000000003</c:v>
                </c:pt>
                <c:pt idx="45">
                  <c:v>4.9690000000000003</c:v>
                </c:pt>
                <c:pt idx="46">
                  <c:v>5.0229999999999997</c:v>
                </c:pt>
                <c:pt idx="47">
                  <c:v>5.0359999999999996</c:v>
                </c:pt>
                <c:pt idx="48">
                  <c:v>5.0670000000000002</c:v>
                </c:pt>
                <c:pt idx="49">
                  <c:v>5.08</c:v>
                </c:pt>
                <c:pt idx="50">
                  <c:v>5.17</c:v>
                </c:pt>
                <c:pt idx="51">
                  <c:v>5.1059999999999999</c:v>
                </c:pt>
                <c:pt idx="52">
                  <c:v>5.077</c:v>
                </c:pt>
                <c:pt idx="53">
                  <c:v>5.0449999999999999</c:v>
                </c:pt>
                <c:pt idx="54">
                  <c:v>5.0229999999999997</c:v>
                </c:pt>
                <c:pt idx="55">
                  <c:v>5.056</c:v>
                </c:pt>
                <c:pt idx="56">
                  <c:v>5.085</c:v>
                </c:pt>
                <c:pt idx="57">
                  <c:v>5.1260000000000003</c:v>
                </c:pt>
                <c:pt idx="58">
                  <c:v>5.0659999999999998</c:v>
                </c:pt>
                <c:pt idx="59">
                  <c:v>5.0620000000000003</c:v>
                </c:pt>
                <c:pt idx="60">
                  <c:v>5.0490000000000004</c:v>
                </c:pt>
                <c:pt idx="61">
                  <c:v>5.0359999999999996</c:v>
                </c:pt>
                <c:pt idx="62">
                  <c:v>4.9939999999999998</c:v>
                </c:pt>
                <c:pt idx="63">
                  <c:v>4.9370000000000003</c:v>
                </c:pt>
                <c:pt idx="64">
                  <c:v>4.8840000000000003</c:v>
                </c:pt>
              </c:numCache>
            </c:numRef>
          </c:val>
          <c:smooth val="0"/>
          <c:extLst xmlns:c16r2="http://schemas.microsoft.com/office/drawing/2015/06/chart">
            <c:ext xmlns:c16="http://schemas.microsoft.com/office/drawing/2014/chart" uri="{C3380CC4-5D6E-409C-BE32-E72D297353CC}">
              <c16:uniqueId val="{00000003-E3A1-7745-83C9-AA0CCCAED2E6}"/>
            </c:ext>
          </c:extLst>
        </c:ser>
        <c:dLbls>
          <c:showLegendKey val="0"/>
          <c:showVal val="0"/>
          <c:showCatName val="0"/>
          <c:showSerName val="0"/>
          <c:showPercent val="0"/>
          <c:showBubbleSize val="0"/>
        </c:dLbls>
        <c:smooth val="0"/>
        <c:axId val="491535136"/>
        <c:axId val="491525728"/>
      </c:lineChart>
      <c:dateAx>
        <c:axId val="491535136"/>
        <c:scaling>
          <c:orientation val="minMax"/>
        </c:scaling>
        <c:delete val="0"/>
        <c:axPos val="b"/>
        <c:numFmt formatCode="[$-409]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25728"/>
        <c:crosses val="autoZero"/>
        <c:auto val="1"/>
        <c:lblOffset val="100"/>
        <c:baseTimeUnit val="days"/>
        <c:majorUnit val="1"/>
        <c:majorTimeUnit val="months"/>
      </c:dateAx>
      <c:valAx>
        <c:axId val="49152572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35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453653574712424E-2"/>
          <c:y val="4.3290043290043288E-2"/>
          <c:w val="0.88717231584695833"/>
          <c:h val="0.79752654885081509"/>
        </c:manualLayout>
      </c:layout>
      <c:lineChart>
        <c:grouping val="standard"/>
        <c:varyColors val="0"/>
        <c:ser>
          <c:idx val="0"/>
          <c:order val="0"/>
          <c:tx>
            <c:strRef>
              <c:f>Currency!$O$68</c:f>
              <c:strCache>
                <c:ptCount val="1"/>
                <c:pt idx="0">
                  <c:v>Real</c:v>
                </c:pt>
              </c:strCache>
            </c:strRef>
          </c:tx>
          <c:spPr>
            <a:ln w="28575" cap="rnd">
              <a:solidFill>
                <a:schemeClr val="accent1"/>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Currency!$O$69:$O$199</c:f>
              <c:numCache>
                <c:formatCode>0.00</c:formatCode>
                <c:ptCount val="131"/>
                <c:pt idx="0">
                  <c:v>100</c:v>
                </c:pt>
                <c:pt idx="1">
                  <c:v>100.21775291093303</c:v>
                </c:pt>
                <c:pt idx="2">
                  <c:v>100.36594586420686</c:v>
                </c:pt>
                <c:pt idx="3">
                  <c:v>101.28534704370182</c:v>
                </c:pt>
                <c:pt idx="4">
                  <c:v>100.62603961893242</c:v>
                </c:pt>
                <c:pt idx="5">
                  <c:v>101.81158324512324</c:v>
                </c:pt>
                <c:pt idx="6">
                  <c:v>103.07575986692879</c:v>
                </c:pt>
                <c:pt idx="7">
                  <c:v>103.59594737637985</c:v>
                </c:pt>
                <c:pt idx="8">
                  <c:v>102.46484197792228</c:v>
                </c:pt>
                <c:pt idx="9">
                  <c:v>102.4134280961742</c:v>
                </c:pt>
                <c:pt idx="10">
                  <c:v>103.09390594283987</c:v>
                </c:pt>
                <c:pt idx="11">
                  <c:v>103.66853168002419</c:v>
                </c:pt>
                <c:pt idx="12">
                  <c:v>102.61605927718132</c:v>
                </c:pt>
                <c:pt idx="13">
                  <c:v>102.4164524421594</c:v>
                </c:pt>
                <c:pt idx="14">
                  <c:v>102.92151822168458</c:v>
                </c:pt>
                <c:pt idx="15">
                  <c:v>103.0878572508695</c:v>
                </c:pt>
                <c:pt idx="16">
                  <c:v>104.1070618478754</c:v>
                </c:pt>
                <c:pt idx="17">
                  <c:v>105.01134129744443</c:v>
                </c:pt>
                <c:pt idx="18">
                  <c:v>106.09405716013913</c:v>
                </c:pt>
                <c:pt idx="19">
                  <c:v>105.63738091637684</c:v>
                </c:pt>
                <c:pt idx="20">
                  <c:v>104.87222138212613</c:v>
                </c:pt>
                <c:pt idx="21">
                  <c:v>105.40148192953276</c:v>
                </c:pt>
                <c:pt idx="22">
                  <c:v>106.06986239225769</c:v>
                </c:pt>
                <c:pt idx="23">
                  <c:v>107.15257825495237</c:v>
                </c:pt>
                <c:pt idx="24">
                  <c:v>106.90458188416756</c:v>
                </c:pt>
                <c:pt idx="25">
                  <c:v>106.39346741267201</c:v>
                </c:pt>
                <c:pt idx="26">
                  <c:v>107.23725994253743</c:v>
                </c:pt>
                <c:pt idx="27">
                  <c:v>108.15666112203238</c:v>
                </c:pt>
                <c:pt idx="28">
                  <c:v>108.78270074096477</c:v>
                </c:pt>
                <c:pt idx="29">
                  <c:v>107.29169817027069</c:v>
                </c:pt>
                <c:pt idx="30">
                  <c:v>108.66475124754274</c:v>
                </c:pt>
                <c:pt idx="31">
                  <c:v>109.93195221533345</c:v>
                </c:pt>
                <c:pt idx="32">
                  <c:v>110.55799183426585</c:v>
                </c:pt>
                <c:pt idx="33">
                  <c:v>111.30802963859065</c:v>
                </c:pt>
                <c:pt idx="34">
                  <c:v>111.90382579767126</c:v>
                </c:pt>
                <c:pt idx="35">
                  <c:v>113.24965976107669</c:v>
                </c:pt>
                <c:pt idx="36">
                  <c:v>112.22743081808559</c:v>
                </c:pt>
                <c:pt idx="37">
                  <c:v>110.08316951459247</c:v>
                </c:pt>
                <c:pt idx="38">
                  <c:v>109.7504914562226</c:v>
                </c:pt>
                <c:pt idx="39">
                  <c:v>109.99848782700742</c:v>
                </c:pt>
                <c:pt idx="40">
                  <c:v>110.72433086345079</c:v>
                </c:pt>
                <c:pt idx="41">
                  <c:v>112.53288976258884</c:v>
                </c:pt>
                <c:pt idx="42">
                  <c:v>113.02585815817329</c:v>
                </c:pt>
                <c:pt idx="43">
                  <c:v>112.85951912898837</c:v>
                </c:pt>
                <c:pt idx="44">
                  <c:v>112.77786178738849</c:v>
                </c:pt>
                <c:pt idx="45">
                  <c:v>113.67004385301678</c:v>
                </c:pt>
                <c:pt idx="46">
                  <c:v>113.19824587932861</c:v>
                </c:pt>
                <c:pt idx="47">
                  <c:v>114.3414486617269</c:v>
                </c:pt>
                <c:pt idx="48">
                  <c:v>115.5965522455769</c:v>
                </c:pt>
                <c:pt idx="49">
                  <c:v>119.09874489641614</c:v>
                </c:pt>
                <c:pt idx="50">
                  <c:v>113.34341448661729</c:v>
                </c:pt>
                <c:pt idx="51">
                  <c:v>111.83124149402693</c:v>
                </c:pt>
                <c:pt idx="52">
                  <c:v>111.71631634659008</c:v>
                </c:pt>
                <c:pt idx="53">
                  <c:v>111.71934069257523</c:v>
                </c:pt>
                <c:pt idx="54">
                  <c:v>112.56313322244065</c:v>
                </c:pt>
                <c:pt idx="55">
                  <c:v>113.18917284137306</c:v>
                </c:pt>
                <c:pt idx="56">
                  <c:v>113.30712233479512</c:v>
                </c:pt>
                <c:pt idx="57">
                  <c:v>113.13473461363981</c:v>
                </c:pt>
                <c:pt idx="58">
                  <c:v>113.33434144866172</c:v>
                </c:pt>
                <c:pt idx="59">
                  <c:v>114.74671102374113</c:v>
                </c:pt>
                <c:pt idx="60">
                  <c:v>113.81218811432028</c:v>
                </c:pt>
                <c:pt idx="61">
                  <c:v>114.14486617269017</c:v>
                </c:pt>
                <c:pt idx="62">
                  <c:v>114.19023136246788</c:v>
                </c:pt>
                <c:pt idx="63">
                  <c:v>116.59156207470136</c:v>
                </c:pt>
                <c:pt idx="64">
                  <c:v>116.66112203236052</c:v>
                </c:pt>
                <c:pt idx="65">
                  <c:v>116.84258279147134</c:v>
                </c:pt>
                <c:pt idx="66">
                  <c:v>118.42734008770603</c:v>
                </c:pt>
                <c:pt idx="67">
                  <c:v>117.75291093301075</c:v>
                </c:pt>
                <c:pt idx="68">
                  <c:v>118.21261152275821</c:v>
                </c:pt>
                <c:pt idx="69">
                  <c:v>118.55133827309845</c:v>
                </c:pt>
                <c:pt idx="70">
                  <c:v>117.98880991985483</c:v>
                </c:pt>
                <c:pt idx="71">
                  <c:v>117.05731135641916</c:v>
                </c:pt>
                <c:pt idx="72">
                  <c:v>115.4544079842734</c:v>
                </c:pt>
                <c:pt idx="73">
                  <c:v>117.00589747467112</c:v>
                </c:pt>
                <c:pt idx="74">
                  <c:v>116.89097232723424</c:v>
                </c:pt>
                <c:pt idx="75">
                  <c:v>116.84863148344171</c:v>
                </c:pt>
                <c:pt idx="76">
                  <c:v>116.71858460607896</c:v>
                </c:pt>
                <c:pt idx="77">
                  <c:v>116.88492363526389</c:v>
                </c:pt>
                <c:pt idx="78">
                  <c:v>115.73264781491002</c:v>
                </c:pt>
                <c:pt idx="79">
                  <c:v>117.34159987902618</c:v>
                </c:pt>
                <c:pt idx="80">
                  <c:v>114.28701043399366</c:v>
                </c:pt>
                <c:pt idx="81">
                  <c:v>114.68017541206714</c:v>
                </c:pt>
                <c:pt idx="82">
                  <c:v>113.14985634356572</c:v>
                </c:pt>
                <c:pt idx="83">
                  <c:v>112.21835778013005</c:v>
                </c:pt>
                <c:pt idx="84">
                  <c:v>112.78693482534403</c:v>
                </c:pt>
                <c:pt idx="85">
                  <c:v>112.56615756842582</c:v>
                </c:pt>
                <c:pt idx="86">
                  <c:v>112.7445939815515</c:v>
                </c:pt>
                <c:pt idx="87">
                  <c:v>113.35853621654317</c:v>
                </c:pt>
                <c:pt idx="88">
                  <c:v>113.37063360048391</c:v>
                </c:pt>
                <c:pt idx="89">
                  <c:v>113.57326478149102</c:v>
                </c:pt>
                <c:pt idx="90">
                  <c:v>112.03387267503405</c:v>
                </c:pt>
                <c:pt idx="91">
                  <c:v>112.62664448812944</c:v>
                </c:pt>
                <c:pt idx="92">
                  <c:v>112.46332980492969</c:v>
                </c:pt>
                <c:pt idx="93">
                  <c:v>113.48555874792076</c:v>
                </c:pt>
                <c:pt idx="94">
                  <c:v>115.33645849085137</c:v>
                </c:pt>
                <c:pt idx="95">
                  <c:v>116.62482988053833</c:v>
                </c:pt>
                <c:pt idx="96">
                  <c:v>118.60880084681689</c:v>
                </c:pt>
                <c:pt idx="97">
                  <c:v>117.78013004687737</c:v>
                </c:pt>
                <c:pt idx="98">
                  <c:v>117.63496143958869</c:v>
                </c:pt>
                <c:pt idx="99">
                  <c:v>117.86178738847725</c:v>
                </c:pt>
                <c:pt idx="100">
                  <c:v>119.07757447451989</c:v>
                </c:pt>
                <c:pt idx="101">
                  <c:v>119.45561772266748</c:v>
                </c:pt>
                <c:pt idx="102">
                  <c:v>120.63511265688796</c:v>
                </c:pt>
                <c:pt idx="103">
                  <c:v>123.23907455012855</c:v>
                </c:pt>
                <c:pt idx="104">
                  <c:v>124.22501134129745</c:v>
                </c:pt>
                <c:pt idx="105">
                  <c:v>124.27340087706034</c:v>
                </c:pt>
                <c:pt idx="106">
                  <c:v>123.31165885377288</c:v>
                </c:pt>
                <c:pt idx="107">
                  <c:v>124.6544684711931</c:v>
                </c:pt>
                <c:pt idx="108">
                  <c:v>124.72100408286708</c:v>
                </c:pt>
                <c:pt idx="109">
                  <c:v>125.37123846968095</c:v>
                </c:pt>
                <c:pt idx="110">
                  <c:v>123.80462724935735</c:v>
                </c:pt>
                <c:pt idx="111">
                  <c:v>124.97504914562228</c:v>
                </c:pt>
                <c:pt idx="112">
                  <c:v>126.06078935430214</c:v>
                </c:pt>
                <c:pt idx="113">
                  <c:v>124.86919703614095</c:v>
                </c:pt>
                <c:pt idx="114">
                  <c:v>125.38031150763646</c:v>
                </c:pt>
                <c:pt idx="115">
                  <c:v>123.42658400120976</c:v>
                </c:pt>
                <c:pt idx="116">
                  <c:v>124.41252079237866</c:v>
                </c:pt>
                <c:pt idx="117">
                  <c:v>125.70694087403599</c:v>
                </c:pt>
                <c:pt idx="118">
                  <c:v>124.76636927264479</c:v>
                </c:pt>
                <c:pt idx="119">
                  <c:v>126.39346741267201</c:v>
                </c:pt>
                <c:pt idx="120">
                  <c:v>126.35112656887951</c:v>
                </c:pt>
                <c:pt idx="121">
                  <c:v>125.85815817329504</c:v>
                </c:pt>
                <c:pt idx="122">
                  <c:v>125.12929079086649</c:v>
                </c:pt>
                <c:pt idx="123">
                  <c:v>124.24920610917889</c:v>
                </c:pt>
                <c:pt idx="124">
                  <c:v>123.60804476032061</c:v>
                </c:pt>
                <c:pt idx="125">
                  <c:v>122.19567518524119</c:v>
                </c:pt>
                <c:pt idx="126">
                  <c:v>123.28443973990623</c:v>
                </c:pt>
                <c:pt idx="127">
                  <c:v>124.51534855587478</c:v>
                </c:pt>
                <c:pt idx="128">
                  <c:v>122.45879328595193</c:v>
                </c:pt>
                <c:pt idx="129">
                  <c:v>120.81959776198397</c:v>
                </c:pt>
                <c:pt idx="130">
                  <c:v>121.62407379404203</c:v>
                </c:pt>
              </c:numCache>
            </c:numRef>
          </c:val>
          <c:smooth val="0"/>
          <c:extLst xmlns:c16r2="http://schemas.microsoft.com/office/drawing/2015/06/chart">
            <c:ext xmlns:c16="http://schemas.microsoft.com/office/drawing/2014/chart" uri="{C3380CC4-5D6E-409C-BE32-E72D297353CC}">
              <c16:uniqueId val="{00000000-B25B-2F45-B088-2533806B9851}"/>
            </c:ext>
          </c:extLst>
        </c:ser>
        <c:ser>
          <c:idx val="1"/>
          <c:order val="1"/>
          <c:tx>
            <c:strRef>
              <c:f>Currency!$P$68</c:f>
              <c:strCache>
                <c:ptCount val="1"/>
                <c:pt idx="0">
                  <c:v>Rouble</c:v>
                </c:pt>
              </c:strCache>
            </c:strRef>
          </c:tx>
          <c:spPr>
            <a:ln w="28575" cap="rnd">
              <a:solidFill>
                <a:schemeClr val="accent2"/>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Currency!$P$69:$P$199</c:f>
              <c:numCache>
                <c:formatCode>0.00</c:formatCode>
                <c:ptCount val="131"/>
                <c:pt idx="0">
                  <c:v>100</c:v>
                </c:pt>
                <c:pt idx="1">
                  <c:v>100.83149665894619</c:v>
                </c:pt>
                <c:pt idx="2">
                  <c:v>100.99548335780287</c:v>
                </c:pt>
                <c:pt idx="3">
                  <c:v>100.69151228673844</c:v>
                </c:pt>
                <c:pt idx="4">
                  <c:v>101.06941753186003</c:v>
                </c:pt>
                <c:pt idx="5">
                  <c:v>101.72431313049906</c:v>
                </c:pt>
                <c:pt idx="6">
                  <c:v>105.89756437704325</c:v>
                </c:pt>
                <c:pt idx="7">
                  <c:v>110.40229301059254</c:v>
                </c:pt>
                <c:pt idx="8">
                  <c:v>109.96254235447056</c:v>
                </c:pt>
                <c:pt idx="9">
                  <c:v>108.38907596298387</c:v>
                </c:pt>
                <c:pt idx="10">
                  <c:v>108.69690142226925</c:v>
                </c:pt>
                <c:pt idx="11">
                  <c:v>108.87245128578886</c:v>
                </c:pt>
                <c:pt idx="12">
                  <c:v>108.36086884918478</c:v>
                </c:pt>
                <c:pt idx="13">
                  <c:v>106.92002845239304</c:v>
                </c:pt>
                <c:pt idx="14">
                  <c:v>106.69104275217333</c:v>
                </c:pt>
                <c:pt idx="15">
                  <c:v>107.54531534151633</c:v>
                </c:pt>
                <c:pt idx="16">
                  <c:v>108.40607031104912</c:v>
                </c:pt>
                <c:pt idx="17">
                  <c:v>107.64044865078893</c:v>
                </c:pt>
                <c:pt idx="18">
                  <c:v>109.39647288437885</c:v>
                </c:pt>
                <c:pt idx="19">
                  <c:v>109.68923118970947</c:v>
                </c:pt>
                <c:pt idx="20">
                  <c:v>108.78853074225003</c:v>
                </c:pt>
                <c:pt idx="21">
                  <c:v>110.38459786466892</c:v>
                </c:pt>
                <c:pt idx="22">
                  <c:v>111.08749811660574</c:v>
                </c:pt>
                <c:pt idx="23">
                  <c:v>111.98767296567141</c:v>
                </c:pt>
                <c:pt idx="24">
                  <c:v>110.49287113378581</c:v>
                </c:pt>
                <c:pt idx="25">
                  <c:v>109.62756097817365</c:v>
                </c:pt>
                <c:pt idx="26">
                  <c:v>109.81134521652902</c:v>
                </c:pt>
                <c:pt idx="27">
                  <c:v>111.20400576055837</c:v>
                </c:pt>
                <c:pt idx="28">
                  <c:v>110.44013609494409</c:v>
                </c:pt>
                <c:pt idx="29">
                  <c:v>108.11383760411229</c:v>
                </c:pt>
                <c:pt idx="30">
                  <c:v>108.41956066982259</c:v>
                </c:pt>
                <c:pt idx="31">
                  <c:v>108.2473395961302</c:v>
                </c:pt>
                <c:pt idx="32">
                  <c:v>109.22022222300087</c:v>
                </c:pt>
                <c:pt idx="33">
                  <c:v>107.97140043940026</c:v>
                </c:pt>
                <c:pt idx="34">
                  <c:v>108.78362515724152</c:v>
                </c:pt>
                <c:pt idx="35">
                  <c:v>109.11072255763186</c:v>
                </c:pt>
                <c:pt idx="36">
                  <c:v>108.00206034570358</c:v>
                </c:pt>
                <c:pt idx="37">
                  <c:v>107.21506435076333</c:v>
                </c:pt>
                <c:pt idx="38">
                  <c:v>107.64658063204959</c:v>
                </c:pt>
                <c:pt idx="39">
                  <c:v>107.73698355577824</c:v>
                </c:pt>
                <c:pt idx="40">
                  <c:v>109.14698884680207</c:v>
                </c:pt>
                <c:pt idx="41">
                  <c:v>109.25631331270651</c:v>
                </c:pt>
                <c:pt idx="42">
                  <c:v>110.0093206115162</c:v>
                </c:pt>
                <c:pt idx="43">
                  <c:v>108.6336544155521</c:v>
                </c:pt>
                <c:pt idx="44">
                  <c:v>109.21864542781957</c:v>
                </c:pt>
                <c:pt idx="45">
                  <c:v>108.82339543570355</c:v>
                </c:pt>
                <c:pt idx="46">
                  <c:v>108.7181005574847</c:v>
                </c:pt>
                <c:pt idx="47">
                  <c:v>108.80394829513401</c:v>
                </c:pt>
                <c:pt idx="48">
                  <c:v>108.4962980353132</c:v>
                </c:pt>
                <c:pt idx="49">
                  <c:v>109.27067966880293</c:v>
                </c:pt>
                <c:pt idx="50">
                  <c:v>109.35512581073552</c:v>
                </c:pt>
                <c:pt idx="51">
                  <c:v>110.00844461419325</c:v>
                </c:pt>
                <c:pt idx="52">
                  <c:v>110.29226774682976</c:v>
                </c:pt>
                <c:pt idx="53">
                  <c:v>109.2452757464373</c:v>
                </c:pt>
                <c:pt idx="54">
                  <c:v>109.0203196339032</c:v>
                </c:pt>
                <c:pt idx="55">
                  <c:v>110.59641401735875</c:v>
                </c:pt>
                <c:pt idx="56">
                  <c:v>111.32244059862153</c:v>
                </c:pt>
                <c:pt idx="57">
                  <c:v>111.76411844885401</c:v>
                </c:pt>
                <c:pt idx="58">
                  <c:v>111.43474345542398</c:v>
                </c:pt>
                <c:pt idx="59">
                  <c:v>111.60819092536853</c:v>
                </c:pt>
                <c:pt idx="60">
                  <c:v>110.30751010024913</c:v>
                </c:pt>
                <c:pt idx="61">
                  <c:v>110.12162346831866</c:v>
                </c:pt>
                <c:pt idx="62">
                  <c:v>110.56225012176361</c:v>
                </c:pt>
                <c:pt idx="63">
                  <c:v>110.63268030652897</c:v>
                </c:pt>
                <c:pt idx="64">
                  <c:v>110.27579899715825</c:v>
                </c:pt>
                <c:pt idx="65">
                  <c:v>109.91751609207081</c:v>
                </c:pt>
                <c:pt idx="66">
                  <c:v>111.19121619964329</c:v>
                </c:pt>
                <c:pt idx="67">
                  <c:v>110.82487411918468</c:v>
                </c:pt>
                <c:pt idx="68">
                  <c:v>110.85483322762965</c:v>
                </c:pt>
                <c:pt idx="69">
                  <c:v>110.489367144494</c:v>
                </c:pt>
                <c:pt idx="70">
                  <c:v>110.34500278567148</c:v>
                </c:pt>
                <c:pt idx="71">
                  <c:v>109.62510818566938</c:v>
                </c:pt>
                <c:pt idx="72">
                  <c:v>108.46441173275774</c:v>
                </c:pt>
                <c:pt idx="73">
                  <c:v>108.80324749727563</c:v>
                </c:pt>
                <c:pt idx="74">
                  <c:v>109.04064277179569</c:v>
                </c:pt>
                <c:pt idx="75">
                  <c:v>109.52927407853841</c:v>
                </c:pt>
                <c:pt idx="76">
                  <c:v>109.17869994989296</c:v>
                </c:pt>
                <c:pt idx="77">
                  <c:v>109.53750845337416</c:v>
                </c:pt>
                <c:pt idx="78">
                  <c:v>110.41052738542831</c:v>
                </c:pt>
                <c:pt idx="79">
                  <c:v>111.73486013826741</c:v>
                </c:pt>
                <c:pt idx="80">
                  <c:v>111.42650908058825</c:v>
                </c:pt>
                <c:pt idx="81">
                  <c:v>110.52458223687668</c:v>
                </c:pt>
                <c:pt idx="82">
                  <c:v>110.94506095189374</c:v>
                </c:pt>
                <c:pt idx="83">
                  <c:v>110.41438177364931</c:v>
                </c:pt>
                <c:pt idx="84">
                  <c:v>110.10760751115146</c:v>
                </c:pt>
                <c:pt idx="85">
                  <c:v>110.10235152721373</c:v>
                </c:pt>
                <c:pt idx="86">
                  <c:v>109.03678838357469</c:v>
                </c:pt>
                <c:pt idx="87">
                  <c:v>109.19131431134346</c:v>
                </c:pt>
                <c:pt idx="88">
                  <c:v>110.39668662772566</c:v>
                </c:pt>
                <c:pt idx="89">
                  <c:v>111.18298182480753</c:v>
                </c:pt>
                <c:pt idx="90">
                  <c:v>110.81576374702597</c:v>
                </c:pt>
                <c:pt idx="91">
                  <c:v>111.42160349557972</c:v>
                </c:pt>
                <c:pt idx="92">
                  <c:v>111.21749611933186</c:v>
                </c:pt>
                <c:pt idx="93">
                  <c:v>114.10898808293241</c:v>
                </c:pt>
                <c:pt idx="94">
                  <c:v>116.38938431404154</c:v>
                </c:pt>
                <c:pt idx="95">
                  <c:v>118.61669510737975</c:v>
                </c:pt>
                <c:pt idx="96">
                  <c:v>119.41420307019541</c:v>
                </c:pt>
                <c:pt idx="97">
                  <c:v>116.55985339308801</c:v>
                </c:pt>
                <c:pt idx="98">
                  <c:v>118.14488294923771</c:v>
                </c:pt>
                <c:pt idx="99">
                  <c:v>117.17059872665028</c:v>
                </c:pt>
                <c:pt idx="100">
                  <c:v>118.17641885286399</c:v>
                </c:pt>
                <c:pt idx="101">
                  <c:v>117.66623801197662</c:v>
                </c:pt>
                <c:pt idx="102">
                  <c:v>117.83302790226674</c:v>
                </c:pt>
                <c:pt idx="103">
                  <c:v>119.6563287302594</c:v>
                </c:pt>
                <c:pt idx="104">
                  <c:v>119.51319076768903</c:v>
                </c:pt>
                <c:pt idx="105">
                  <c:v>117.74700496515283</c:v>
                </c:pt>
                <c:pt idx="106">
                  <c:v>117.67885237342712</c:v>
                </c:pt>
                <c:pt idx="107">
                  <c:v>118.73092515829271</c:v>
                </c:pt>
                <c:pt idx="108">
                  <c:v>119.07168811692111</c:v>
                </c:pt>
                <c:pt idx="109">
                  <c:v>119.50355479713653</c:v>
                </c:pt>
                <c:pt idx="110">
                  <c:v>118.28416652358709</c:v>
                </c:pt>
                <c:pt idx="111">
                  <c:v>119.38599595639634</c:v>
                </c:pt>
                <c:pt idx="112">
                  <c:v>119.25039157080334</c:v>
                </c:pt>
                <c:pt idx="113">
                  <c:v>119.61235366464717</c:v>
                </c:pt>
                <c:pt idx="114">
                  <c:v>121.58807802683353</c:v>
                </c:pt>
                <c:pt idx="115">
                  <c:v>122.3601820672836</c:v>
                </c:pt>
                <c:pt idx="116">
                  <c:v>123.55714480936545</c:v>
                </c:pt>
                <c:pt idx="117">
                  <c:v>121.95967609122987</c:v>
                </c:pt>
                <c:pt idx="118">
                  <c:v>121.10575390081605</c:v>
                </c:pt>
                <c:pt idx="119">
                  <c:v>119.82504581465999</c:v>
                </c:pt>
                <c:pt idx="120">
                  <c:v>119.32099695503331</c:v>
                </c:pt>
                <c:pt idx="121">
                  <c:v>119.14001590811137</c:v>
                </c:pt>
                <c:pt idx="122">
                  <c:v>118.20269877255254</c:v>
                </c:pt>
                <c:pt idx="123">
                  <c:v>117.07213662755045</c:v>
                </c:pt>
                <c:pt idx="124">
                  <c:v>116.15812102078216</c:v>
                </c:pt>
                <c:pt idx="125">
                  <c:v>116.54811502896045</c:v>
                </c:pt>
                <c:pt idx="126">
                  <c:v>115.28475168979884</c:v>
                </c:pt>
                <c:pt idx="127">
                  <c:v>115.31488599770839</c:v>
                </c:pt>
                <c:pt idx="128">
                  <c:v>115.50778060822245</c:v>
                </c:pt>
                <c:pt idx="129">
                  <c:v>114.61251134416533</c:v>
                </c:pt>
                <c:pt idx="130">
                  <c:v>114.74040695331634</c:v>
                </c:pt>
              </c:numCache>
            </c:numRef>
          </c:val>
          <c:smooth val="0"/>
          <c:extLst xmlns:c16r2="http://schemas.microsoft.com/office/drawing/2015/06/chart">
            <c:ext xmlns:c16="http://schemas.microsoft.com/office/drawing/2014/chart" uri="{C3380CC4-5D6E-409C-BE32-E72D297353CC}">
              <c16:uniqueId val="{00000001-B25B-2F45-B088-2533806B9851}"/>
            </c:ext>
          </c:extLst>
        </c:ser>
        <c:ser>
          <c:idx val="2"/>
          <c:order val="2"/>
          <c:tx>
            <c:strRef>
              <c:f>Currency!$Q$68</c:f>
              <c:strCache>
                <c:ptCount val="1"/>
                <c:pt idx="0">
                  <c:v>Rupee</c:v>
                </c:pt>
              </c:strCache>
            </c:strRef>
          </c:tx>
          <c:spPr>
            <a:ln w="28575" cap="rnd">
              <a:solidFill>
                <a:schemeClr val="accent3"/>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Currency!$Q$69:$Q$199</c:f>
              <c:numCache>
                <c:formatCode>0.00</c:formatCode>
                <c:ptCount val="131"/>
                <c:pt idx="0">
                  <c:v>100</c:v>
                </c:pt>
                <c:pt idx="1">
                  <c:v>100</c:v>
                </c:pt>
                <c:pt idx="2">
                  <c:v>99.803039607000315</c:v>
                </c:pt>
                <c:pt idx="3">
                  <c:v>99.792754068160875</c:v>
                </c:pt>
                <c:pt idx="4">
                  <c:v>99.535615597175322</c:v>
                </c:pt>
                <c:pt idx="5">
                  <c:v>99.673011974209402</c:v>
                </c:pt>
                <c:pt idx="6">
                  <c:v>99.562480810561865</c:v>
                </c:pt>
                <c:pt idx="7">
                  <c:v>99.723518575376119</c:v>
                </c:pt>
                <c:pt idx="8">
                  <c:v>100.076757752533</c:v>
                </c:pt>
                <c:pt idx="9">
                  <c:v>100.23042677310407</c:v>
                </c:pt>
                <c:pt idx="10">
                  <c:v>100.13816395455942</c:v>
                </c:pt>
                <c:pt idx="11">
                  <c:v>100.50583358919249</c:v>
                </c:pt>
                <c:pt idx="12">
                  <c:v>100.82591341725514</c:v>
                </c:pt>
                <c:pt idx="13">
                  <c:v>100.92953638317471</c:v>
                </c:pt>
                <c:pt idx="14">
                  <c:v>101.57368744243168</c:v>
                </c:pt>
                <c:pt idx="15">
                  <c:v>101.59656125268653</c:v>
                </c:pt>
                <c:pt idx="16">
                  <c:v>102.14630027632792</c:v>
                </c:pt>
                <c:pt idx="17">
                  <c:v>101.94181762357996</c:v>
                </c:pt>
                <c:pt idx="18">
                  <c:v>102.78630641694811</c:v>
                </c:pt>
                <c:pt idx="19">
                  <c:v>102.66042370279398</c:v>
                </c:pt>
                <c:pt idx="20">
                  <c:v>102.30242554498004</c:v>
                </c:pt>
                <c:pt idx="21">
                  <c:v>102.30242554498004</c:v>
                </c:pt>
                <c:pt idx="22">
                  <c:v>102.30242554498004</c:v>
                </c:pt>
                <c:pt idx="23">
                  <c:v>102.47666564322996</c:v>
                </c:pt>
                <c:pt idx="24">
                  <c:v>102.37949032852318</c:v>
                </c:pt>
                <c:pt idx="25">
                  <c:v>102.56908197727972</c:v>
                </c:pt>
                <c:pt idx="26">
                  <c:v>103.10485108996008</c:v>
                </c:pt>
                <c:pt idx="27">
                  <c:v>102.97052502302732</c:v>
                </c:pt>
                <c:pt idx="28">
                  <c:v>103.45026097635861</c:v>
                </c:pt>
                <c:pt idx="29">
                  <c:v>102.92063248388088</c:v>
                </c:pt>
                <c:pt idx="30">
                  <c:v>103.40850475898064</c:v>
                </c:pt>
                <c:pt idx="31">
                  <c:v>103.74808105618669</c:v>
                </c:pt>
                <c:pt idx="32">
                  <c:v>104.71292600552655</c:v>
                </c:pt>
                <c:pt idx="33">
                  <c:v>103.91311022413264</c:v>
                </c:pt>
                <c:pt idx="34">
                  <c:v>104.1065397605158</c:v>
                </c:pt>
                <c:pt idx="35">
                  <c:v>104.38148603008904</c:v>
                </c:pt>
                <c:pt idx="36">
                  <c:v>104.58243782622046</c:v>
                </c:pt>
                <c:pt idx="37">
                  <c:v>104.43030396070002</c:v>
                </c:pt>
                <c:pt idx="38">
                  <c:v>104.95855081363219</c:v>
                </c:pt>
                <c:pt idx="39">
                  <c:v>104.86260362296593</c:v>
                </c:pt>
                <c:pt idx="40">
                  <c:v>104.0835124347559</c:v>
                </c:pt>
                <c:pt idx="41">
                  <c:v>103.50782929075837</c:v>
                </c:pt>
                <c:pt idx="42">
                  <c:v>104.07844642308875</c:v>
                </c:pt>
                <c:pt idx="43">
                  <c:v>103.58474055879643</c:v>
                </c:pt>
                <c:pt idx="44">
                  <c:v>103.50015351550508</c:v>
                </c:pt>
                <c:pt idx="45">
                  <c:v>102.79996929689898</c:v>
                </c:pt>
                <c:pt idx="46">
                  <c:v>102.94795824378262</c:v>
                </c:pt>
                <c:pt idx="47">
                  <c:v>103.03883942278172</c:v>
                </c:pt>
                <c:pt idx="48">
                  <c:v>102.61544365980964</c:v>
                </c:pt>
                <c:pt idx="49">
                  <c:v>103.56616518268345</c:v>
                </c:pt>
                <c:pt idx="50">
                  <c:v>103.71215842800122</c:v>
                </c:pt>
                <c:pt idx="51">
                  <c:v>103.63064169481117</c:v>
                </c:pt>
                <c:pt idx="52">
                  <c:v>103.63447958243781</c:v>
                </c:pt>
                <c:pt idx="53">
                  <c:v>103.53469450414492</c:v>
                </c:pt>
                <c:pt idx="54">
                  <c:v>104.01596561252686</c:v>
                </c:pt>
                <c:pt idx="55">
                  <c:v>104.68989867976663</c:v>
                </c:pt>
                <c:pt idx="56">
                  <c:v>104.55634019035924</c:v>
                </c:pt>
                <c:pt idx="57">
                  <c:v>104.55480503530856</c:v>
                </c:pt>
                <c:pt idx="58">
                  <c:v>104.49339883328214</c:v>
                </c:pt>
                <c:pt idx="59">
                  <c:v>104.1495241019343</c:v>
                </c:pt>
                <c:pt idx="60">
                  <c:v>104.19481117592878</c:v>
                </c:pt>
                <c:pt idx="61">
                  <c:v>104.55173472520724</c:v>
                </c:pt>
                <c:pt idx="62">
                  <c:v>104.90098249923241</c:v>
                </c:pt>
                <c:pt idx="63">
                  <c:v>105.72152287381027</c:v>
                </c:pt>
                <c:pt idx="64">
                  <c:v>105.66472213693584</c:v>
                </c:pt>
                <c:pt idx="65">
                  <c:v>105.11974209395147</c:v>
                </c:pt>
                <c:pt idx="66">
                  <c:v>105.52655818237642</c:v>
                </c:pt>
                <c:pt idx="67">
                  <c:v>105.28599938593797</c:v>
                </c:pt>
                <c:pt idx="68">
                  <c:v>105.90267116978815</c:v>
                </c:pt>
                <c:pt idx="69">
                  <c:v>105.65704636168253</c:v>
                </c:pt>
                <c:pt idx="70">
                  <c:v>105.56248081056188</c:v>
                </c:pt>
                <c:pt idx="71">
                  <c:v>105.39376727049432</c:v>
                </c:pt>
                <c:pt idx="72">
                  <c:v>105.39453484801965</c:v>
                </c:pt>
                <c:pt idx="73">
                  <c:v>105.59564015965613</c:v>
                </c:pt>
                <c:pt idx="74">
                  <c:v>104.85108996008596</c:v>
                </c:pt>
                <c:pt idx="75">
                  <c:v>105.12112373349707</c:v>
                </c:pt>
                <c:pt idx="76">
                  <c:v>105.1941971139085</c:v>
                </c:pt>
                <c:pt idx="77">
                  <c:v>105.01995701565858</c:v>
                </c:pt>
                <c:pt idx="78">
                  <c:v>105.06601166717837</c:v>
                </c:pt>
                <c:pt idx="79">
                  <c:v>105.9728277556033</c:v>
                </c:pt>
                <c:pt idx="80">
                  <c:v>105.53960700030704</c:v>
                </c:pt>
                <c:pt idx="81">
                  <c:v>105.85124347559103</c:v>
                </c:pt>
                <c:pt idx="82">
                  <c:v>105.72843107153822</c:v>
                </c:pt>
                <c:pt idx="83">
                  <c:v>105.46131409272337</c:v>
                </c:pt>
                <c:pt idx="84">
                  <c:v>105.4435062941357</c:v>
                </c:pt>
                <c:pt idx="85">
                  <c:v>105.34617746392385</c:v>
                </c:pt>
                <c:pt idx="86">
                  <c:v>105.34694504144919</c:v>
                </c:pt>
                <c:pt idx="87">
                  <c:v>105.09026711697882</c:v>
                </c:pt>
                <c:pt idx="88">
                  <c:v>104.88179306109915</c:v>
                </c:pt>
                <c:pt idx="89">
                  <c:v>105.26558182376419</c:v>
                </c:pt>
                <c:pt idx="90">
                  <c:v>105.22674240098252</c:v>
                </c:pt>
                <c:pt idx="91">
                  <c:v>105.65551120663186</c:v>
                </c:pt>
                <c:pt idx="92">
                  <c:v>105.3599938593798</c:v>
                </c:pt>
                <c:pt idx="93">
                  <c:v>105.40267116978814</c:v>
                </c:pt>
                <c:pt idx="94">
                  <c:v>105.56785385323919</c:v>
                </c:pt>
                <c:pt idx="95">
                  <c:v>106.10224132637396</c:v>
                </c:pt>
                <c:pt idx="96">
                  <c:v>107.69112680380719</c:v>
                </c:pt>
                <c:pt idx="97">
                  <c:v>107.53377341111452</c:v>
                </c:pt>
                <c:pt idx="98">
                  <c:v>108.04190973288303</c:v>
                </c:pt>
                <c:pt idx="99">
                  <c:v>107.52993552348786</c:v>
                </c:pt>
                <c:pt idx="100">
                  <c:v>107.49923242247468</c:v>
                </c:pt>
                <c:pt idx="101">
                  <c:v>107.19220141234264</c:v>
                </c:pt>
                <c:pt idx="102">
                  <c:v>107.16564322996622</c:v>
                </c:pt>
                <c:pt idx="103">
                  <c:v>107.19987718759594</c:v>
                </c:pt>
                <c:pt idx="104">
                  <c:v>107.72643536997238</c:v>
                </c:pt>
                <c:pt idx="105">
                  <c:v>107.16917408658276</c:v>
                </c:pt>
                <c:pt idx="106">
                  <c:v>107.36106846791526</c:v>
                </c:pt>
                <c:pt idx="107">
                  <c:v>107.61436905127417</c:v>
                </c:pt>
                <c:pt idx="108">
                  <c:v>108.28216149831131</c:v>
                </c:pt>
                <c:pt idx="109">
                  <c:v>108.97681915873503</c:v>
                </c:pt>
                <c:pt idx="110">
                  <c:v>108.78876266502915</c:v>
                </c:pt>
                <c:pt idx="111">
                  <c:v>109.26466073073379</c:v>
                </c:pt>
                <c:pt idx="112">
                  <c:v>109.55480503530856</c:v>
                </c:pt>
                <c:pt idx="113">
                  <c:v>109.83573840957936</c:v>
                </c:pt>
                <c:pt idx="114">
                  <c:v>110.48510899600859</c:v>
                </c:pt>
                <c:pt idx="115">
                  <c:v>110.52348787227511</c:v>
                </c:pt>
                <c:pt idx="116">
                  <c:v>111.42155357691126</c:v>
                </c:pt>
                <c:pt idx="117">
                  <c:v>111.43690512741789</c:v>
                </c:pt>
                <c:pt idx="118">
                  <c:v>110.48004298434142</c:v>
                </c:pt>
                <c:pt idx="119">
                  <c:v>110.02763279091188</c:v>
                </c:pt>
                <c:pt idx="120">
                  <c:v>110.44673011974209</c:v>
                </c:pt>
                <c:pt idx="121">
                  <c:v>111.21661037764814</c:v>
                </c:pt>
                <c:pt idx="122">
                  <c:v>111.64798894688363</c:v>
                </c:pt>
                <c:pt idx="123">
                  <c:v>110.73533926926619</c:v>
                </c:pt>
                <c:pt idx="124">
                  <c:v>110.19957015658581</c:v>
                </c:pt>
                <c:pt idx="125">
                  <c:v>110.98403438747313</c:v>
                </c:pt>
                <c:pt idx="126">
                  <c:v>111.83604544058949</c:v>
                </c:pt>
                <c:pt idx="127">
                  <c:v>111.64031317163032</c:v>
                </c:pt>
                <c:pt idx="128">
                  <c:v>111.40896530549584</c:v>
                </c:pt>
                <c:pt idx="129">
                  <c:v>111.42922935216455</c:v>
                </c:pt>
                <c:pt idx="130">
                  <c:v>111.37473134786613</c:v>
                </c:pt>
              </c:numCache>
            </c:numRef>
          </c:val>
          <c:smooth val="0"/>
          <c:extLst xmlns:c16r2="http://schemas.microsoft.com/office/drawing/2015/06/chart">
            <c:ext xmlns:c16="http://schemas.microsoft.com/office/drawing/2014/chart" uri="{C3380CC4-5D6E-409C-BE32-E72D297353CC}">
              <c16:uniqueId val="{00000002-B25B-2F45-B088-2533806B9851}"/>
            </c:ext>
          </c:extLst>
        </c:ser>
        <c:ser>
          <c:idx val="3"/>
          <c:order val="3"/>
          <c:tx>
            <c:strRef>
              <c:f>Currency!$R$68</c:f>
              <c:strCache>
                <c:ptCount val="1"/>
                <c:pt idx="0">
                  <c:v>Renminbi</c:v>
                </c:pt>
              </c:strCache>
            </c:strRef>
          </c:tx>
          <c:spPr>
            <a:ln w="28575" cap="rnd">
              <a:solidFill>
                <a:schemeClr val="accent4"/>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Currency!$R$69:$R$199</c:f>
              <c:numCache>
                <c:formatCode>0.00</c:formatCode>
                <c:ptCount val="131"/>
                <c:pt idx="0">
                  <c:v>100</c:v>
                </c:pt>
                <c:pt idx="1">
                  <c:v>99.880725190839698</c:v>
                </c:pt>
                <c:pt idx="2">
                  <c:v>100.21310432569975</c:v>
                </c:pt>
                <c:pt idx="3">
                  <c:v>100.42938931297709</c:v>
                </c:pt>
                <c:pt idx="4">
                  <c:v>100.48664122137406</c:v>
                </c:pt>
                <c:pt idx="5">
                  <c:v>100.34510178117048</c:v>
                </c:pt>
                <c:pt idx="6">
                  <c:v>100.41189567430024</c:v>
                </c:pt>
                <c:pt idx="7">
                  <c:v>100.162213740458</c:v>
                </c:pt>
                <c:pt idx="8">
                  <c:v>99.599236641221381</c:v>
                </c:pt>
                <c:pt idx="9">
                  <c:v>100.23218829516539</c:v>
                </c:pt>
                <c:pt idx="10">
                  <c:v>99.988867684478365</c:v>
                </c:pt>
                <c:pt idx="11">
                  <c:v>100.10496183206105</c:v>
                </c:pt>
                <c:pt idx="12">
                  <c:v>100.22741730279898</c:v>
                </c:pt>
                <c:pt idx="13">
                  <c:v>99.783715012722638</c:v>
                </c:pt>
                <c:pt idx="14">
                  <c:v>99.858460559796427</c:v>
                </c:pt>
                <c:pt idx="15">
                  <c:v>100.13517811704835</c:v>
                </c:pt>
                <c:pt idx="16">
                  <c:v>100.46278625954197</c:v>
                </c:pt>
                <c:pt idx="17">
                  <c:v>100.97964376590329</c:v>
                </c:pt>
                <c:pt idx="18">
                  <c:v>100.77449109414758</c:v>
                </c:pt>
                <c:pt idx="19">
                  <c:v>100.82379134860051</c:v>
                </c:pt>
                <c:pt idx="20">
                  <c:v>100.78721374045803</c:v>
                </c:pt>
                <c:pt idx="21">
                  <c:v>100.93511450381678</c:v>
                </c:pt>
                <c:pt idx="22">
                  <c:v>100.72041984732824</c:v>
                </c:pt>
                <c:pt idx="23">
                  <c:v>101.18479643765903</c:v>
                </c:pt>
                <c:pt idx="24">
                  <c:v>101.04484732824426</c:v>
                </c:pt>
                <c:pt idx="25">
                  <c:v>101.18797709923663</c:v>
                </c:pt>
                <c:pt idx="26">
                  <c:v>101.2531806615776</c:v>
                </c:pt>
                <c:pt idx="27">
                  <c:v>101.31520356234095</c:v>
                </c:pt>
                <c:pt idx="28">
                  <c:v>101.18320610687022</c:v>
                </c:pt>
                <c:pt idx="29">
                  <c:v>100.97328244274809</c:v>
                </c:pt>
                <c:pt idx="30">
                  <c:v>100.73314249363867</c:v>
                </c:pt>
                <c:pt idx="31">
                  <c:v>100.81424936386767</c:v>
                </c:pt>
                <c:pt idx="32">
                  <c:v>101.84001272264631</c:v>
                </c:pt>
                <c:pt idx="33">
                  <c:v>101.32792620865141</c:v>
                </c:pt>
                <c:pt idx="34">
                  <c:v>101.25795165394402</c:v>
                </c:pt>
                <c:pt idx="35">
                  <c:v>101.53466921119592</c:v>
                </c:pt>
                <c:pt idx="36">
                  <c:v>101.76367684478372</c:v>
                </c:pt>
                <c:pt idx="37">
                  <c:v>101.50445292620864</c:v>
                </c:pt>
                <c:pt idx="38">
                  <c:v>101.90521628498728</c:v>
                </c:pt>
                <c:pt idx="39">
                  <c:v>101.70006361323153</c:v>
                </c:pt>
                <c:pt idx="40">
                  <c:v>101.52353689567431</c:v>
                </c:pt>
                <c:pt idx="41">
                  <c:v>101.77003816793892</c:v>
                </c:pt>
                <c:pt idx="42">
                  <c:v>102.12786259541984</c:v>
                </c:pt>
                <c:pt idx="43">
                  <c:v>101.74777353689566</c:v>
                </c:pt>
                <c:pt idx="44">
                  <c:v>101.94656488549619</c:v>
                </c:pt>
                <c:pt idx="45">
                  <c:v>102.1055979643766</c:v>
                </c:pt>
                <c:pt idx="46">
                  <c:v>101.82410941475828</c:v>
                </c:pt>
                <c:pt idx="47">
                  <c:v>101.9195292620865</c:v>
                </c:pt>
                <c:pt idx="48">
                  <c:v>101.78276081424936</c:v>
                </c:pt>
                <c:pt idx="49">
                  <c:v>101.60941475826972</c:v>
                </c:pt>
                <c:pt idx="50">
                  <c:v>101.875</c:v>
                </c:pt>
                <c:pt idx="51">
                  <c:v>101.66507633587784</c:v>
                </c:pt>
                <c:pt idx="52">
                  <c:v>101.67620865139948</c:v>
                </c:pt>
                <c:pt idx="53">
                  <c:v>101.95928753180661</c:v>
                </c:pt>
                <c:pt idx="54">
                  <c:v>101.73346055979644</c:v>
                </c:pt>
                <c:pt idx="55">
                  <c:v>102.14376590330787</c:v>
                </c:pt>
                <c:pt idx="56">
                  <c:v>102.53498727735368</c:v>
                </c:pt>
                <c:pt idx="57">
                  <c:v>102.92779898218829</c:v>
                </c:pt>
                <c:pt idx="58">
                  <c:v>103.19020356234097</c:v>
                </c:pt>
                <c:pt idx="59">
                  <c:v>103.46533078880407</c:v>
                </c:pt>
                <c:pt idx="60">
                  <c:v>103.56870229007633</c:v>
                </c:pt>
                <c:pt idx="61">
                  <c:v>104.33683206106869</c:v>
                </c:pt>
                <c:pt idx="62">
                  <c:v>104.63263358778624</c:v>
                </c:pt>
                <c:pt idx="63">
                  <c:v>104.73759541984732</c:v>
                </c:pt>
                <c:pt idx="64">
                  <c:v>105.40712468193385</c:v>
                </c:pt>
                <c:pt idx="65">
                  <c:v>105.34192111959287</c:v>
                </c:pt>
                <c:pt idx="66">
                  <c:v>106.47105597964375</c:v>
                </c:pt>
                <c:pt idx="67">
                  <c:v>105.46755725190839</c:v>
                </c:pt>
                <c:pt idx="68">
                  <c:v>105.57092875318065</c:v>
                </c:pt>
                <c:pt idx="69">
                  <c:v>105.69815521628499</c:v>
                </c:pt>
                <c:pt idx="70">
                  <c:v>105.64408396946565</c:v>
                </c:pt>
                <c:pt idx="71">
                  <c:v>105.26717557251908</c:v>
                </c:pt>
                <c:pt idx="72">
                  <c:v>106.08937659033077</c:v>
                </c:pt>
                <c:pt idx="73">
                  <c:v>106.09414758269719</c:v>
                </c:pt>
                <c:pt idx="74">
                  <c:v>105.77767175572519</c:v>
                </c:pt>
                <c:pt idx="75">
                  <c:v>107.01176844783716</c:v>
                </c:pt>
                <c:pt idx="76">
                  <c:v>106.19592875318065</c:v>
                </c:pt>
                <c:pt idx="77">
                  <c:v>106.47423664122138</c:v>
                </c:pt>
                <c:pt idx="78">
                  <c:v>107.80534351145039</c:v>
                </c:pt>
                <c:pt idx="79">
                  <c:v>108.22996183206106</c:v>
                </c:pt>
                <c:pt idx="80">
                  <c:v>107.74332061068701</c:v>
                </c:pt>
                <c:pt idx="81">
                  <c:v>108.12022900763358</c:v>
                </c:pt>
                <c:pt idx="82">
                  <c:v>108.01208651399492</c:v>
                </c:pt>
                <c:pt idx="83">
                  <c:v>107.66062340966923</c:v>
                </c:pt>
                <c:pt idx="84">
                  <c:v>108.02798982188295</c:v>
                </c:pt>
                <c:pt idx="85">
                  <c:v>108.36036895674299</c:v>
                </c:pt>
                <c:pt idx="86">
                  <c:v>108.38899491094148</c:v>
                </c:pt>
                <c:pt idx="87">
                  <c:v>108.49713740458016</c:v>
                </c:pt>
                <c:pt idx="88">
                  <c:v>108.62754452926208</c:v>
                </c:pt>
                <c:pt idx="89">
                  <c:v>108.82315521628499</c:v>
                </c:pt>
                <c:pt idx="90">
                  <c:v>108.92175572519082</c:v>
                </c:pt>
                <c:pt idx="91">
                  <c:v>109.05693384223918</c:v>
                </c:pt>
                <c:pt idx="92">
                  <c:v>108.74681933842238</c:v>
                </c:pt>
                <c:pt idx="93">
                  <c:v>108.80884223918574</c:v>
                </c:pt>
                <c:pt idx="94">
                  <c:v>108.57506361323155</c:v>
                </c:pt>
                <c:pt idx="95">
                  <c:v>109.06647582697202</c:v>
                </c:pt>
                <c:pt idx="96">
                  <c:v>109.72646310432567</c:v>
                </c:pt>
                <c:pt idx="97">
                  <c:v>109.67398218829516</c:v>
                </c:pt>
                <c:pt idx="98">
                  <c:v>110.28625954198472</c:v>
                </c:pt>
                <c:pt idx="99">
                  <c:v>109.45610687022899</c:v>
                </c:pt>
                <c:pt idx="100">
                  <c:v>109.37659033078879</c:v>
                </c:pt>
                <c:pt idx="101">
                  <c:v>109.07124681933841</c:v>
                </c:pt>
                <c:pt idx="102">
                  <c:v>108.99968193384224</c:v>
                </c:pt>
                <c:pt idx="103">
                  <c:v>108.9058524173028</c:v>
                </c:pt>
                <c:pt idx="104">
                  <c:v>109.83142493638675</c:v>
                </c:pt>
                <c:pt idx="105">
                  <c:v>108.53053435114504</c:v>
                </c:pt>
                <c:pt idx="106">
                  <c:v>108.54802798982189</c:v>
                </c:pt>
                <c:pt idx="107">
                  <c:v>108.33015267175571</c:v>
                </c:pt>
                <c:pt idx="108">
                  <c:v>108.70229007633587</c:v>
                </c:pt>
                <c:pt idx="109">
                  <c:v>108.91539440203562</c:v>
                </c:pt>
                <c:pt idx="110">
                  <c:v>108.94402035623409</c:v>
                </c:pt>
                <c:pt idx="111">
                  <c:v>108.60050890585242</c:v>
                </c:pt>
                <c:pt idx="112">
                  <c:v>108.97105597964376</c:v>
                </c:pt>
                <c:pt idx="113">
                  <c:v>108.72932569974554</c:v>
                </c:pt>
                <c:pt idx="114">
                  <c:v>108.7484096692112</c:v>
                </c:pt>
                <c:pt idx="115">
                  <c:v>109.08078880407123</c:v>
                </c:pt>
                <c:pt idx="116">
                  <c:v>109.1380407124682</c:v>
                </c:pt>
                <c:pt idx="117">
                  <c:v>109.48314249363867</c:v>
                </c:pt>
                <c:pt idx="118">
                  <c:v>109.28435114503816</c:v>
                </c:pt>
                <c:pt idx="119">
                  <c:v>109.10464376590329</c:v>
                </c:pt>
                <c:pt idx="120">
                  <c:v>109.3002544529262</c:v>
                </c:pt>
                <c:pt idx="121">
                  <c:v>109.3718193384224</c:v>
                </c:pt>
                <c:pt idx="122">
                  <c:v>109.3797709923664</c:v>
                </c:pt>
                <c:pt idx="123">
                  <c:v>109.04103053435115</c:v>
                </c:pt>
                <c:pt idx="124">
                  <c:v>109.00445292620864</c:v>
                </c:pt>
                <c:pt idx="125">
                  <c:v>109.13645038167938</c:v>
                </c:pt>
                <c:pt idx="126">
                  <c:v>109.36704834605597</c:v>
                </c:pt>
                <c:pt idx="127">
                  <c:v>109.28594147582697</c:v>
                </c:pt>
                <c:pt idx="128">
                  <c:v>109.51653944020356</c:v>
                </c:pt>
                <c:pt idx="129">
                  <c:v>109.57856234096693</c:v>
                </c:pt>
                <c:pt idx="130">
                  <c:v>109.24141221374045</c:v>
                </c:pt>
              </c:numCache>
            </c:numRef>
          </c:val>
          <c:smooth val="0"/>
          <c:extLst xmlns:c16r2="http://schemas.microsoft.com/office/drawing/2015/06/chart">
            <c:ext xmlns:c16="http://schemas.microsoft.com/office/drawing/2014/chart" uri="{C3380CC4-5D6E-409C-BE32-E72D297353CC}">
              <c16:uniqueId val="{00000003-B25B-2F45-B088-2533806B9851}"/>
            </c:ext>
          </c:extLst>
        </c:ser>
        <c:ser>
          <c:idx val="4"/>
          <c:order val="4"/>
          <c:tx>
            <c:strRef>
              <c:f>Currency!$S$68</c:f>
              <c:strCache>
                <c:ptCount val="1"/>
                <c:pt idx="0">
                  <c:v>Rand</c:v>
                </c:pt>
              </c:strCache>
            </c:strRef>
          </c:tx>
          <c:spPr>
            <a:ln w="28575" cap="rnd">
              <a:solidFill>
                <a:schemeClr val="accent5"/>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Currency!$S$69:$S$199</c:f>
              <c:numCache>
                <c:formatCode>0.00</c:formatCode>
                <c:ptCount val="131"/>
                <c:pt idx="0">
                  <c:v>100</c:v>
                </c:pt>
                <c:pt idx="1">
                  <c:v>100.33409738727386</c:v>
                </c:pt>
                <c:pt idx="2">
                  <c:v>99.908651853606145</c:v>
                </c:pt>
                <c:pt idx="3">
                  <c:v>100.39837941621768</c:v>
                </c:pt>
                <c:pt idx="4">
                  <c:v>101.09533194055604</c:v>
                </c:pt>
                <c:pt idx="5">
                  <c:v>101.90139475086484</c:v>
                </c:pt>
                <c:pt idx="6">
                  <c:v>102.17713082238704</c:v>
                </c:pt>
                <c:pt idx="7">
                  <c:v>102.16613521217299</c:v>
                </c:pt>
                <c:pt idx="8">
                  <c:v>101.18414263843896</c:v>
                </c:pt>
                <c:pt idx="9">
                  <c:v>101.67725346573175</c:v>
                </c:pt>
                <c:pt idx="10">
                  <c:v>102.15683123429953</c:v>
                </c:pt>
                <c:pt idx="11">
                  <c:v>102.02488391173061</c:v>
                </c:pt>
                <c:pt idx="12">
                  <c:v>101.38883015165483</c:v>
                </c:pt>
                <c:pt idx="13">
                  <c:v>100.87795718478544</c:v>
                </c:pt>
                <c:pt idx="14">
                  <c:v>101.16045978567018</c:v>
                </c:pt>
                <c:pt idx="15">
                  <c:v>102.27270804963248</c:v>
                </c:pt>
                <c:pt idx="16">
                  <c:v>104.29082543200062</c:v>
                </c:pt>
                <c:pt idx="17">
                  <c:v>104.23330993241929</c:v>
                </c:pt>
                <c:pt idx="18">
                  <c:v>105.58830743726158</c:v>
                </c:pt>
                <c:pt idx="19">
                  <c:v>105.16793680061573</c:v>
                </c:pt>
                <c:pt idx="20">
                  <c:v>104.62915190012603</c:v>
                </c:pt>
                <c:pt idx="21">
                  <c:v>105.32356697595344</c:v>
                </c:pt>
                <c:pt idx="22">
                  <c:v>106.84011536932563</c:v>
                </c:pt>
                <c:pt idx="23">
                  <c:v>106.8511109795397</c:v>
                </c:pt>
                <c:pt idx="24">
                  <c:v>106.35461688756564</c:v>
                </c:pt>
                <c:pt idx="25">
                  <c:v>105.33456258616751</c:v>
                </c:pt>
                <c:pt idx="26">
                  <c:v>106.02728602965432</c:v>
                </c:pt>
                <c:pt idx="27">
                  <c:v>106.72085528931142</c:v>
                </c:pt>
                <c:pt idx="28">
                  <c:v>106.42143636502041</c:v>
                </c:pt>
                <c:pt idx="29">
                  <c:v>104.26460513072089</c:v>
                </c:pt>
                <c:pt idx="30">
                  <c:v>103.58287729744815</c:v>
                </c:pt>
                <c:pt idx="31">
                  <c:v>103.99901885324243</c:v>
                </c:pt>
                <c:pt idx="32">
                  <c:v>106.12709233775131</c:v>
                </c:pt>
                <c:pt idx="33">
                  <c:v>105.1078838525235</c:v>
                </c:pt>
                <c:pt idx="34">
                  <c:v>106.31401771139059</c:v>
                </c:pt>
                <c:pt idx="35">
                  <c:v>107.46348188684671</c:v>
                </c:pt>
                <c:pt idx="36">
                  <c:v>107.593737577075</c:v>
                </c:pt>
                <c:pt idx="37">
                  <c:v>106.29287230713275</c:v>
                </c:pt>
                <c:pt idx="38">
                  <c:v>105.57308274619595</c:v>
                </c:pt>
                <c:pt idx="39">
                  <c:v>104.94210388314202</c:v>
                </c:pt>
                <c:pt idx="40">
                  <c:v>105.58492417258032</c:v>
                </c:pt>
                <c:pt idx="41">
                  <c:v>105.38531155638633</c:v>
                </c:pt>
                <c:pt idx="42">
                  <c:v>107.01689094892114</c:v>
                </c:pt>
                <c:pt idx="43">
                  <c:v>105.95285420666671</c:v>
                </c:pt>
                <c:pt idx="44">
                  <c:v>107.26894416767459</c:v>
                </c:pt>
                <c:pt idx="45">
                  <c:v>107.01519931658052</c:v>
                </c:pt>
                <c:pt idx="46">
                  <c:v>106.40874912246572</c:v>
                </c:pt>
                <c:pt idx="47">
                  <c:v>107.91683935413477</c:v>
                </c:pt>
                <c:pt idx="48">
                  <c:v>107.59881247409686</c:v>
                </c:pt>
                <c:pt idx="49">
                  <c:v>109.72688595860573</c:v>
                </c:pt>
                <c:pt idx="50">
                  <c:v>110.71733669404291</c:v>
                </c:pt>
                <c:pt idx="51">
                  <c:v>111.02690541237767</c:v>
                </c:pt>
                <c:pt idx="52">
                  <c:v>112.29901293252924</c:v>
                </c:pt>
                <c:pt idx="53">
                  <c:v>112.00128564057887</c:v>
                </c:pt>
                <c:pt idx="54">
                  <c:v>112.98412403048322</c:v>
                </c:pt>
                <c:pt idx="55">
                  <c:v>113.2767764254117</c:v>
                </c:pt>
                <c:pt idx="56">
                  <c:v>115.50550203418788</c:v>
                </c:pt>
                <c:pt idx="57">
                  <c:v>116.51456072537194</c:v>
                </c:pt>
                <c:pt idx="58">
                  <c:v>115.12742220605772</c:v>
                </c:pt>
                <c:pt idx="59">
                  <c:v>114.91765979581999</c:v>
                </c:pt>
                <c:pt idx="60">
                  <c:v>113.46201016671036</c:v>
                </c:pt>
                <c:pt idx="61">
                  <c:v>115.22384524947347</c:v>
                </c:pt>
                <c:pt idx="62">
                  <c:v>114.32389684425988</c:v>
                </c:pt>
                <c:pt idx="63">
                  <c:v>117.36376016036674</c:v>
                </c:pt>
                <c:pt idx="64">
                  <c:v>116.84273739945358</c:v>
                </c:pt>
                <c:pt idx="65">
                  <c:v>116.35216402067175</c:v>
                </c:pt>
                <c:pt idx="66">
                  <c:v>117.69870336381089</c:v>
                </c:pt>
                <c:pt idx="67">
                  <c:v>116.18976731597155</c:v>
                </c:pt>
                <c:pt idx="68">
                  <c:v>115.83875360529142</c:v>
                </c:pt>
                <c:pt idx="69">
                  <c:v>114.60047873195238</c:v>
                </c:pt>
                <c:pt idx="70">
                  <c:v>114.13697147062058</c:v>
                </c:pt>
                <c:pt idx="71">
                  <c:v>113.26070591817574</c:v>
                </c:pt>
                <c:pt idx="72">
                  <c:v>112.80650263471736</c:v>
                </c:pt>
                <c:pt idx="73">
                  <c:v>114.11328861785179</c:v>
                </c:pt>
                <c:pt idx="74">
                  <c:v>112.29732130018861</c:v>
                </c:pt>
                <c:pt idx="75">
                  <c:v>112.30155038104017</c:v>
                </c:pt>
                <c:pt idx="76">
                  <c:v>111.83043077417554</c:v>
                </c:pt>
                <c:pt idx="77">
                  <c:v>112.26179702103545</c:v>
                </c:pt>
                <c:pt idx="78">
                  <c:v>112.07740909590709</c:v>
                </c:pt>
                <c:pt idx="79">
                  <c:v>114.7188929957963</c:v>
                </c:pt>
                <c:pt idx="80">
                  <c:v>113.92128834719063</c:v>
                </c:pt>
                <c:pt idx="81">
                  <c:v>114.29683072680983</c:v>
                </c:pt>
                <c:pt idx="82">
                  <c:v>112.54683707043111</c:v>
                </c:pt>
                <c:pt idx="83">
                  <c:v>111.57414847457052</c:v>
                </c:pt>
                <c:pt idx="84">
                  <c:v>111.75938221586921</c:v>
                </c:pt>
                <c:pt idx="85">
                  <c:v>111.60798112138306</c:v>
                </c:pt>
                <c:pt idx="86">
                  <c:v>111.30856219709209</c:v>
                </c:pt>
                <c:pt idx="87">
                  <c:v>110.78584780383831</c:v>
                </c:pt>
                <c:pt idx="88">
                  <c:v>111.9598406482335</c:v>
                </c:pt>
                <c:pt idx="89">
                  <c:v>113.10845900751929</c:v>
                </c:pt>
                <c:pt idx="90">
                  <c:v>112.45125984318567</c:v>
                </c:pt>
                <c:pt idx="91">
                  <c:v>113.43240660074937</c:v>
                </c:pt>
                <c:pt idx="92">
                  <c:v>112.72192101768601</c:v>
                </c:pt>
                <c:pt idx="93">
                  <c:v>113.54574596757141</c:v>
                </c:pt>
                <c:pt idx="94">
                  <c:v>115.600233445263</c:v>
                </c:pt>
                <c:pt idx="95">
                  <c:v>118.94374476651244</c:v>
                </c:pt>
                <c:pt idx="96">
                  <c:v>122.47333564523086</c:v>
                </c:pt>
                <c:pt idx="97">
                  <c:v>120.73856667991778</c:v>
                </c:pt>
                <c:pt idx="98">
                  <c:v>122.96137157550177</c:v>
                </c:pt>
                <c:pt idx="99">
                  <c:v>124.04570790584376</c:v>
                </c:pt>
                <c:pt idx="100">
                  <c:v>125.2180091178983</c:v>
                </c:pt>
                <c:pt idx="101">
                  <c:v>123.14829694914107</c:v>
                </c:pt>
                <c:pt idx="102">
                  <c:v>121.2392898527434</c:v>
                </c:pt>
                <c:pt idx="103">
                  <c:v>120.01539385429969</c:v>
                </c:pt>
                <c:pt idx="104">
                  <c:v>121.80006597366126</c:v>
                </c:pt>
                <c:pt idx="105">
                  <c:v>121.20714883827148</c:v>
                </c:pt>
                <c:pt idx="106">
                  <c:v>119.50874996828189</c:v>
                </c:pt>
                <c:pt idx="107">
                  <c:v>119.44277630699744</c:v>
                </c:pt>
                <c:pt idx="108">
                  <c:v>121.14455844166829</c:v>
                </c:pt>
                <c:pt idx="109">
                  <c:v>124.79087195188995</c:v>
                </c:pt>
                <c:pt idx="110">
                  <c:v>124.30537347012999</c:v>
                </c:pt>
                <c:pt idx="111">
                  <c:v>125.52165712304087</c:v>
                </c:pt>
                <c:pt idx="112">
                  <c:v>129.51644689543173</c:v>
                </c:pt>
                <c:pt idx="113">
                  <c:v>130.31320572786711</c:v>
                </c:pt>
                <c:pt idx="114">
                  <c:v>129.63824442395688</c:v>
                </c:pt>
                <c:pt idx="115">
                  <c:v>128.75013744512768</c:v>
                </c:pt>
                <c:pt idx="116">
                  <c:v>128.70108010724951</c:v>
                </c:pt>
                <c:pt idx="117">
                  <c:v>127.58460276243559</c:v>
                </c:pt>
                <c:pt idx="118">
                  <c:v>126.61445161508598</c:v>
                </c:pt>
                <c:pt idx="119">
                  <c:v>125.2805995145015</c:v>
                </c:pt>
                <c:pt idx="120">
                  <c:v>126.33533227888249</c:v>
                </c:pt>
                <c:pt idx="121">
                  <c:v>125.80246809158497</c:v>
                </c:pt>
                <c:pt idx="122">
                  <c:v>125.90904092904449</c:v>
                </c:pt>
                <c:pt idx="123">
                  <c:v>123.99495893562494</c:v>
                </c:pt>
                <c:pt idx="124">
                  <c:v>121.22660261018869</c:v>
                </c:pt>
                <c:pt idx="125">
                  <c:v>121.08281386123538</c:v>
                </c:pt>
                <c:pt idx="126">
                  <c:v>120.52542100499876</c:v>
                </c:pt>
                <c:pt idx="127">
                  <c:v>121.51418010809529</c:v>
                </c:pt>
                <c:pt idx="128">
                  <c:v>119.80901470874319</c:v>
                </c:pt>
                <c:pt idx="129">
                  <c:v>118.92175354608429</c:v>
                </c:pt>
                <c:pt idx="130">
                  <c:v>119.84200153938542</c:v>
                </c:pt>
              </c:numCache>
            </c:numRef>
          </c:val>
          <c:smooth val="0"/>
          <c:extLst xmlns:c16r2="http://schemas.microsoft.com/office/drawing/2015/06/chart">
            <c:ext xmlns:c16="http://schemas.microsoft.com/office/drawing/2014/chart" uri="{C3380CC4-5D6E-409C-BE32-E72D297353CC}">
              <c16:uniqueId val="{00000004-B25B-2F45-B088-2533806B9851}"/>
            </c:ext>
          </c:extLst>
        </c:ser>
        <c:ser>
          <c:idx val="5"/>
          <c:order val="5"/>
          <c:tx>
            <c:strRef>
              <c:f>Currency!$T$68</c:f>
              <c:strCache>
                <c:ptCount val="1"/>
                <c:pt idx="0">
                  <c:v>Won</c:v>
                </c:pt>
              </c:strCache>
            </c:strRef>
          </c:tx>
          <c:spPr>
            <a:ln w="28575" cap="rnd">
              <a:solidFill>
                <a:schemeClr val="accent6"/>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Currency!$T$69:$T$199</c:f>
              <c:numCache>
                <c:formatCode>0.00</c:formatCode>
                <c:ptCount val="131"/>
                <c:pt idx="0">
                  <c:v>100</c:v>
                </c:pt>
                <c:pt idx="1">
                  <c:v>99.654057518828893</c:v>
                </c:pt>
                <c:pt idx="2">
                  <c:v>99.539057565960022</c:v>
                </c:pt>
                <c:pt idx="3">
                  <c:v>100.04524588309596</c:v>
                </c:pt>
                <c:pt idx="4">
                  <c:v>100.10934421748188</c:v>
                </c:pt>
                <c:pt idx="5">
                  <c:v>100.84553244035557</c:v>
                </c:pt>
                <c:pt idx="6">
                  <c:v>100.8907783234515</c:v>
                </c:pt>
                <c:pt idx="7">
                  <c:v>100.47508177250748</c:v>
                </c:pt>
                <c:pt idx="8">
                  <c:v>100.6324997407788</c:v>
                </c:pt>
                <c:pt idx="9">
                  <c:v>100.93036847116048</c:v>
                </c:pt>
                <c:pt idx="10">
                  <c:v>100.97372910912743</c:v>
                </c:pt>
                <c:pt idx="11">
                  <c:v>101.03499957581985</c:v>
                </c:pt>
                <c:pt idx="12">
                  <c:v>100.59008172537635</c:v>
                </c:pt>
                <c:pt idx="13">
                  <c:v>100.33745887809064</c:v>
                </c:pt>
                <c:pt idx="14">
                  <c:v>100.58913910281184</c:v>
                </c:pt>
                <c:pt idx="15">
                  <c:v>101.04631104659386</c:v>
                </c:pt>
                <c:pt idx="16">
                  <c:v>101.80983532383799</c:v>
                </c:pt>
                <c:pt idx="17">
                  <c:v>101.45635186215087</c:v>
                </c:pt>
                <c:pt idx="18">
                  <c:v>102.16520403065408</c:v>
                </c:pt>
                <c:pt idx="19">
                  <c:v>101.70803208687211</c:v>
                </c:pt>
                <c:pt idx="20">
                  <c:v>100.70508167824521</c:v>
                </c:pt>
                <c:pt idx="21">
                  <c:v>100.84930293061359</c:v>
                </c:pt>
                <c:pt idx="22">
                  <c:v>101.05102415941633</c:v>
                </c:pt>
                <c:pt idx="23">
                  <c:v>101.70803208687211</c:v>
                </c:pt>
                <c:pt idx="24">
                  <c:v>101.55249936372977</c:v>
                </c:pt>
                <c:pt idx="25">
                  <c:v>101.36114698313649</c:v>
                </c:pt>
                <c:pt idx="26">
                  <c:v>101.78721238229001</c:v>
                </c:pt>
                <c:pt idx="27">
                  <c:v>101.56475345706826</c:v>
                </c:pt>
                <c:pt idx="28">
                  <c:v>101.83999924590196</c:v>
                </c:pt>
                <c:pt idx="29">
                  <c:v>100.49770471405546</c:v>
                </c:pt>
                <c:pt idx="30">
                  <c:v>100.63815547616582</c:v>
                </c:pt>
                <c:pt idx="31">
                  <c:v>100.87381111729054</c:v>
                </c:pt>
                <c:pt idx="32">
                  <c:v>101.38848303750696</c:v>
                </c:pt>
                <c:pt idx="33">
                  <c:v>101.47991742626334</c:v>
                </c:pt>
                <c:pt idx="34">
                  <c:v>101.85036809411146</c:v>
                </c:pt>
                <c:pt idx="35">
                  <c:v>101.91823691875537</c:v>
                </c:pt>
                <c:pt idx="36">
                  <c:v>101.82963039769245</c:v>
                </c:pt>
                <c:pt idx="37">
                  <c:v>101.38094205699097</c:v>
                </c:pt>
                <c:pt idx="38">
                  <c:v>101.84848284898244</c:v>
                </c:pt>
                <c:pt idx="39">
                  <c:v>102.00778606238279</c:v>
                </c:pt>
                <c:pt idx="40">
                  <c:v>101.5421305155203</c:v>
                </c:pt>
                <c:pt idx="41">
                  <c:v>101.29987651644407</c:v>
                </c:pt>
                <c:pt idx="42">
                  <c:v>102.20856466862105</c:v>
                </c:pt>
                <c:pt idx="43">
                  <c:v>101.60905671759973</c:v>
                </c:pt>
                <c:pt idx="44">
                  <c:v>101.98139263057682</c:v>
                </c:pt>
                <c:pt idx="45">
                  <c:v>101.13491756765676</c:v>
                </c:pt>
                <c:pt idx="46">
                  <c:v>100.92188486807999</c:v>
                </c:pt>
                <c:pt idx="47">
                  <c:v>101.00672089888489</c:v>
                </c:pt>
                <c:pt idx="48">
                  <c:v>100.56651616126389</c:v>
                </c:pt>
                <c:pt idx="49">
                  <c:v>101.0840159491738</c:v>
                </c:pt>
                <c:pt idx="50">
                  <c:v>101.39508139545845</c:v>
                </c:pt>
                <c:pt idx="51">
                  <c:v>101.47143382318286</c:v>
                </c:pt>
                <c:pt idx="52">
                  <c:v>101.75327796996805</c:v>
                </c:pt>
                <c:pt idx="53">
                  <c:v>102.12561388294515</c:v>
                </c:pt>
                <c:pt idx="54">
                  <c:v>102.37352361740837</c:v>
                </c:pt>
                <c:pt idx="55">
                  <c:v>103.97032624166957</c:v>
                </c:pt>
                <c:pt idx="56">
                  <c:v>104.34454739977568</c:v>
                </c:pt>
                <c:pt idx="57">
                  <c:v>104.9412274831035</c:v>
                </c:pt>
                <c:pt idx="58">
                  <c:v>104.55852272191693</c:v>
                </c:pt>
                <c:pt idx="59">
                  <c:v>104.7715554214937</c:v>
                </c:pt>
                <c:pt idx="60">
                  <c:v>104.8535635846051</c:v>
                </c:pt>
                <c:pt idx="61">
                  <c:v>105.21835851706621</c:v>
                </c:pt>
                <c:pt idx="62">
                  <c:v>105.42102236843347</c:v>
                </c:pt>
                <c:pt idx="63">
                  <c:v>105.87253857682848</c:v>
                </c:pt>
                <c:pt idx="64">
                  <c:v>105.80749761987805</c:v>
                </c:pt>
                <c:pt idx="65">
                  <c:v>104.94594059592599</c:v>
                </c:pt>
                <c:pt idx="66">
                  <c:v>105.62180097467173</c:v>
                </c:pt>
                <c:pt idx="67">
                  <c:v>105.33053060224158</c:v>
                </c:pt>
                <c:pt idx="68">
                  <c:v>105.16557165345426</c:v>
                </c:pt>
                <c:pt idx="69">
                  <c:v>105.39462893662747</c:v>
                </c:pt>
                <c:pt idx="70">
                  <c:v>105.14671920216428</c:v>
                </c:pt>
                <c:pt idx="71">
                  <c:v>104.89503897744305</c:v>
                </c:pt>
                <c:pt idx="72">
                  <c:v>105.05528481340787</c:v>
                </c:pt>
                <c:pt idx="73">
                  <c:v>106.03561228048679</c:v>
                </c:pt>
                <c:pt idx="74">
                  <c:v>105.99790737790681</c:v>
                </c:pt>
                <c:pt idx="75">
                  <c:v>106.55405469096122</c:v>
                </c:pt>
                <c:pt idx="76">
                  <c:v>106.33819412369094</c:v>
                </c:pt>
                <c:pt idx="77">
                  <c:v>106.29860397598199</c:v>
                </c:pt>
                <c:pt idx="78">
                  <c:v>106.57290714225118</c:v>
                </c:pt>
                <c:pt idx="79">
                  <c:v>107.35622649334982</c:v>
                </c:pt>
                <c:pt idx="80">
                  <c:v>106.37495640370641</c:v>
                </c:pt>
                <c:pt idx="81">
                  <c:v>107.10831675888659</c:v>
                </c:pt>
                <c:pt idx="82">
                  <c:v>106.34007936881996</c:v>
                </c:pt>
                <c:pt idx="83">
                  <c:v>105.94135002403688</c:v>
                </c:pt>
                <c:pt idx="84">
                  <c:v>105.70663700547665</c:v>
                </c:pt>
                <c:pt idx="85">
                  <c:v>105.34844043096703</c:v>
                </c:pt>
                <c:pt idx="86">
                  <c:v>105.37389124020852</c:v>
                </c:pt>
                <c:pt idx="87">
                  <c:v>104.81397343689616</c:v>
                </c:pt>
                <c:pt idx="88">
                  <c:v>105.4040551622725</c:v>
                </c:pt>
                <c:pt idx="89">
                  <c:v>106.22790728364457</c:v>
                </c:pt>
                <c:pt idx="90">
                  <c:v>105.88762053786044</c:v>
                </c:pt>
                <c:pt idx="91">
                  <c:v>106.23167777390256</c:v>
                </c:pt>
                <c:pt idx="92">
                  <c:v>105.37671910790203</c:v>
                </c:pt>
                <c:pt idx="93">
                  <c:v>105.51057151206086</c:v>
                </c:pt>
                <c:pt idx="94">
                  <c:v>105.63782555826823</c:v>
                </c:pt>
                <c:pt idx="95">
                  <c:v>106.67659562434606</c:v>
                </c:pt>
                <c:pt idx="96">
                  <c:v>107.21200524098148</c:v>
                </c:pt>
                <c:pt idx="97">
                  <c:v>106.49749733709126</c:v>
                </c:pt>
                <c:pt idx="98">
                  <c:v>107.06872661117761</c:v>
                </c:pt>
                <c:pt idx="99">
                  <c:v>106.25995645083752</c:v>
                </c:pt>
                <c:pt idx="100">
                  <c:v>105.90458774402143</c:v>
                </c:pt>
                <c:pt idx="101">
                  <c:v>105.60200590081725</c:v>
                </c:pt>
                <c:pt idx="102">
                  <c:v>105.22872736527566</c:v>
                </c:pt>
                <c:pt idx="103">
                  <c:v>105.47003874178742</c:v>
                </c:pt>
                <c:pt idx="104">
                  <c:v>105.93192379839189</c:v>
                </c:pt>
                <c:pt idx="105">
                  <c:v>104.93839961541001</c:v>
                </c:pt>
                <c:pt idx="106">
                  <c:v>104.4143014695486</c:v>
                </c:pt>
                <c:pt idx="107">
                  <c:v>104.29270315872823</c:v>
                </c:pt>
                <c:pt idx="108">
                  <c:v>104.60659647270639</c:v>
                </c:pt>
                <c:pt idx="109">
                  <c:v>104.91860454155552</c:v>
                </c:pt>
                <c:pt idx="110">
                  <c:v>105.30979290582259</c:v>
                </c:pt>
                <c:pt idx="111">
                  <c:v>104.87618652615308</c:v>
                </c:pt>
                <c:pt idx="112">
                  <c:v>105.403112539708</c:v>
                </c:pt>
                <c:pt idx="113">
                  <c:v>105.69626815726716</c:v>
                </c:pt>
                <c:pt idx="114">
                  <c:v>105.93475166608539</c:v>
                </c:pt>
                <c:pt idx="115">
                  <c:v>106.30991544675597</c:v>
                </c:pt>
                <c:pt idx="116">
                  <c:v>106.6520874376691</c:v>
                </c:pt>
                <c:pt idx="117">
                  <c:v>106.13081715950119</c:v>
                </c:pt>
                <c:pt idx="118">
                  <c:v>105.47192398691642</c:v>
                </c:pt>
                <c:pt idx="119">
                  <c:v>105.66987472546118</c:v>
                </c:pt>
                <c:pt idx="120">
                  <c:v>105.71417798599263</c:v>
                </c:pt>
                <c:pt idx="121">
                  <c:v>106.04032539330927</c:v>
                </c:pt>
                <c:pt idx="122">
                  <c:v>105.87819431221546</c:v>
                </c:pt>
                <c:pt idx="123">
                  <c:v>105.63971080339722</c:v>
                </c:pt>
                <c:pt idx="124">
                  <c:v>105.4634403838359</c:v>
                </c:pt>
                <c:pt idx="125">
                  <c:v>105.12880937343878</c:v>
                </c:pt>
                <c:pt idx="126">
                  <c:v>105.57184197875328</c:v>
                </c:pt>
                <c:pt idx="127">
                  <c:v>105.48512070281939</c:v>
                </c:pt>
                <c:pt idx="128">
                  <c:v>105.06282579392385</c:v>
                </c:pt>
                <c:pt idx="129">
                  <c:v>105.02229302365042</c:v>
                </c:pt>
                <c:pt idx="130">
                  <c:v>104.62073581117386</c:v>
                </c:pt>
              </c:numCache>
            </c:numRef>
          </c:val>
          <c:smooth val="0"/>
          <c:extLst xmlns:c16r2="http://schemas.microsoft.com/office/drawing/2015/06/chart">
            <c:ext xmlns:c16="http://schemas.microsoft.com/office/drawing/2014/chart" uri="{C3380CC4-5D6E-409C-BE32-E72D297353CC}">
              <c16:uniqueId val="{00000005-B25B-2F45-B088-2533806B9851}"/>
            </c:ext>
          </c:extLst>
        </c:ser>
        <c:ser>
          <c:idx val="6"/>
          <c:order val="6"/>
          <c:tx>
            <c:strRef>
              <c:f>Currency!$U$68</c:f>
              <c:strCache>
                <c:ptCount val="1"/>
                <c:pt idx="0">
                  <c:v>Pound</c:v>
                </c:pt>
              </c:strCache>
            </c:strRef>
          </c:tx>
          <c:spPr>
            <a:ln w="28575" cap="rnd">
              <a:solidFill>
                <a:schemeClr val="accent1">
                  <a:lumMod val="60000"/>
                </a:schemeClr>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Currency!$U$69:$U$199</c:f>
              <c:numCache>
                <c:formatCode>0.00</c:formatCode>
                <c:ptCount val="131"/>
                <c:pt idx="0">
                  <c:v>100</c:v>
                </c:pt>
                <c:pt idx="1">
                  <c:v>100</c:v>
                </c:pt>
                <c:pt idx="2">
                  <c:v>99.845614035087721</c:v>
                </c:pt>
                <c:pt idx="3">
                  <c:v>99.663157894736827</c:v>
                </c:pt>
                <c:pt idx="4">
                  <c:v>100.33684210526314</c:v>
                </c:pt>
                <c:pt idx="5">
                  <c:v>99.649122807017534</c:v>
                </c:pt>
                <c:pt idx="6">
                  <c:v>99.298245614035082</c:v>
                </c:pt>
                <c:pt idx="7">
                  <c:v>99.214035087719282</c:v>
                </c:pt>
                <c:pt idx="8">
                  <c:v>99.00350877192983</c:v>
                </c:pt>
                <c:pt idx="9">
                  <c:v>98.624561403508764</c:v>
                </c:pt>
                <c:pt idx="10">
                  <c:v>98.484210526315792</c:v>
                </c:pt>
                <c:pt idx="11">
                  <c:v>97.978947368421061</c:v>
                </c:pt>
                <c:pt idx="12">
                  <c:v>98.231578947368419</c:v>
                </c:pt>
                <c:pt idx="13">
                  <c:v>98.73684210526315</c:v>
                </c:pt>
                <c:pt idx="14">
                  <c:v>98.863157894736844</c:v>
                </c:pt>
                <c:pt idx="15">
                  <c:v>99.985964912280707</c:v>
                </c:pt>
                <c:pt idx="16">
                  <c:v>100.64561403508772</c:v>
                </c:pt>
                <c:pt idx="17">
                  <c:v>100.43508771929825</c:v>
                </c:pt>
                <c:pt idx="18">
                  <c:v>100.68771929824563</c:v>
                </c:pt>
                <c:pt idx="19">
                  <c:v>100.7438596491228</c:v>
                </c:pt>
                <c:pt idx="20">
                  <c:v>101.86666666666666</c:v>
                </c:pt>
                <c:pt idx="21">
                  <c:v>101.95087719298246</c:v>
                </c:pt>
                <c:pt idx="22">
                  <c:v>103.00350877192983</c:v>
                </c:pt>
                <c:pt idx="23">
                  <c:v>103.1859649122807</c:v>
                </c:pt>
                <c:pt idx="24">
                  <c:v>103.34035087719298</c:v>
                </c:pt>
                <c:pt idx="25">
                  <c:v>103.59298245614035</c:v>
                </c:pt>
                <c:pt idx="26">
                  <c:v>103.48070175438595</c:v>
                </c:pt>
                <c:pt idx="27">
                  <c:v>103.60701754385964</c:v>
                </c:pt>
                <c:pt idx="28">
                  <c:v>103.52280701754385</c:v>
                </c:pt>
                <c:pt idx="29">
                  <c:v>103.9719298245614</c:v>
                </c:pt>
                <c:pt idx="30">
                  <c:v>103.56491228070175</c:v>
                </c:pt>
                <c:pt idx="31">
                  <c:v>103.32631578947367</c:v>
                </c:pt>
                <c:pt idx="32">
                  <c:v>103.81754385964912</c:v>
                </c:pt>
                <c:pt idx="33">
                  <c:v>103.9719298245614</c:v>
                </c:pt>
                <c:pt idx="34">
                  <c:v>103.84561403508772</c:v>
                </c:pt>
                <c:pt idx="35">
                  <c:v>104.09824561403509</c:v>
                </c:pt>
                <c:pt idx="36">
                  <c:v>104.65964912280701</c:v>
                </c:pt>
                <c:pt idx="37">
                  <c:v>104.49122807017544</c:v>
                </c:pt>
                <c:pt idx="38">
                  <c:v>105.22105263157894</c:v>
                </c:pt>
                <c:pt idx="39">
                  <c:v>104.85614035087718</c:v>
                </c:pt>
                <c:pt idx="40">
                  <c:v>105.38947368421051</c:v>
                </c:pt>
                <c:pt idx="41">
                  <c:v>105.43157894736841</c:v>
                </c:pt>
                <c:pt idx="42">
                  <c:v>105.99298245614035</c:v>
                </c:pt>
                <c:pt idx="43">
                  <c:v>105.59999999999998</c:v>
                </c:pt>
                <c:pt idx="44">
                  <c:v>105.5859649122807</c:v>
                </c:pt>
                <c:pt idx="45">
                  <c:v>105.15087719298243</c:v>
                </c:pt>
                <c:pt idx="46">
                  <c:v>105.41754385964911</c:v>
                </c:pt>
                <c:pt idx="47">
                  <c:v>104.88421052631578</c:v>
                </c:pt>
                <c:pt idx="48">
                  <c:v>104.64561403508772</c:v>
                </c:pt>
                <c:pt idx="49">
                  <c:v>104.63157894736842</c:v>
                </c:pt>
                <c:pt idx="50">
                  <c:v>104.65964912280701</c:v>
                </c:pt>
                <c:pt idx="51">
                  <c:v>104.89824561403506</c:v>
                </c:pt>
                <c:pt idx="52">
                  <c:v>104.78596491228069</c:v>
                </c:pt>
                <c:pt idx="53">
                  <c:v>104.8280701754386</c:v>
                </c:pt>
                <c:pt idx="54">
                  <c:v>105.51578947368421</c:v>
                </c:pt>
                <c:pt idx="55">
                  <c:v>105.65614035087721</c:v>
                </c:pt>
                <c:pt idx="56">
                  <c:v>105.99298245614035</c:v>
                </c:pt>
                <c:pt idx="57">
                  <c:v>106.54035087719298</c:v>
                </c:pt>
                <c:pt idx="58">
                  <c:v>106.3578947368421</c:v>
                </c:pt>
                <c:pt idx="59">
                  <c:v>105.93684210526315</c:v>
                </c:pt>
                <c:pt idx="60">
                  <c:v>105.90877192982458</c:v>
                </c:pt>
                <c:pt idx="61">
                  <c:v>105.79649122807018</c:v>
                </c:pt>
                <c:pt idx="62">
                  <c:v>106.10526315789473</c:v>
                </c:pt>
                <c:pt idx="63">
                  <c:v>106.80701754385964</c:v>
                </c:pt>
                <c:pt idx="64">
                  <c:v>107.1859649122807</c:v>
                </c:pt>
                <c:pt idx="65">
                  <c:v>106.37192982456141</c:v>
                </c:pt>
                <c:pt idx="66">
                  <c:v>106.93333333333332</c:v>
                </c:pt>
                <c:pt idx="67">
                  <c:v>106.61052631578947</c:v>
                </c:pt>
                <c:pt idx="68">
                  <c:v>106.11929824561403</c:v>
                </c:pt>
                <c:pt idx="69">
                  <c:v>106.14736842105263</c:v>
                </c:pt>
                <c:pt idx="70">
                  <c:v>105.82456140350878</c:v>
                </c:pt>
                <c:pt idx="71">
                  <c:v>106.20350877192983</c:v>
                </c:pt>
                <c:pt idx="72">
                  <c:v>105.90877192982458</c:v>
                </c:pt>
                <c:pt idx="73">
                  <c:v>106.16140350877193</c:v>
                </c:pt>
                <c:pt idx="74">
                  <c:v>106.16140350877193</c:v>
                </c:pt>
                <c:pt idx="75">
                  <c:v>106.18947368421053</c:v>
                </c:pt>
                <c:pt idx="76">
                  <c:v>106.09122807017543</c:v>
                </c:pt>
                <c:pt idx="77">
                  <c:v>106.87719298245612</c:v>
                </c:pt>
                <c:pt idx="78">
                  <c:v>107.45263157894736</c:v>
                </c:pt>
                <c:pt idx="79">
                  <c:v>108.05614035087719</c:v>
                </c:pt>
                <c:pt idx="80">
                  <c:v>106.98947368421052</c:v>
                </c:pt>
                <c:pt idx="81">
                  <c:v>107.08771929824562</c:v>
                </c:pt>
                <c:pt idx="82">
                  <c:v>106.82105263157895</c:v>
                </c:pt>
                <c:pt idx="83">
                  <c:v>106.72280701754384</c:v>
                </c:pt>
                <c:pt idx="84">
                  <c:v>106.91929824561403</c:v>
                </c:pt>
                <c:pt idx="85">
                  <c:v>107.03157894736842</c:v>
                </c:pt>
                <c:pt idx="86">
                  <c:v>106.82105263157895</c:v>
                </c:pt>
                <c:pt idx="87">
                  <c:v>106.91929824561403</c:v>
                </c:pt>
                <c:pt idx="88">
                  <c:v>106.98947368421052</c:v>
                </c:pt>
                <c:pt idx="89">
                  <c:v>107.67719298245612</c:v>
                </c:pt>
                <c:pt idx="90">
                  <c:v>107.78947368421052</c:v>
                </c:pt>
                <c:pt idx="91">
                  <c:v>108.43508771929824</c:v>
                </c:pt>
                <c:pt idx="92">
                  <c:v>108.37894736842104</c:v>
                </c:pt>
                <c:pt idx="93">
                  <c:v>108.96842105263158</c:v>
                </c:pt>
                <c:pt idx="94">
                  <c:v>109.23508771929824</c:v>
                </c:pt>
                <c:pt idx="95">
                  <c:v>110.07719298245613</c:v>
                </c:pt>
                <c:pt idx="96">
                  <c:v>110.11929824561402</c:v>
                </c:pt>
                <c:pt idx="97">
                  <c:v>110.39999999999999</c:v>
                </c:pt>
                <c:pt idx="98">
                  <c:v>110.51228070175438</c:v>
                </c:pt>
                <c:pt idx="99">
                  <c:v>110.45614035087719</c:v>
                </c:pt>
                <c:pt idx="100">
                  <c:v>110.25964912280702</c:v>
                </c:pt>
                <c:pt idx="101">
                  <c:v>109.76842105263158</c:v>
                </c:pt>
                <c:pt idx="102">
                  <c:v>108.96842105263158</c:v>
                </c:pt>
                <c:pt idx="103">
                  <c:v>108.72982456140352</c:v>
                </c:pt>
                <c:pt idx="104">
                  <c:v>109.51578947368421</c:v>
                </c:pt>
                <c:pt idx="105">
                  <c:v>109.20701754385964</c:v>
                </c:pt>
                <c:pt idx="106">
                  <c:v>108.85614035087718</c:v>
                </c:pt>
                <c:pt idx="107">
                  <c:v>108.89824561403509</c:v>
                </c:pt>
                <c:pt idx="108">
                  <c:v>107.92982456140349</c:v>
                </c:pt>
                <c:pt idx="109">
                  <c:v>107.88771929824561</c:v>
                </c:pt>
                <c:pt idx="110">
                  <c:v>108.30877192982456</c:v>
                </c:pt>
                <c:pt idx="111">
                  <c:v>108.95438596491228</c:v>
                </c:pt>
                <c:pt idx="112">
                  <c:v>109.19298245614036</c:v>
                </c:pt>
                <c:pt idx="113">
                  <c:v>108.77192982456141</c:v>
                </c:pt>
                <c:pt idx="114">
                  <c:v>108.50526315789473</c:v>
                </c:pt>
                <c:pt idx="115">
                  <c:v>108.56140350877193</c:v>
                </c:pt>
                <c:pt idx="116">
                  <c:v>107.71929824561404</c:v>
                </c:pt>
                <c:pt idx="117">
                  <c:v>107.90175438596492</c:v>
                </c:pt>
                <c:pt idx="118">
                  <c:v>107.46666666666667</c:v>
                </c:pt>
                <c:pt idx="119">
                  <c:v>107.07368421052632</c:v>
                </c:pt>
                <c:pt idx="120">
                  <c:v>107.3543859649123</c:v>
                </c:pt>
                <c:pt idx="121">
                  <c:v>106.65263157894738</c:v>
                </c:pt>
                <c:pt idx="122">
                  <c:v>106.86315789473684</c:v>
                </c:pt>
                <c:pt idx="123">
                  <c:v>106.62456140350878</c:v>
                </c:pt>
                <c:pt idx="124">
                  <c:v>105.96491228070175</c:v>
                </c:pt>
                <c:pt idx="125">
                  <c:v>107.25614035087719</c:v>
                </c:pt>
                <c:pt idx="126">
                  <c:v>106.94736842105263</c:v>
                </c:pt>
                <c:pt idx="127">
                  <c:v>106.56842105263158</c:v>
                </c:pt>
                <c:pt idx="128">
                  <c:v>106.49824561403508</c:v>
                </c:pt>
                <c:pt idx="129">
                  <c:v>107.1298245614035</c:v>
                </c:pt>
                <c:pt idx="130">
                  <c:v>107.62105263157895</c:v>
                </c:pt>
              </c:numCache>
            </c:numRef>
          </c:val>
          <c:smooth val="0"/>
          <c:extLst xmlns:c16r2="http://schemas.microsoft.com/office/drawing/2015/06/chart">
            <c:ext xmlns:c16="http://schemas.microsoft.com/office/drawing/2014/chart" uri="{C3380CC4-5D6E-409C-BE32-E72D297353CC}">
              <c16:uniqueId val="{00000006-B25B-2F45-B088-2533806B9851}"/>
            </c:ext>
          </c:extLst>
        </c:ser>
        <c:ser>
          <c:idx val="7"/>
          <c:order val="7"/>
          <c:tx>
            <c:strRef>
              <c:f>Currency!$V$68</c:f>
              <c:strCache>
                <c:ptCount val="1"/>
                <c:pt idx="0">
                  <c:v>Euro</c:v>
                </c:pt>
              </c:strCache>
            </c:strRef>
          </c:tx>
          <c:spPr>
            <a:ln w="28575" cap="rnd">
              <a:solidFill>
                <a:schemeClr val="accent2">
                  <a:lumMod val="60000"/>
                </a:schemeClr>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Currency!$V$69:$V$199</c:f>
              <c:numCache>
                <c:formatCode>0.00</c:formatCode>
                <c:ptCount val="131"/>
                <c:pt idx="0">
                  <c:v>100</c:v>
                </c:pt>
                <c:pt idx="1">
                  <c:v>100.25884383088869</c:v>
                </c:pt>
                <c:pt idx="2">
                  <c:v>100.48070997165044</c:v>
                </c:pt>
                <c:pt idx="3">
                  <c:v>100.25884383088869</c:v>
                </c:pt>
                <c:pt idx="4">
                  <c:v>100.72722790583015</c:v>
                </c:pt>
                <c:pt idx="5">
                  <c:v>100.41908048810551</c:v>
                </c:pt>
                <c:pt idx="6">
                  <c:v>100.06162948354491</c:v>
                </c:pt>
                <c:pt idx="7">
                  <c:v>99.876741032910147</c:v>
                </c:pt>
                <c:pt idx="8">
                  <c:v>99.617897202021439</c:v>
                </c:pt>
                <c:pt idx="9">
                  <c:v>99.926044619746079</c:v>
                </c:pt>
                <c:pt idx="10">
                  <c:v>99.86441513620116</c:v>
                </c:pt>
                <c:pt idx="11">
                  <c:v>99.531615925058546</c:v>
                </c:pt>
                <c:pt idx="12">
                  <c:v>99.76580796252928</c:v>
                </c:pt>
                <c:pt idx="13">
                  <c:v>99.469986441513626</c:v>
                </c:pt>
                <c:pt idx="14">
                  <c:v>99.839763342783201</c:v>
                </c:pt>
                <c:pt idx="15">
                  <c:v>100.23419203747072</c:v>
                </c:pt>
                <c:pt idx="16">
                  <c:v>100.88746456304696</c:v>
                </c:pt>
                <c:pt idx="17">
                  <c:v>100.69025021570319</c:v>
                </c:pt>
                <c:pt idx="18">
                  <c:v>101.14630839393566</c:v>
                </c:pt>
                <c:pt idx="19">
                  <c:v>101.63934426229508</c:v>
                </c:pt>
                <c:pt idx="20">
                  <c:v>101.77492912609392</c:v>
                </c:pt>
                <c:pt idx="21">
                  <c:v>101.86121040305682</c:v>
                </c:pt>
                <c:pt idx="22">
                  <c:v>102.57611241217799</c:v>
                </c:pt>
                <c:pt idx="23">
                  <c:v>102.9951929002835</c:v>
                </c:pt>
                <c:pt idx="24">
                  <c:v>102.83495624306669</c:v>
                </c:pt>
                <c:pt idx="25">
                  <c:v>103.01984469370147</c:v>
                </c:pt>
                <c:pt idx="26">
                  <c:v>103.29101442129914</c:v>
                </c:pt>
                <c:pt idx="27">
                  <c:v>103.74707259953162</c:v>
                </c:pt>
                <c:pt idx="28">
                  <c:v>103.95661284358437</c:v>
                </c:pt>
                <c:pt idx="29">
                  <c:v>103.48822876864293</c:v>
                </c:pt>
                <c:pt idx="30">
                  <c:v>103.08147417724641</c:v>
                </c:pt>
                <c:pt idx="31">
                  <c:v>102.92123752002958</c:v>
                </c:pt>
                <c:pt idx="32">
                  <c:v>103.88265746333045</c:v>
                </c:pt>
                <c:pt idx="33">
                  <c:v>104.3510415382719</c:v>
                </c:pt>
                <c:pt idx="34">
                  <c:v>104.41267102181683</c:v>
                </c:pt>
                <c:pt idx="35">
                  <c:v>104.59755947245162</c:v>
                </c:pt>
                <c:pt idx="36">
                  <c:v>104.7084925428325</c:v>
                </c:pt>
                <c:pt idx="37">
                  <c:v>104.59755947245162</c:v>
                </c:pt>
                <c:pt idx="38">
                  <c:v>105.41106865524466</c:v>
                </c:pt>
                <c:pt idx="39">
                  <c:v>105.06594354739308</c:v>
                </c:pt>
                <c:pt idx="40">
                  <c:v>105.69456427955133</c:v>
                </c:pt>
                <c:pt idx="41">
                  <c:v>105.99038580056698</c:v>
                </c:pt>
                <c:pt idx="42">
                  <c:v>106.74226549981512</c:v>
                </c:pt>
                <c:pt idx="43">
                  <c:v>105.69456427955133</c:v>
                </c:pt>
                <c:pt idx="44">
                  <c:v>105.6329347960064</c:v>
                </c:pt>
                <c:pt idx="45">
                  <c:v>105.65758658942437</c:v>
                </c:pt>
                <c:pt idx="46">
                  <c:v>105.48502403549858</c:v>
                </c:pt>
                <c:pt idx="47">
                  <c:v>105.21385430790089</c:v>
                </c:pt>
                <c:pt idx="48">
                  <c:v>104.67151485270551</c:v>
                </c:pt>
                <c:pt idx="49">
                  <c:v>104.37569333168987</c:v>
                </c:pt>
                <c:pt idx="50">
                  <c:v>104.7084925428325</c:v>
                </c:pt>
                <c:pt idx="51">
                  <c:v>104.56058178232466</c:v>
                </c:pt>
                <c:pt idx="52">
                  <c:v>104.69616664612352</c:v>
                </c:pt>
                <c:pt idx="53">
                  <c:v>104.53592998890669</c:v>
                </c:pt>
                <c:pt idx="54">
                  <c:v>105.95340811044002</c:v>
                </c:pt>
                <c:pt idx="55">
                  <c:v>106.19992604461974</c:v>
                </c:pt>
                <c:pt idx="56">
                  <c:v>106.21225194132873</c:v>
                </c:pt>
                <c:pt idx="57">
                  <c:v>106.53272525576234</c:v>
                </c:pt>
                <c:pt idx="58">
                  <c:v>106.36016270183654</c:v>
                </c:pt>
                <c:pt idx="59">
                  <c:v>106.18760014791076</c:v>
                </c:pt>
                <c:pt idx="60">
                  <c:v>105.8178232466412</c:v>
                </c:pt>
                <c:pt idx="61">
                  <c:v>105.42339455195363</c:v>
                </c:pt>
                <c:pt idx="62">
                  <c:v>105.73154196967829</c:v>
                </c:pt>
                <c:pt idx="63">
                  <c:v>106.42179218538148</c:v>
                </c:pt>
                <c:pt idx="64">
                  <c:v>106.42179218538148</c:v>
                </c:pt>
                <c:pt idx="65">
                  <c:v>105.5589794157525</c:v>
                </c:pt>
                <c:pt idx="66">
                  <c:v>106.26155552816468</c:v>
                </c:pt>
                <c:pt idx="67">
                  <c:v>105.79317145322322</c:v>
                </c:pt>
                <c:pt idx="68">
                  <c:v>105.62060889929742</c:v>
                </c:pt>
                <c:pt idx="69">
                  <c:v>105.36176506840873</c:v>
                </c:pt>
                <c:pt idx="70">
                  <c:v>104.95501047701221</c:v>
                </c:pt>
                <c:pt idx="71">
                  <c:v>104.93035868359422</c:v>
                </c:pt>
                <c:pt idx="72">
                  <c:v>105.05361765068409</c:v>
                </c:pt>
                <c:pt idx="73">
                  <c:v>105.36176506840873</c:v>
                </c:pt>
                <c:pt idx="74">
                  <c:v>105.50967582891656</c:v>
                </c:pt>
                <c:pt idx="75">
                  <c:v>105.58363120917048</c:v>
                </c:pt>
                <c:pt idx="76">
                  <c:v>105.3001355848638</c:v>
                </c:pt>
                <c:pt idx="77">
                  <c:v>105.76851965980525</c:v>
                </c:pt>
                <c:pt idx="78">
                  <c:v>105.76851965980525</c:v>
                </c:pt>
                <c:pt idx="79">
                  <c:v>106.18760014791076</c:v>
                </c:pt>
                <c:pt idx="80">
                  <c:v>105.26315789473684</c:v>
                </c:pt>
                <c:pt idx="81">
                  <c:v>105.34943917169974</c:v>
                </c:pt>
                <c:pt idx="82">
                  <c:v>105.49734993220756</c:v>
                </c:pt>
                <c:pt idx="83">
                  <c:v>105.52200172562553</c:v>
                </c:pt>
                <c:pt idx="84">
                  <c:v>105.68223838284237</c:v>
                </c:pt>
                <c:pt idx="85">
                  <c:v>105.73154196967829</c:v>
                </c:pt>
                <c:pt idx="86">
                  <c:v>105.21385430790089</c:v>
                </c:pt>
                <c:pt idx="87">
                  <c:v>105.3001355848638</c:v>
                </c:pt>
                <c:pt idx="88">
                  <c:v>105.64526069271538</c:v>
                </c:pt>
                <c:pt idx="89">
                  <c:v>106.17527425120178</c:v>
                </c:pt>
                <c:pt idx="90">
                  <c:v>106.31085911500062</c:v>
                </c:pt>
                <c:pt idx="91">
                  <c:v>106.60668063601626</c:v>
                </c:pt>
                <c:pt idx="92">
                  <c:v>106.32318501170961</c:v>
                </c:pt>
                <c:pt idx="93">
                  <c:v>106.31085911500062</c:v>
                </c:pt>
                <c:pt idx="94">
                  <c:v>106.65598422285221</c:v>
                </c:pt>
                <c:pt idx="95">
                  <c:v>108.09811413780352</c:v>
                </c:pt>
                <c:pt idx="96">
                  <c:v>108.18439541476643</c:v>
                </c:pt>
                <c:pt idx="97">
                  <c:v>108.67743128312586</c:v>
                </c:pt>
                <c:pt idx="98">
                  <c:v>108.66510538641687</c:v>
                </c:pt>
                <c:pt idx="99">
                  <c:v>108.46789103907308</c:v>
                </c:pt>
                <c:pt idx="100">
                  <c:v>108.03648465425859</c:v>
                </c:pt>
                <c:pt idx="101">
                  <c:v>107.56810057931713</c:v>
                </c:pt>
                <c:pt idx="102">
                  <c:v>106.63133242943424</c:v>
                </c:pt>
                <c:pt idx="103">
                  <c:v>106.3355109084186</c:v>
                </c:pt>
                <c:pt idx="104">
                  <c:v>106.65598422285221</c:v>
                </c:pt>
                <c:pt idx="105">
                  <c:v>106.02736349069394</c:v>
                </c:pt>
                <c:pt idx="106">
                  <c:v>105.47269813878958</c:v>
                </c:pt>
                <c:pt idx="107">
                  <c:v>105.18920251448294</c:v>
                </c:pt>
                <c:pt idx="108">
                  <c:v>105.3001355848638</c:v>
                </c:pt>
                <c:pt idx="109">
                  <c:v>105.74386786638728</c:v>
                </c:pt>
                <c:pt idx="110">
                  <c:v>106.3355109084186</c:v>
                </c:pt>
                <c:pt idx="111">
                  <c:v>106.10131887094786</c:v>
                </c:pt>
                <c:pt idx="112">
                  <c:v>106.43411808209046</c:v>
                </c:pt>
                <c:pt idx="113">
                  <c:v>106.05201528411192</c:v>
                </c:pt>
                <c:pt idx="114">
                  <c:v>106.02736349069394</c:v>
                </c:pt>
                <c:pt idx="115">
                  <c:v>106.61900653272525</c:v>
                </c:pt>
                <c:pt idx="116">
                  <c:v>106.24922963145569</c:v>
                </c:pt>
                <c:pt idx="117">
                  <c:v>106.37248859854553</c:v>
                </c:pt>
                <c:pt idx="118">
                  <c:v>106.00271169727597</c:v>
                </c:pt>
                <c:pt idx="119">
                  <c:v>105.5466535190435</c:v>
                </c:pt>
                <c:pt idx="120">
                  <c:v>105.89177862689509</c:v>
                </c:pt>
                <c:pt idx="121">
                  <c:v>105.3864168618267</c:v>
                </c:pt>
                <c:pt idx="122">
                  <c:v>105.69456427955133</c:v>
                </c:pt>
                <c:pt idx="123">
                  <c:v>105.49734993220756</c:v>
                </c:pt>
                <c:pt idx="124">
                  <c:v>104.83175150992234</c:v>
                </c:pt>
                <c:pt idx="125">
                  <c:v>104.9673363737212</c:v>
                </c:pt>
                <c:pt idx="126">
                  <c:v>104.75779612966842</c:v>
                </c:pt>
                <c:pt idx="127">
                  <c:v>104.69616664612352</c:v>
                </c:pt>
                <c:pt idx="128">
                  <c:v>104.89338099346728</c:v>
                </c:pt>
                <c:pt idx="129">
                  <c:v>105.58363120917048</c:v>
                </c:pt>
                <c:pt idx="130">
                  <c:v>106.12597066436582</c:v>
                </c:pt>
              </c:numCache>
            </c:numRef>
          </c:val>
          <c:smooth val="0"/>
          <c:extLst xmlns:c16r2="http://schemas.microsoft.com/office/drawing/2015/06/chart">
            <c:ext xmlns:c16="http://schemas.microsoft.com/office/drawing/2014/chart" uri="{C3380CC4-5D6E-409C-BE32-E72D297353CC}">
              <c16:uniqueId val="{00000007-B25B-2F45-B088-2533806B9851}"/>
            </c:ext>
          </c:extLst>
        </c:ser>
        <c:ser>
          <c:idx val="8"/>
          <c:order val="8"/>
          <c:tx>
            <c:strRef>
              <c:f>Currency!$W$68</c:f>
              <c:strCache>
                <c:ptCount val="1"/>
                <c:pt idx="0">
                  <c:v>Yen</c:v>
                </c:pt>
              </c:strCache>
            </c:strRef>
          </c:tx>
          <c:spPr>
            <a:ln w="28575" cap="rnd">
              <a:solidFill>
                <a:schemeClr val="accent3">
                  <a:lumMod val="60000"/>
                </a:schemeClr>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Currency!$W$69:$W$199</c:f>
              <c:numCache>
                <c:formatCode>0.00</c:formatCode>
                <c:ptCount val="131"/>
                <c:pt idx="0">
                  <c:v>100</c:v>
                </c:pt>
                <c:pt idx="1">
                  <c:v>99.811711542082477</c:v>
                </c:pt>
                <c:pt idx="2">
                  <c:v>100.20711730370928</c:v>
                </c:pt>
                <c:pt idx="3">
                  <c:v>100.36716249293917</c:v>
                </c:pt>
                <c:pt idx="4">
                  <c:v>101.13914517040105</c:v>
                </c:pt>
                <c:pt idx="5">
                  <c:v>100.837883637733</c:v>
                </c:pt>
                <c:pt idx="6">
                  <c:v>100.67783844850311</c:v>
                </c:pt>
                <c:pt idx="7">
                  <c:v>100.94144228958766</c:v>
                </c:pt>
                <c:pt idx="8">
                  <c:v>100.61193748823199</c:v>
                </c:pt>
                <c:pt idx="9">
                  <c:v>100.94144228958766</c:v>
                </c:pt>
                <c:pt idx="10">
                  <c:v>101.11090190171343</c:v>
                </c:pt>
                <c:pt idx="11">
                  <c:v>100.84729806062889</c:v>
                </c:pt>
                <c:pt idx="12">
                  <c:v>100.687252871399</c:v>
                </c:pt>
                <c:pt idx="13">
                  <c:v>100.89437017510828</c:v>
                </c:pt>
                <c:pt idx="14">
                  <c:v>100.99792882696291</c:v>
                </c:pt>
                <c:pt idx="15">
                  <c:v>101.21446055356806</c:v>
                </c:pt>
                <c:pt idx="16">
                  <c:v>102.287704763698</c:v>
                </c:pt>
                <c:pt idx="17">
                  <c:v>102.35360572396912</c:v>
                </c:pt>
                <c:pt idx="18">
                  <c:v>102.84315571455468</c:v>
                </c:pt>
                <c:pt idx="19">
                  <c:v>102.80549802297119</c:v>
                </c:pt>
                <c:pt idx="20">
                  <c:v>102.70193937111655</c:v>
                </c:pt>
                <c:pt idx="21">
                  <c:v>102.73018263980418</c:v>
                </c:pt>
                <c:pt idx="22">
                  <c:v>103.17266051591038</c:v>
                </c:pt>
                <c:pt idx="23">
                  <c:v>103.42684993409902</c:v>
                </c:pt>
                <c:pt idx="24">
                  <c:v>102.75842590849183</c:v>
                </c:pt>
                <c:pt idx="25">
                  <c:v>102.58896629636602</c:v>
                </c:pt>
                <c:pt idx="26">
                  <c:v>102.69252494822068</c:v>
                </c:pt>
                <c:pt idx="27">
                  <c:v>102.67369610242893</c:v>
                </c:pt>
                <c:pt idx="28">
                  <c:v>103.23856147618152</c:v>
                </c:pt>
                <c:pt idx="29">
                  <c:v>103.04085859536811</c:v>
                </c:pt>
                <c:pt idx="30">
                  <c:v>102.82432686876295</c:v>
                </c:pt>
                <c:pt idx="31">
                  <c:v>103.02202974957635</c:v>
                </c:pt>
                <c:pt idx="32">
                  <c:v>103.83167011862173</c:v>
                </c:pt>
                <c:pt idx="33">
                  <c:v>103.64338166070419</c:v>
                </c:pt>
                <c:pt idx="34">
                  <c:v>104.17058934287328</c:v>
                </c:pt>
                <c:pt idx="35">
                  <c:v>104.14234607418567</c:v>
                </c:pt>
                <c:pt idx="36">
                  <c:v>104.5189229900207</c:v>
                </c:pt>
                <c:pt idx="37">
                  <c:v>104.44360760685369</c:v>
                </c:pt>
                <c:pt idx="38">
                  <c:v>103.79401242703823</c:v>
                </c:pt>
                <c:pt idx="39">
                  <c:v>102.92788552061758</c:v>
                </c:pt>
                <c:pt idx="40">
                  <c:v>103.02202974957635</c:v>
                </c:pt>
                <c:pt idx="41">
                  <c:v>103.01261532668047</c:v>
                </c:pt>
                <c:pt idx="42">
                  <c:v>102.4006778384485</c:v>
                </c:pt>
                <c:pt idx="43">
                  <c:v>102.53247975899077</c:v>
                </c:pt>
                <c:pt idx="44">
                  <c:v>102.37243456976086</c:v>
                </c:pt>
                <c:pt idx="45">
                  <c:v>103.07851628695161</c:v>
                </c:pt>
                <c:pt idx="46">
                  <c:v>103.26680474486913</c:v>
                </c:pt>
                <c:pt idx="47">
                  <c:v>103.16324609301451</c:v>
                </c:pt>
                <c:pt idx="48">
                  <c:v>103.67162492939184</c:v>
                </c:pt>
                <c:pt idx="49">
                  <c:v>103.35153455093203</c:v>
                </c:pt>
                <c:pt idx="50">
                  <c:v>103.0879307098475</c:v>
                </c:pt>
                <c:pt idx="51">
                  <c:v>103.56806627753718</c:v>
                </c:pt>
                <c:pt idx="52">
                  <c:v>103.80342684993411</c:v>
                </c:pt>
                <c:pt idx="53">
                  <c:v>103.93522877047639</c:v>
                </c:pt>
                <c:pt idx="54">
                  <c:v>103.97288646205986</c:v>
                </c:pt>
                <c:pt idx="55">
                  <c:v>104.11410280549802</c:v>
                </c:pt>
                <c:pt idx="56">
                  <c:v>103.99171530785163</c:v>
                </c:pt>
                <c:pt idx="57">
                  <c:v>103.51157974016193</c:v>
                </c:pt>
                <c:pt idx="58">
                  <c:v>103.74694031255885</c:v>
                </c:pt>
                <c:pt idx="59">
                  <c:v>103.52099416305779</c:v>
                </c:pt>
                <c:pt idx="60">
                  <c:v>103.51157974016193</c:v>
                </c:pt>
                <c:pt idx="61">
                  <c:v>103.13500282432686</c:v>
                </c:pt>
                <c:pt idx="62">
                  <c:v>103.5586518546413</c:v>
                </c:pt>
                <c:pt idx="63">
                  <c:v>103.88815665599698</c:v>
                </c:pt>
                <c:pt idx="64">
                  <c:v>103.87874223310112</c:v>
                </c:pt>
                <c:pt idx="65">
                  <c:v>104.29297684051969</c:v>
                </c:pt>
                <c:pt idx="66">
                  <c:v>104.34946337789495</c:v>
                </c:pt>
                <c:pt idx="67">
                  <c:v>104.07644511391452</c:v>
                </c:pt>
                <c:pt idx="68">
                  <c:v>104.01054415364339</c:v>
                </c:pt>
                <c:pt idx="69">
                  <c:v>104.15176049708153</c:v>
                </c:pt>
                <c:pt idx="70">
                  <c:v>104.00112973074751</c:v>
                </c:pt>
                <c:pt idx="71">
                  <c:v>104.33063453210319</c:v>
                </c:pt>
                <c:pt idx="72">
                  <c:v>104.75428356241763</c:v>
                </c:pt>
                <c:pt idx="73">
                  <c:v>105.33797778196197</c:v>
                </c:pt>
                <c:pt idx="74">
                  <c:v>105.85577104123519</c:v>
                </c:pt>
                <c:pt idx="75">
                  <c:v>105.85577104123519</c:v>
                </c:pt>
                <c:pt idx="76">
                  <c:v>105.75221238938053</c:v>
                </c:pt>
                <c:pt idx="77">
                  <c:v>106.26059122575786</c:v>
                </c:pt>
                <c:pt idx="78">
                  <c:v>106.19469026548671</c:v>
                </c:pt>
                <c:pt idx="79">
                  <c:v>106.25117680286198</c:v>
                </c:pt>
                <c:pt idx="80">
                  <c:v>105.14968932404443</c:v>
                </c:pt>
                <c:pt idx="81">
                  <c:v>104.90491432875166</c:v>
                </c:pt>
                <c:pt idx="82">
                  <c:v>104.76369798531351</c:v>
                </c:pt>
                <c:pt idx="83">
                  <c:v>104.48126529843722</c:v>
                </c:pt>
                <c:pt idx="84">
                  <c:v>104.59423837318771</c:v>
                </c:pt>
                <c:pt idx="85">
                  <c:v>104.35887780079081</c:v>
                </c:pt>
                <c:pt idx="86">
                  <c:v>104.44360760685369</c:v>
                </c:pt>
                <c:pt idx="87">
                  <c:v>105.25324797589907</c:v>
                </c:pt>
                <c:pt idx="88">
                  <c:v>105.14027490114857</c:v>
                </c:pt>
                <c:pt idx="89">
                  <c:v>105.08378836377329</c:v>
                </c:pt>
                <c:pt idx="90">
                  <c:v>104.71662587083412</c:v>
                </c:pt>
                <c:pt idx="91">
                  <c:v>104.89549990585579</c:v>
                </c:pt>
                <c:pt idx="92">
                  <c:v>104.71662587083412</c:v>
                </c:pt>
                <c:pt idx="93">
                  <c:v>104.47185087554134</c:v>
                </c:pt>
                <c:pt idx="94">
                  <c:v>104.50009414422897</c:v>
                </c:pt>
                <c:pt idx="95">
                  <c:v>104.23649030314441</c:v>
                </c:pt>
                <c:pt idx="96">
                  <c:v>104.22707588024853</c:v>
                </c:pt>
                <c:pt idx="97">
                  <c:v>104.58482395029185</c:v>
                </c:pt>
                <c:pt idx="98">
                  <c:v>104.24590472604029</c:v>
                </c:pt>
                <c:pt idx="99">
                  <c:v>104.42477876106196</c:v>
                </c:pt>
                <c:pt idx="100">
                  <c:v>103.93522877047639</c:v>
                </c:pt>
                <c:pt idx="101">
                  <c:v>103.85049896441349</c:v>
                </c:pt>
                <c:pt idx="102">
                  <c:v>103.98230088495575</c:v>
                </c:pt>
                <c:pt idx="103">
                  <c:v>104.05761626812277</c:v>
                </c:pt>
                <c:pt idx="104">
                  <c:v>104.74486913952174</c:v>
                </c:pt>
                <c:pt idx="105">
                  <c:v>104.69779702504236</c:v>
                </c:pt>
                <c:pt idx="106">
                  <c:v>104.54716625870834</c:v>
                </c:pt>
                <c:pt idx="107">
                  <c:v>104.57540952739596</c:v>
                </c:pt>
                <c:pt idx="108">
                  <c:v>105.19676143852381</c:v>
                </c:pt>
                <c:pt idx="109">
                  <c:v>104.72604029372998</c:v>
                </c:pt>
                <c:pt idx="110">
                  <c:v>104.57540952739596</c:v>
                </c:pt>
                <c:pt idx="111">
                  <c:v>104.59423837318771</c:v>
                </c:pt>
                <c:pt idx="112">
                  <c:v>104.87667106006401</c:v>
                </c:pt>
                <c:pt idx="113">
                  <c:v>104.96140086612691</c:v>
                </c:pt>
                <c:pt idx="114">
                  <c:v>104.25531914893618</c:v>
                </c:pt>
                <c:pt idx="115">
                  <c:v>104.50950856712484</c:v>
                </c:pt>
                <c:pt idx="116">
                  <c:v>104.62248164187535</c:v>
                </c:pt>
                <c:pt idx="117">
                  <c:v>105.08378836377329</c:v>
                </c:pt>
                <c:pt idx="118">
                  <c:v>104.79194125400113</c:v>
                </c:pt>
                <c:pt idx="119">
                  <c:v>105.30973451327435</c:v>
                </c:pt>
                <c:pt idx="120">
                  <c:v>105.46036527960835</c:v>
                </c:pt>
                <c:pt idx="121">
                  <c:v>105.42270758802485</c:v>
                </c:pt>
                <c:pt idx="122">
                  <c:v>105.77104123517228</c:v>
                </c:pt>
                <c:pt idx="123">
                  <c:v>105.63923931463002</c:v>
                </c:pt>
                <c:pt idx="124">
                  <c:v>105.90284315571455</c:v>
                </c:pt>
                <c:pt idx="125">
                  <c:v>105.99698738467332</c:v>
                </c:pt>
                <c:pt idx="126">
                  <c:v>106.06288834494447</c:v>
                </c:pt>
                <c:pt idx="127">
                  <c:v>106.30766334023724</c:v>
                </c:pt>
                <c:pt idx="128">
                  <c:v>106.30766334023724</c:v>
                </c:pt>
                <c:pt idx="129">
                  <c:v>106.79721333082281</c:v>
                </c:pt>
                <c:pt idx="130">
                  <c:v>106.85369986819808</c:v>
                </c:pt>
              </c:numCache>
            </c:numRef>
          </c:val>
          <c:smooth val="0"/>
          <c:extLst xmlns:c16r2="http://schemas.microsoft.com/office/drawing/2015/06/chart">
            <c:ext xmlns:c16="http://schemas.microsoft.com/office/drawing/2014/chart" uri="{C3380CC4-5D6E-409C-BE32-E72D297353CC}">
              <c16:uniqueId val="{00000008-B25B-2F45-B088-2533806B9851}"/>
            </c:ext>
          </c:extLst>
        </c:ser>
        <c:ser>
          <c:idx val="9"/>
          <c:order val="9"/>
          <c:tx>
            <c:strRef>
              <c:f>Currency!$X$68</c:f>
              <c:strCache>
                <c:ptCount val="1"/>
                <c:pt idx="0">
                  <c:v>Swiss Franc</c:v>
                </c:pt>
              </c:strCache>
            </c:strRef>
          </c:tx>
          <c:spPr>
            <a:ln w="28575" cap="rnd">
              <a:solidFill>
                <a:schemeClr val="accent4">
                  <a:lumMod val="60000"/>
                </a:schemeClr>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Currency!$X$69:$X$199</c:f>
              <c:numCache>
                <c:formatCode>0.00</c:formatCode>
                <c:ptCount val="131"/>
                <c:pt idx="0">
                  <c:v>100</c:v>
                </c:pt>
                <c:pt idx="1">
                  <c:v>100.30423835501468</c:v>
                </c:pt>
                <c:pt idx="2">
                  <c:v>100.62945866554762</c:v>
                </c:pt>
                <c:pt idx="3">
                  <c:v>100.66093159882502</c:v>
                </c:pt>
                <c:pt idx="4">
                  <c:v>101.00713386487621</c:v>
                </c:pt>
                <c:pt idx="5">
                  <c:v>100.76584137641629</c:v>
                </c:pt>
                <c:pt idx="6">
                  <c:v>100.4301300881242</c:v>
                </c:pt>
                <c:pt idx="7">
                  <c:v>100.40914813260595</c:v>
                </c:pt>
                <c:pt idx="8">
                  <c:v>100.52454888795637</c:v>
                </c:pt>
                <c:pt idx="9">
                  <c:v>100.90222408728494</c:v>
                </c:pt>
                <c:pt idx="10">
                  <c:v>100.89173310952579</c:v>
                </c:pt>
                <c:pt idx="11">
                  <c:v>100.59798573227023</c:v>
                </c:pt>
                <c:pt idx="12">
                  <c:v>101.39530004196391</c:v>
                </c:pt>
                <c:pt idx="13">
                  <c:v>101.41628199748216</c:v>
                </c:pt>
                <c:pt idx="14">
                  <c:v>101.86739404112461</c:v>
                </c:pt>
                <c:pt idx="15">
                  <c:v>102.2450692404532</c:v>
                </c:pt>
                <c:pt idx="16">
                  <c:v>102.61225346202265</c:v>
                </c:pt>
                <c:pt idx="17">
                  <c:v>102.62274443978178</c:v>
                </c:pt>
                <c:pt idx="18">
                  <c:v>103.06336550566513</c:v>
                </c:pt>
                <c:pt idx="19">
                  <c:v>103.64036928241711</c:v>
                </c:pt>
                <c:pt idx="20">
                  <c:v>103.66135123793536</c:v>
                </c:pt>
                <c:pt idx="21">
                  <c:v>103.79773394880402</c:v>
                </c:pt>
                <c:pt idx="22">
                  <c:v>104.34326479227865</c:v>
                </c:pt>
                <c:pt idx="23">
                  <c:v>104.69995803608896</c:v>
                </c:pt>
                <c:pt idx="24">
                  <c:v>104.67897608057071</c:v>
                </c:pt>
                <c:pt idx="25">
                  <c:v>104.88879563575324</c:v>
                </c:pt>
                <c:pt idx="26">
                  <c:v>105.14057910197229</c:v>
                </c:pt>
                <c:pt idx="27">
                  <c:v>105.07763323541755</c:v>
                </c:pt>
                <c:pt idx="28">
                  <c:v>105.39236256819133</c:v>
                </c:pt>
                <c:pt idx="29">
                  <c:v>105.2245069240453</c:v>
                </c:pt>
                <c:pt idx="30">
                  <c:v>104.89928661351237</c:v>
                </c:pt>
                <c:pt idx="31">
                  <c:v>104.69995803608896</c:v>
                </c:pt>
                <c:pt idx="32">
                  <c:v>104.96223248006713</c:v>
                </c:pt>
                <c:pt idx="33">
                  <c:v>104.88879563575324</c:v>
                </c:pt>
                <c:pt idx="34">
                  <c:v>104.99370541334451</c:v>
                </c:pt>
                <c:pt idx="35">
                  <c:v>104.55308434746118</c:v>
                </c:pt>
                <c:pt idx="36">
                  <c:v>104.68946705832983</c:v>
                </c:pt>
                <c:pt idx="37">
                  <c:v>104.22786403692825</c:v>
                </c:pt>
                <c:pt idx="38">
                  <c:v>104.51112043642468</c:v>
                </c:pt>
                <c:pt idx="39">
                  <c:v>104.03902643726394</c:v>
                </c:pt>
                <c:pt idx="40">
                  <c:v>104.06000839278219</c:v>
                </c:pt>
                <c:pt idx="41">
                  <c:v>104.21737305916909</c:v>
                </c:pt>
                <c:pt idx="42">
                  <c:v>104.08099034830045</c:v>
                </c:pt>
                <c:pt idx="43">
                  <c:v>103.68233319345362</c:v>
                </c:pt>
                <c:pt idx="44">
                  <c:v>103.29416701636593</c:v>
                </c:pt>
                <c:pt idx="45">
                  <c:v>103.65086026017624</c:v>
                </c:pt>
                <c:pt idx="46">
                  <c:v>103.73478808224925</c:v>
                </c:pt>
                <c:pt idx="47">
                  <c:v>103.25220310532941</c:v>
                </c:pt>
                <c:pt idx="48">
                  <c:v>103.4410407049937</c:v>
                </c:pt>
                <c:pt idx="49">
                  <c:v>103.0109106168695</c:v>
                </c:pt>
                <c:pt idx="50">
                  <c:v>103.42005874947544</c:v>
                </c:pt>
                <c:pt idx="51">
                  <c:v>103.39907679395719</c:v>
                </c:pt>
                <c:pt idx="52">
                  <c:v>103.3256399496433</c:v>
                </c:pt>
                <c:pt idx="53">
                  <c:v>103.29416701636593</c:v>
                </c:pt>
                <c:pt idx="54">
                  <c:v>104.31179185900126</c:v>
                </c:pt>
                <c:pt idx="55">
                  <c:v>104.55308434746118</c:v>
                </c:pt>
                <c:pt idx="56">
                  <c:v>104.38522870331515</c:v>
                </c:pt>
                <c:pt idx="57">
                  <c:v>104.46915652538817</c:v>
                </c:pt>
                <c:pt idx="58">
                  <c:v>104.49013848090642</c:v>
                </c:pt>
                <c:pt idx="59">
                  <c:v>104.03902643726394</c:v>
                </c:pt>
                <c:pt idx="60">
                  <c:v>103.7557700377675</c:v>
                </c:pt>
                <c:pt idx="61">
                  <c:v>103.5564414603441</c:v>
                </c:pt>
                <c:pt idx="62">
                  <c:v>103.95509861519092</c:v>
                </c:pt>
                <c:pt idx="63">
                  <c:v>104.51112043642468</c:v>
                </c:pt>
                <c:pt idx="64">
                  <c:v>104.61603021401594</c:v>
                </c:pt>
                <c:pt idx="65">
                  <c:v>104.07049937054134</c:v>
                </c:pt>
                <c:pt idx="66">
                  <c:v>104.44817456986991</c:v>
                </c:pt>
                <c:pt idx="67">
                  <c:v>104.15442719261434</c:v>
                </c:pt>
                <c:pt idx="68">
                  <c:v>104.12295425933698</c:v>
                </c:pt>
                <c:pt idx="69">
                  <c:v>104.16491817037348</c:v>
                </c:pt>
                <c:pt idx="70">
                  <c:v>103.82920688208142</c:v>
                </c:pt>
                <c:pt idx="71">
                  <c:v>104.09148132605959</c:v>
                </c:pt>
                <c:pt idx="72">
                  <c:v>104.14393621485523</c:v>
                </c:pt>
                <c:pt idx="73">
                  <c:v>104.33277381451951</c:v>
                </c:pt>
                <c:pt idx="74">
                  <c:v>105.0566512798993</c:v>
                </c:pt>
                <c:pt idx="75">
                  <c:v>105.19303399076793</c:v>
                </c:pt>
                <c:pt idx="76">
                  <c:v>104.60553923625682</c:v>
                </c:pt>
                <c:pt idx="77">
                  <c:v>104.89928661351237</c:v>
                </c:pt>
                <c:pt idx="78">
                  <c:v>104.80486781368023</c:v>
                </c:pt>
                <c:pt idx="79">
                  <c:v>105.0251783466219</c:v>
                </c:pt>
                <c:pt idx="80">
                  <c:v>104.33277381451951</c:v>
                </c:pt>
                <c:pt idx="81">
                  <c:v>104.15442719261434</c:v>
                </c:pt>
                <c:pt idx="82">
                  <c:v>104.30130088124213</c:v>
                </c:pt>
                <c:pt idx="83">
                  <c:v>104.25933697020562</c:v>
                </c:pt>
                <c:pt idx="84">
                  <c:v>104.18590012589173</c:v>
                </c:pt>
                <c:pt idx="85">
                  <c:v>104.25933697020562</c:v>
                </c:pt>
                <c:pt idx="86">
                  <c:v>103.66135123793536</c:v>
                </c:pt>
                <c:pt idx="87">
                  <c:v>103.81871590432227</c:v>
                </c:pt>
                <c:pt idx="88">
                  <c:v>104.04951741502309</c:v>
                </c:pt>
                <c:pt idx="89">
                  <c:v>104.34326479227865</c:v>
                </c:pt>
                <c:pt idx="90">
                  <c:v>104.14393621485523</c:v>
                </c:pt>
                <c:pt idx="91">
                  <c:v>104.54259336970206</c:v>
                </c:pt>
                <c:pt idx="92">
                  <c:v>104.39571968107427</c:v>
                </c:pt>
                <c:pt idx="93">
                  <c:v>104.33277381451951</c:v>
                </c:pt>
                <c:pt idx="94">
                  <c:v>104.03902643726394</c:v>
                </c:pt>
                <c:pt idx="95">
                  <c:v>104.42719261435165</c:v>
                </c:pt>
                <c:pt idx="96">
                  <c:v>104.25933697020562</c:v>
                </c:pt>
                <c:pt idx="97">
                  <c:v>104.2488459924465</c:v>
                </c:pt>
                <c:pt idx="98">
                  <c:v>104.28031892572388</c:v>
                </c:pt>
                <c:pt idx="99">
                  <c:v>104.53210239194293</c:v>
                </c:pt>
                <c:pt idx="100">
                  <c:v>104.33277381451951</c:v>
                </c:pt>
                <c:pt idx="101">
                  <c:v>104.19639110365084</c:v>
                </c:pt>
                <c:pt idx="102">
                  <c:v>103.45153168275283</c:v>
                </c:pt>
                <c:pt idx="103">
                  <c:v>103.18925723877466</c:v>
                </c:pt>
                <c:pt idx="104">
                  <c:v>103.39907679395719</c:v>
                </c:pt>
                <c:pt idx="105">
                  <c:v>103.10532941670164</c:v>
                </c:pt>
                <c:pt idx="106">
                  <c:v>102.71716323961392</c:v>
                </c:pt>
                <c:pt idx="107">
                  <c:v>102.27654217373059</c:v>
                </c:pt>
                <c:pt idx="108">
                  <c:v>101.96181284095678</c:v>
                </c:pt>
                <c:pt idx="109">
                  <c:v>101.84641208560636</c:v>
                </c:pt>
                <c:pt idx="110">
                  <c:v>101.77297524129247</c:v>
                </c:pt>
                <c:pt idx="111">
                  <c:v>101.68904741921946</c:v>
                </c:pt>
                <c:pt idx="112">
                  <c:v>102.2450692404532</c:v>
                </c:pt>
                <c:pt idx="113">
                  <c:v>101.9303399076794</c:v>
                </c:pt>
                <c:pt idx="114">
                  <c:v>101.40579101972303</c:v>
                </c:pt>
                <c:pt idx="115">
                  <c:v>101.68904741921946</c:v>
                </c:pt>
                <c:pt idx="116">
                  <c:v>102.2450692404532</c:v>
                </c:pt>
                <c:pt idx="117">
                  <c:v>102.1611414183802</c:v>
                </c:pt>
                <c:pt idx="118">
                  <c:v>101.814939152329</c:v>
                </c:pt>
                <c:pt idx="119">
                  <c:v>101.50020981955518</c:v>
                </c:pt>
                <c:pt idx="120">
                  <c:v>101.42677297524129</c:v>
                </c:pt>
                <c:pt idx="121">
                  <c:v>100.96516995383971</c:v>
                </c:pt>
                <c:pt idx="122">
                  <c:v>101.18548048678137</c:v>
                </c:pt>
                <c:pt idx="123">
                  <c:v>101.39530004196391</c:v>
                </c:pt>
                <c:pt idx="124">
                  <c:v>100.83927822073018</c:v>
                </c:pt>
                <c:pt idx="125">
                  <c:v>100.61896768778848</c:v>
                </c:pt>
                <c:pt idx="126">
                  <c:v>100.94418799832145</c:v>
                </c:pt>
                <c:pt idx="127">
                  <c:v>101.13302559798572</c:v>
                </c:pt>
                <c:pt idx="128">
                  <c:v>101.37431808644565</c:v>
                </c:pt>
                <c:pt idx="129">
                  <c:v>102.57028955098615</c:v>
                </c:pt>
                <c:pt idx="130">
                  <c:v>102.42341586235837</c:v>
                </c:pt>
              </c:numCache>
            </c:numRef>
          </c:val>
          <c:smooth val="0"/>
          <c:extLst xmlns:c16r2="http://schemas.microsoft.com/office/drawing/2015/06/chart">
            <c:ext xmlns:c16="http://schemas.microsoft.com/office/drawing/2014/chart" uri="{C3380CC4-5D6E-409C-BE32-E72D297353CC}">
              <c16:uniqueId val="{00000009-B25B-2F45-B088-2533806B9851}"/>
            </c:ext>
          </c:extLst>
        </c:ser>
        <c:dLbls>
          <c:showLegendKey val="0"/>
          <c:showVal val="0"/>
          <c:showCatName val="0"/>
          <c:showSerName val="0"/>
          <c:showPercent val="0"/>
          <c:showBubbleSize val="0"/>
        </c:dLbls>
        <c:smooth val="0"/>
        <c:axId val="491527688"/>
        <c:axId val="491524160"/>
      </c:lineChart>
      <c:dateAx>
        <c:axId val="491527688"/>
        <c:scaling>
          <c:orientation val="minMax"/>
        </c:scaling>
        <c:delete val="0"/>
        <c:axPos val="b"/>
        <c:numFmt formatCode="[$-409]m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24160"/>
        <c:crosses val="autoZero"/>
        <c:auto val="1"/>
        <c:lblOffset val="100"/>
        <c:baseTimeUnit val="days"/>
        <c:majorUnit val="1"/>
        <c:majorTimeUnit val="months"/>
      </c:dateAx>
      <c:valAx>
        <c:axId val="491524160"/>
        <c:scaling>
          <c:orientation val="minMax"/>
          <c:min val="9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27688"/>
        <c:crosses val="autoZero"/>
        <c:crossBetween val="between"/>
      </c:valAx>
      <c:spPr>
        <a:noFill/>
        <a:ln>
          <a:noFill/>
        </a:ln>
        <a:effectLst/>
      </c:spPr>
    </c:plotArea>
    <c:legend>
      <c:legendPos val="b"/>
      <c:layout>
        <c:manualLayout>
          <c:xMode val="edge"/>
          <c:yMode val="edge"/>
          <c:x val="6.812340901437842E-3"/>
          <c:y val="0.90456420220199751"/>
          <c:w val="0.98194367627379175"/>
          <c:h val="8.362942235526343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0"/>
          <c:order val="0"/>
          <c:tx>
            <c:strRef>
              <c:f>Currency!$Y$68</c:f>
              <c:strCache>
                <c:ptCount val="1"/>
                <c:pt idx="0">
                  <c:v>USD Index</c:v>
                </c:pt>
              </c:strCache>
            </c:strRef>
          </c:tx>
          <c:spPr>
            <a:ln w="28575" cap="rnd">
              <a:solidFill>
                <a:schemeClr val="accent5">
                  <a:lumMod val="60000"/>
                </a:schemeClr>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Currency!$Y$69:$Y$199</c:f>
              <c:numCache>
                <c:formatCode>0.00</c:formatCode>
                <c:ptCount val="131"/>
                <c:pt idx="0">
                  <c:v>100</c:v>
                </c:pt>
                <c:pt idx="1">
                  <c:v>100.08669171093871</c:v>
                </c:pt>
                <c:pt idx="2">
                  <c:v>100.25118367528395</c:v>
                </c:pt>
                <c:pt idx="3">
                  <c:v>100.18672060817568</c:v>
                </c:pt>
                <c:pt idx="4">
                  <c:v>100.54015604507968</c:v>
                </c:pt>
                <c:pt idx="5">
                  <c:v>100.14893191366394</c:v>
                </c:pt>
                <c:pt idx="6">
                  <c:v>99.848845221952999</c:v>
                </c:pt>
                <c:pt idx="7">
                  <c:v>99.569875741880992</c:v>
                </c:pt>
                <c:pt idx="8">
                  <c:v>99.548758530242068</c:v>
                </c:pt>
                <c:pt idx="9">
                  <c:v>99.752150621290596</c:v>
                </c:pt>
                <c:pt idx="10">
                  <c:v>99.806610798675166</c:v>
                </c:pt>
                <c:pt idx="11">
                  <c:v>99.389823726854416</c:v>
                </c:pt>
                <c:pt idx="12">
                  <c:v>99.490964056282934</c:v>
                </c:pt>
                <c:pt idx="13">
                  <c:v>99.609887300775782</c:v>
                </c:pt>
                <c:pt idx="14">
                  <c:v>99.962211305488253</c:v>
                </c:pt>
                <c:pt idx="15">
                  <c:v>100.38010980950051</c:v>
                </c:pt>
                <c:pt idx="16">
                  <c:v>101.08031209015937</c:v>
                </c:pt>
                <c:pt idx="17">
                  <c:v>100.88025429568542</c:v>
                </c:pt>
                <c:pt idx="18">
                  <c:v>101.33149576544334</c:v>
                </c:pt>
                <c:pt idx="19">
                  <c:v>101.7638428879454</c:v>
                </c:pt>
                <c:pt idx="20">
                  <c:v>101.74272567630649</c:v>
                </c:pt>
                <c:pt idx="21">
                  <c:v>102.07504390157156</c:v>
                </c:pt>
                <c:pt idx="22">
                  <c:v>102.75079467401693</c:v>
                </c:pt>
                <c:pt idx="23">
                  <c:v>102.82081490208282</c:v>
                </c:pt>
                <c:pt idx="24">
                  <c:v>102.71189454731366</c:v>
                </c:pt>
                <c:pt idx="25">
                  <c:v>102.88083224042501</c:v>
                </c:pt>
                <c:pt idx="26">
                  <c:v>103.08422433147354</c:v>
                </c:pt>
                <c:pt idx="27">
                  <c:v>103.49656567452821</c:v>
                </c:pt>
                <c:pt idx="28">
                  <c:v>103.40765109920645</c:v>
                </c:pt>
                <c:pt idx="29">
                  <c:v>102.97419254451286</c:v>
                </c:pt>
                <c:pt idx="30">
                  <c:v>102.84860070687087</c:v>
                </c:pt>
                <c:pt idx="31">
                  <c:v>102.90417231644697</c:v>
                </c:pt>
                <c:pt idx="32">
                  <c:v>103.60659746148886</c:v>
                </c:pt>
                <c:pt idx="33">
                  <c:v>103.79887523062217</c:v>
                </c:pt>
                <c:pt idx="34">
                  <c:v>103.88445550936936</c:v>
                </c:pt>
                <c:pt idx="35">
                  <c:v>104.07117611754506</c:v>
                </c:pt>
                <c:pt idx="36">
                  <c:v>104.11563340520595</c:v>
                </c:pt>
                <c:pt idx="37">
                  <c:v>104.04005601618245</c:v>
                </c:pt>
                <c:pt idx="38">
                  <c:v>104.47796029964212</c:v>
                </c:pt>
                <c:pt idx="39">
                  <c:v>104.22455375997511</c:v>
                </c:pt>
                <c:pt idx="40">
                  <c:v>104.75581834752261</c:v>
                </c:pt>
                <c:pt idx="41">
                  <c:v>104.93920465912375</c:v>
                </c:pt>
                <c:pt idx="42">
                  <c:v>105.38600040011559</c:v>
                </c:pt>
                <c:pt idx="43">
                  <c:v>104.55131482428257</c:v>
                </c:pt>
                <c:pt idx="44">
                  <c:v>104.45128592704557</c:v>
                </c:pt>
                <c:pt idx="45">
                  <c:v>104.64800942494499</c:v>
                </c:pt>
                <c:pt idx="46">
                  <c:v>104.51686042634537</c:v>
                </c:pt>
                <c:pt idx="47">
                  <c:v>104.33680841131883</c:v>
                </c:pt>
                <c:pt idx="48">
                  <c:v>104.04561317714007</c:v>
                </c:pt>
                <c:pt idx="49">
                  <c:v>103.84666681485761</c:v>
                </c:pt>
                <c:pt idx="50">
                  <c:v>103.95781003400981</c:v>
                </c:pt>
                <c:pt idx="51">
                  <c:v>104.03894458399093</c:v>
                </c:pt>
                <c:pt idx="52">
                  <c:v>104.27234534421055</c:v>
                </c:pt>
                <c:pt idx="53">
                  <c:v>103.96781292373352</c:v>
                </c:pt>
                <c:pt idx="54">
                  <c:v>105.45157489941539</c:v>
                </c:pt>
                <c:pt idx="55">
                  <c:v>105.35043456998687</c:v>
                </c:pt>
                <c:pt idx="56">
                  <c:v>105.31486873985818</c:v>
                </c:pt>
                <c:pt idx="57">
                  <c:v>105.60050681307933</c:v>
                </c:pt>
                <c:pt idx="58">
                  <c:v>105.72387578633825</c:v>
                </c:pt>
                <c:pt idx="59">
                  <c:v>105.43268055215951</c:v>
                </c:pt>
                <c:pt idx="60">
                  <c:v>105.05257074265899</c:v>
                </c:pt>
                <c:pt idx="61">
                  <c:v>104.79582990641741</c:v>
                </c:pt>
                <c:pt idx="62">
                  <c:v>105.22595416453642</c:v>
                </c:pt>
                <c:pt idx="63">
                  <c:v>105.90837353013094</c:v>
                </c:pt>
                <c:pt idx="64">
                  <c:v>105.9328250383444</c:v>
                </c:pt>
                <c:pt idx="65">
                  <c:v>104.99699913308289</c:v>
                </c:pt>
                <c:pt idx="66">
                  <c:v>105.44268344188322</c:v>
                </c:pt>
                <c:pt idx="67">
                  <c:v>105.13148242825704</c:v>
                </c:pt>
                <c:pt idx="68">
                  <c:v>105.06479649676575</c:v>
                </c:pt>
                <c:pt idx="69">
                  <c:v>104.91364171871874</c:v>
                </c:pt>
                <c:pt idx="70">
                  <c:v>104.43350301198122</c:v>
                </c:pt>
                <c:pt idx="71">
                  <c:v>104.56020628181474</c:v>
                </c:pt>
                <c:pt idx="72">
                  <c:v>104.65023228932802</c:v>
                </c:pt>
                <c:pt idx="73">
                  <c:v>105.27374574877186</c:v>
                </c:pt>
                <c:pt idx="74">
                  <c:v>105.39378042545624</c:v>
                </c:pt>
                <c:pt idx="75">
                  <c:v>105.22706559672794</c:v>
                </c:pt>
                <c:pt idx="76">
                  <c:v>105.04256785293529</c:v>
                </c:pt>
                <c:pt idx="77">
                  <c:v>105.56938671171672</c:v>
                </c:pt>
                <c:pt idx="78">
                  <c:v>105.68052993086891</c:v>
                </c:pt>
                <c:pt idx="79">
                  <c:v>105.76833307399916</c:v>
                </c:pt>
                <c:pt idx="80">
                  <c:v>105.00366772623202</c:v>
                </c:pt>
                <c:pt idx="81">
                  <c:v>105.17705114810944</c:v>
                </c:pt>
                <c:pt idx="82">
                  <c:v>105.15593393647053</c:v>
                </c:pt>
                <c:pt idx="83">
                  <c:v>104.73358970369218</c:v>
                </c:pt>
                <c:pt idx="84">
                  <c:v>105.34710027341232</c:v>
                </c:pt>
                <c:pt idx="85">
                  <c:v>105.21817413919577</c:v>
                </c:pt>
                <c:pt idx="86">
                  <c:v>104.86140440571721</c:v>
                </c:pt>
                <c:pt idx="87">
                  <c:v>105.09035943717073</c:v>
                </c:pt>
                <c:pt idx="88">
                  <c:v>105.20928268166358</c:v>
                </c:pt>
                <c:pt idx="89">
                  <c:v>105.77500166714829</c:v>
                </c:pt>
                <c:pt idx="90">
                  <c:v>105.76499877742458</c:v>
                </c:pt>
                <c:pt idx="91">
                  <c:v>105.98395091915442</c:v>
                </c:pt>
                <c:pt idx="92">
                  <c:v>105.79278458221265</c:v>
                </c:pt>
                <c:pt idx="93">
                  <c:v>105.68830995620957</c:v>
                </c:pt>
                <c:pt idx="94">
                  <c:v>106.14622001911664</c:v>
                </c:pt>
                <c:pt idx="95">
                  <c:v>107.09427167848489</c:v>
                </c:pt>
                <c:pt idx="96">
                  <c:v>107.13206037299665</c:v>
                </c:pt>
                <c:pt idx="97">
                  <c:v>107.50994731811411</c:v>
                </c:pt>
                <c:pt idx="98">
                  <c:v>107.47104719141085</c:v>
                </c:pt>
                <c:pt idx="99">
                  <c:v>107.41436414964323</c:v>
                </c:pt>
                <c:pt idx="100">
                  <c:v>106.80974503745526</c:v>
                </c:pt>
                <c:pt idx="101">
                  <c:v>106.58634716695934</c:v>
                </c:pt>
                <c:pt idx="102">
                  <c:v>105.87058483561917</c:v>
                </c:pt>
                <c:pt idx="103">
                  <c:v>105.74832729455174</c:v>
                </c:pt>
                <c:pt idx="104">
                  <c:v>106.3262720341432</c:v>
                </c:pt>
                <c:pt idx="105">
                  <c:v>105.74832729455174</c:v>
                </c:pt>
                <c:pt idx="106">
                  <c:v>105.34043168026317</c:v>
                </c:pt>
                <c:pt idx="107">
                  <c:v>105.27485718096339</c:v>
                </c:pt>
                <c:pt idx="108">
                  <c:v>105.14148531798074</c:v>
                </c:pt>
                <c:pt idx="109">
                  <c:v>105.27819147753794</c:v>
                </c:pt>
                <c:pt idx="110">
                  <c:v>105.74165870140261</c:v>
                </c:pt>
                <c:pt idx="111">
                  <c:v>105.74165870140261</c:v>
                </c:pt>
                <c:pt idx="112">
                  <c:v>106.07397692666768</c:v>
                </c:pt>
                <c:pt idx="113">
                  <c:v>105.79056171782959</c:v>
                </c:pt>
                <c:pt idx="114">
                  <c:v>105.60939827061151</c:v>
                </c:pt>
                <c:pt idx="115">
                  <c:v>105.99173094449507</c:v>
                </c:pt>
                <c:pt idx="116">
                  <c:v>105.75277302331784</c:v>
                </c:pt>
                <c:pt idx="117">
                  <c:v>105.86280481027852</c:v>
                </c:pt>
                <c:pt idx="118">
                  <c:v>105.36266032409362</c:v>
                </c:pt>
                <c:pt idx="119">
                  <c:v>105.05034787827594</c:v>
                </c:pt>
                <c:pt idx="120">
                  <c:v>105.50492364460844</c:v>
                </c:pt>
                <c:pt idx="121">
                  <c:v>105.02589637006245</c:v>
                </c:pt>
                <c:pt idx="122">
                  <c:v>105.18594260564163</c:v>
                </c:pt>
                <c:pt idx="123">
                  <c:v>105.07146508991487</c:v>
                </c:pt>
                <c:pt idx="124">
                  <c:v>104.37681997021362</c:v>
                </c:pt>
                <c:pt idx="125">
                  <c:v>104.71914108520239</c:v>
                </c:pt>
                <c:pt idx="126">
                  <c:v>104.68024095849913</c:v>
                </c:pt>
                <c:pt idx="127">
                  <c:v>104.62244648453998</c:v>
                </c:pt>
                <c:pt idx="128">
                  <c:v>104.68913241603128</c:v>
                </c:pt>
                <c:pt idx="129">
                  <c:v>105.46824638228823</c:v>
                </c:pt>
                <c:pt idx="130">
                  <c:v>105.73276724387046</c:v>
                </c:pt>
              </c:numCache>
            </c:numRef>
          </c:val>
          <c:smooth val="0"/>
          <c:extLst xmlns:c16r2="http://schemas.microsoft.com/office/drawing/2015/06/chart">
            <c:ext xmlns:c16="http://schemas.microsoft.com/office/drawing/2014/chart" uri="{C3380CC4-5D6E-409C-BE32-E72D297353CC}">
              <c16:uniqueId val="{00000000-E5C3-B043-ABA7-345B53DE76FA}"/>
            </c:ext>
          </c:extLst>
        </c:ser>
        <c:ser>
          <c:idx val="11"/>
          <c:order val="1"/>
          <c:tx>
            <c:strRef>
              <c:f>Currency!$Z$68</c:f>
              <c:strCache>
                <c:ptCount val="1"/>
                <c:pt idx="0">
                  <c:v>MSCI EM Index</c:v>
                </c:pt>
              </c:strCache>
            </c:strRef>
          </c:tx>
          <c:spPr>
            <a:ln w="28575" cap="rnd">
              <a:solidFill>
                <a:schemeClr val="accent6">
                  <a:lumMod val="60000"/>
                </a:schemeClr>
              </a:solidFill>
              <a:round/>
            </a:ln>
            <a:effectLst/>
          </c:spPr>
          <c:marker>
            <c:symbol val="none"/>
          </c:marker>
          <c:cat>
            <c:numRef>
              <c:f>Currency!$N$69:$N$199</c:f>
              <c:numCache>
                <c:formatCode>[$-409]mmmm\-yy;@</c:formatCode>
                <c:ptCount val="131"/>
                <c:pt idx="0">
                  <c:v>43189</c:v>
                </c:pt>
                <c:pt idx="1">
                  <c:v>43192</c:v>
                </c:pt>
                <c:pt idx="2">
                  <c:v>43193</c:v>
                </c:pt>
                <c:pt idx="3">
                  <c:v>43194</c:v>
                </c:pt>
                <c:pt idx="4">
                  <c:v>43195</c:v>
                </c:pt>
                <c:pt idx="5">
                  <c:v>43196</c:v>
                </c:pt>
                <c:pt idx="6">
                  <c:v>43199</c:v>
                </c:pt>
                <c:pt idx="7">
                  <c:v>43200</c:v>
                </c:pt>
                <c:pt idx="8">
                  <c:v>43201</c:v>
                </c:pt>
                <c:pt idx="9">
                  <c:v>43202</c:v>
                </c:pt>
                <c:pt idx="10">
                  <c:v>43203</c:v>
                </c:pt>
                <c:pt idx="11">
                  <c:v>43206</c:v>
                </c:pt>
                <c:pt idx="12">
                  <c:v>43207</c:v>
                </c:pt>
                <c:pt idx="13">
                  <c:v>43208</c:v>
                </c:pt>
                <c:pt idx="14">
                  <c:v>43209</c:v>
                </c:pt>
                <c:pt idx="15">
                  <c:v>43210</c:v>
                </c:pt>
                <c:pt idx="16">
                  <c:v>43213</c:v>
                </c:pt>
                <c:pt idx="17">
                  <c:v>43214</c:v>
                </c:pt>
                <c:pt idx="18">
                  <c:v>43215</c:v>
                </c:pt>
                <c:pt idx="19">
                  <c:v>43216</c:v>
                </c:pt>
                <c:pt idx="20">
                  <c:v>43217</c:v>
                </c:pt>
                <c:pt idx="21">
                  <c:v>43220</c:v>
                </c:pt>
                <c:pt idx="22">
                  <c:v>43221</c:v>
                </c:pt>
                <c:pt idx="23">
                  <c:v>43222</c:v>
                </c:pt>
                <c:pt idx="24">
                  <c:v>43223</c:v>
                </c:pt>
                <c:pt idx="25">
                  <c:v>43224</c:v>
                </c:pt>
                <c:pt idx="26">
                  <c:v>43227</c:v>
                </c:pt>
                <c:pt idx="27">
                  <c:v>43228</c:v>
                </c:pt>
                <c:pt idx="28">
                  <c:v>43229</c:v>
                </c:pt>
                <c:pt idx="29">
                  <c:v>43230</c:v>
                </c:pt>
                <c:pt idx="30">
                  <c:v>43231</c:v>
                </c:pt>
                <c:pt idx="31">
                  <c:v>43234</c:v>
                </c:pt>
                <c:pt idx="32">
                  <c:v>43235</c:v>
                </c:pt>
                <c:pt idx="33">
                  <c:v>43236</c:v>
                </c:pt>
                <c:pt idx="34">
                  <c:v>43237</c:v>
                </c:pt>
                <c:pt idx="35">
                  <c:v>43238</c:v>
                </c:pt>
                <c:pt idx="36">
                  <c:v>43241</c:v>
                </c:pt>
                <c:pt idx="37">
                  <c:v>43242</c:v>
                </c:pt>
                <c:pt idx="38">
                  <c:v>43243</c:v>
                </c:pt>
                <c:pt idx="39">
                  <c:v>43244</c:v>
                </c:pt>
                <c:pt idx="40">
                  <c:v>43245</c:v>
                </c:pt>
                <c:pt idx="41">
                  <c:v>43248</c:v>
                </c:pt>
                <c:pt idx="42">
                  <c:v>43249</c:v>
                </c:pt>
                <c:pt idx="43">
                  <c:v>43250</c:v>
                </c:pt>
                <c:pt idx="44">
                  <c:v>43251</c:v>
                </c:pt>
                <c:pt idx="45">
                  <c:v>43252</c:v>
                </c:pt>
                <c:pt idx="46">
                  <c:v>43255</c:v>
                </c:pt>
                <c:pt idx="47">
                  <c:v>43256</c:v>
                </c:pt>
                <c:pt idx="48">
                  <c:v>43257</c:v>
                </c:pt>
                <c:pt idx="49">
                  <c:v>43258</c:v>
                </c:pt>
                <c:pt idx="50">
                  <c:v>43259</c:v>
                </c:pt>
                <c:pt idx="51">
                  <c:v>43262</c:v>
                </c:pt>
                <c:pt idx="52">
                  <c:v>43263</c:v>
                </c:pt>
                <c:pt idx="53">
                  <c:v>43264</c:v>
                </c:pt>
                <c:pt idx="54">
                  <c:v>43265</c:v>
                </c:pt>
                <c:pt idx="55">
                  <c:v>43266</c:v>
                </c:pt>
                <c:pt idx="56">
                  <c:v>43269</c:v>
                </c:pt>
                <c:pt idx="57">
                  <c:v>43270</c:v>
                </c:pt>
                <c:pt idx="58">
                  <c:v>43271</c:v>
                </c:pt>
                <c:pt idx="59">
                  <c:v>43272</c:v>
                </c:pt>
                <c:pt idx="60">
                  <c:v>43273</c:v>
                </c:pt>
                <c:pt idx="61">
                  <c:v>43276</c:v>
                </c:pt>
                <c:pt idx="62">
                  <c:v>43277</c:v>
                </c:pt>
                <c:pt idx="63">
                  <c:v>43278</c:v>
                </c:pt>
                <c:pt idx="64">
                  <c:v>43279</c:v>
                </c:pt>
                <c:pt idx="65">
                  <c:v>43280</c:v>
                </c:pt>
                <c:pt idx="66">
                  <c:v>43283</c:v>
                </c:pt>
                <c:pt idx="67">
                  <c:v>43284</c:v>
                </c:pt>
                <c:pt idx="68">
                  <c:v>43285</c:v>
                </c:pt>
                <c:pt idx="69">
                  <c:v>43286</c:v>
                </c:pt>
                <c:pt idx="70">
                  <c:v>43287</c:v>
                </c:pt>
                <c:pt idx="71">
                  <c:v>43290</c:v>
                </c:pt>
                <c:pt idx="72">
                  <c:v>43291</c:v>
                </c:pt>
                <c:pt idx="73">
                  <c:v>43292</c:v>
                </c:pt>
                <c:pt idx="74">
                  <c:v>43293</c:v>
                </c:pt>
                <c:pt idx="75">
                  <c:v>43294</c:v>
                </c:pt>
                <c:pt idx="76">
                  <c:v>43297</c:v>
                </c:pt>
                <c:pt idx="77">
                  <c:v>43298</c:v>
                </c:pt>
                <c:pt idx="78">
                  <c:v>43299</c:v>
                </c:pt>
                <c:pt idx="79">
                  <c:v>43300</c:v>
                </c:pt>
                <c:pt idx="80">
                  <c:v>43301</c:v>
                </c:pt>
                <c:pt idx="81">
                  <c:v>43304</c:v>
                </c:pt>
                <c:pt idx="82">
                  <c:v>43305</c:v>
                </c:pt>
                <c:pt idx="83">
                  <c:v>43306</c:v>
                </c:pt>
                <c:pt idx="84">
                  <c:v>43307</c:v>
                </c:pt>
                <c:pt idx="85">
                  <c:v>43308</c:v>
                </c:pt>
                <c:pt idx="86">
                  <c:v>43311</c:v>
                </c:pt>
                <c:pt idx="87">
                  <c:v>43312</c:v>
                </c:pt>
                <c:pt idx="88">
                  <c:v>43313</c:v>
                </c:pt>
                <c:pt idx="89">
                  <c:v>43314</c:v>
                </c:pt>
                <c:pt idx="90">
                  <c:v>43315</c:v>
                </c:pt>
                <c:pt idx="91">
                  <c:v>43316</c:v>
                </c:pt>
                <c:pt idx="92">
                  <c:v>43317</c:v>
                </c:pt>
                <c:pt idx="93">
                  <c:v>43318</c:v>
                </c:pt>
                <c:pt idx="94">
                  <c:v>43319</c:v>
                </c:pt>
                <c:pt idx="95">
                  <c:v>43320</c:v>
                </c:pt>
                <c:pt idx="96">
                  <c:v>43321</c:v>
                </c:pt>
                <c:pt idx="97">
                  <c:v>43322</c:v>
                </c:pt>
                <c:pt idx="98">
                  <c:v>43323</c:v>
                </c:pt>
                <c:pt idx="99">
                  <c:v>43324</c:v>
                </c:pt>
                <c:pt idx="100">
                  <c:v>43325</c:v>
                </c:pt>
                <c:pt idx="101">
                  <c:v>43326</c:v>
                </c:pt>
                <c:pt idx="102">
                  <c:v>43327</c:v>
                </c:pt>
                <c:pt idx="103">
                  <c:v>43328</c:v>
                </c:pt>
                <c:pt idx="104">
                  <c:v>43329</c:v>
                </c:pt>
                <c:pt idx="105">
                  <c:v>43330</c:v>
                </c:pt>
                <c:pt idx="106">
                  <c:v>43331</c:v>
                </c:pt>
                <c:pt idx="107">
                  <c:v>43332</c:v>
                </c:pt>
                <c:pt idx="108">
                  <c:v>43333</c:v>
                </c:pt>
                <c:pt idx="109">
                  <c:v>43334</c:v>
                </c:pt>
                <c:pt idx="110">
                  <c:v>43335</c:v>
                </c:pt>
                <c:pt idx="111">
                  <c:v>43346</c:v>
                </c:pt>
                <c:pt idx="112">
                  <c:v>43347</c:v>
                </c:pt>
                <c:pt idx="113">
                  <c:v>43348</c:v>
                </c:pt>
                <c:pt idx="114">
                  <c:v>43349</c:v>
                </c:pt>
                <c:pt idx="115">
                  <c:v>43350</c:v>
                </c:pt>
                <c:pt idx="116">
                  <c:v>43353</c:v>
                </c:pt>
                <c:pt idx="117">
                  <c:v>43354</c:v>
                </c:pt>
                <c:pt idx="118">
                  <c:v>43355</c:v>
                </c:pt>
                <c:pt idx="119">
                  <c:v>43356</c:v>
                </c:pt>
                <c:pt idx="120">
                  <c:v>43357</c:v>
                </c:pt>
                <c:pt idx="121">
                  <c:v>43360</c:v>
                </c:pt>
                <c:pt idx="122">
                  <c:v>43361</c:v>
                </c:pt>
                <c:pt idx="123">
                  <c:v>43362</c:v>
                </c:pt>
                <c:pt idx="124">
                  <c:v>43363</c:v>
                </c:pt>
                <c:pt idx="125">
                  <c:v>43364</c:v>
                </c:pt>
                <c:pt idx="126">
                  <c:v>43367</c:v>
                </c:pt>
                <c:pt idx="127">
                  <c:v>43368</c:v>
                </c:pt>
                <c:pt idx="128">
                  <c:v>43369</c:v>
                </c:pt>
                <c:pt idx="129">
                  <c:v>43370</c:v>
                </c:pt>
                <c:pt idx="130">
                  <c:v>43371</c:v>
                </c:pt>
              </c:numCache>
            </c:numRef>
          </c:cat>
          <c:val>
            <c:numRef>
              <c:f>Currency!$Z$69:$Z$199</c:f>
              <c:numCache>
                <c:formatCode>0.00</c:formatCode>
                <c:ptCount val="131"/>
                <c:pt idx="0">
                  <c:v>100</c:v>
                </c:pt>
                <c:pt idx="1">
                  <c:v>100.24949375975491</c:v>
                </c:pt>
                <c:pt idx="2">
                  <c:v>100.3133177448085</c:v>
                </c:pt>
                <c:pt idx="3">
                  <c:v>99.99883956390812</c:v>
                </c:pt>
                <c:pt idx="4">
                  <c:v>100.03655373689431</c:v>
                </c:pt>
                <c:pt idx="5">
                  <c:v>99.700607488294096</c:v>
                </c:pt>
                <c:pt idx="6">
                  <c:v>99.519579457960305</c:v>
                </c:pt>
                <c:pt idx="7">
                  <c:v>99.425584134517749</c:v>
                </c:pt>
                <c:pt idx="8">
                  <c:v>99.491148773709156</c:v>
                </c:pt>
                <c:pt idx="9">
                  <c:v>99.603130856575902</c:v>
                </c:pt>
                <c:pt idx="10">
                  <c:v>99.49346964589293</c:v>
                </c:pt>
                <c:pt idx="11">
                  <c:v>99.341452517856212</c:v>
                </c:pt>
                <c:pt idx="12">
                  <c:v>99.63330219496487</c:v>
                </c:pt>
                <c:pt idx="13">
                  <c:v>99.702928360477856</c:v>
                </c:pt>
                <c:pt idx="14">
                  <c:v>99.758049074842319</c:v>
                </c:pt>
                <c:pt idx="15">
                  <c:v>99.306639435099711</c:v>
                </c:pt>
                <c:pt idx="16">
                  <c:v>98.869155028459701</c:v>
                </c:pt>
                <c:pt idx="17">
                  <c:v>98.600514073188691</c:v>
                </c:pt>
                <c:pt idx="18">
                  <c:v>98.174634027467519</c:v>
                </c:pt>
                <c:pt idx="19">
                  <c:v>98.19029991470795</c:v>
                </c:pt>
                <c:pt idx="20">
                  <c:v>98.39975862929289</c:v>
                </c:pt>
                <c:pt idx="21">
                  <c:v>98.353921403663492</c:v>
                </c:pt>
                <c:pt idx="22">
                  <c:v>98.15548683195145</c:v>
                </c:pt>
                <c:pt idx="23">
                  <c:v>97.667523455314509</c:v>
                </c:pt>
                <c:pt idx="24">
                  <c:v>97.677967380141467</c:v>
                </c:pt>
                <c:pt idx="25">
                  <c:v>97.81431862093774</c:v>
                </c:pt>
                <c:pt idx="26">
                  <c:v>97.653018004165958</c:v>
                </c:pt>
                <c:pt idx="27">
                  <c:v>97.44762081590261</c:v>
                </c:pt>
                <c:pt idx="28">
                  <c:v>97.295023469819952</c:v>
                </c:pt>
                <c:pt idx="29">
                  <c:v>97.801553823927023</c:v>
                </c:pt>
                <c:pt idx="30">
                  <c:v>98.128796801838135</c:v>
                </c:pt>
                <c:pt idx="31">
                  <c:v>98.005790576098491</c:v>
                </c:pt>
                <c:pt idx="32">
                  <c:v>97.300825650279378</c:v>
                </c:pt>
                <c:pt idx="33">
                  <c:v>97.253247770512161</c:v>
                </c:pt>
                <c:pt idx="34">
                  <c:v>97.191744657642332</c:v>
                </c:pt>
                <c:pt idx="35">
                  <c:v>96.842453393985451</c:v>
                </c:pt>
                <c:pt idx="36">
                  <c:v>96.708423025372937</c:v>
                </c:pt>
                <c:pt idx="37">
                  <c:v>97.154030484656147</c:v>
                </c:pt>
                <c:pt idx="38">
                  <c:v>97.014778153630132</c:v>
                </c:pt>
                <c:pt idx="39">
                  <c:v>97.145907432012947</c:v>
                </c:pt>
                <c:pt idx="40">
                  <c:v>97.182461168907281</c:v>
                </c:pt>
                <c:pt idx="41">
                  <c:v>97.25614886074186</c:v>
                </c:pt>
                <c:pt idx="42">
                  <c:v>96.877846694787905</c:v>
                </c:pt>
                <c:pt idx="43">
                  <c:v>96.83433034134228</c:v>
                </c:pt>
                <c:pt idx="44">
                  <c:v>96.985767251333044</c:v>
                </c:pt>
                <c:pt idx="45">
                  <c:v>97.02754295064085</c:v>
                </c:pt>
                <c:pt idx="46">
                  <c:v>97.200447928331471</c:v>
                </c:pt>
                <c:pt idx="47">
                  <c:v>97.056553852937938</c:v>
                </c:pt>
                <c:pt idx="48">
                  <c:v>97.183041386953221</c:v>
                </c:pt>
                <c:pt idx="49">
                  <c:v>96.997951830297822</c:v>
                </c:pt>
                <c:pt idx="50">
                  <c:v>96.705521935143224</c:v>
                </c:pt>
                <c:pt idx="51">
                  <c:v>96.986927687424924</c:v>
                </c:pt>
                <c:pt idx="52">
                  <c:v>96.797196386402007</c:v>
                </c:pt>
                <c:pt idx="53">
                  <c:v>96.761803085599567</c:v>
                </c:pt>
                <c:pt idx="54">
                  <c:v>96.664906671927312</c:v>
                </c:pt>
                <c:pt idx="55">
                  <c:v>95.983150467945848</c:v>
                </c:pt>
                <c:pt idx="56">
                  <c:v>95.834614648184797</c:v>
                </c:pt>
                <c:pt idx="57">
                  <c:v>95.345490835455962</c:v>
                </c:pt>
                <c:pt idx="58">
                  <c:v>95.542184753030185</c:v>
                </c:pt>
                <c:pt idx="59">
                  <c:v>95.188831963051712</c:v>
                </c:pt>
                <c:pt idx="60">
                  <c:v>95.513173850733111</c:v>
                </c:pt>
                <c:pt idx="61">
                  <c:v>95.122687105814364</c:v>
                </c:pt>
                <c:pt idx="62">
                  <c:v>95.041456579382526</c:v>
                </c:pt>
                <c:pt idx="63">
                  <c:v>94.572060180215729</c:v>
                </c:pt>
                <c:pt idx="64">
                  <c:v>94.165327330010612</c:v>
                </c:pt>
                <c:pt idx="65">
                  <c:v>94.497212052289257</c:v>
                </c:pt>
                <c:pt idx="66">
                  <c:v>93.987200389906519</c:v>
                </c:pt>
                <c:pt idx="67">
                  <c:v>94.110786833692103</c:v>
                </c:pt>
                <c:pt idx="68">
                  <c:v>94.41250021758178</c:v>
                </c:pt>
                <c:pt idx="69">
                  <c:v>94.360860811492955</c:v>
                </c:pt>
                <c:pt idx="70">
                  <c:v>94.447893518384205</c:v>
                </c:pt>
                <c:pt idx="71">
                  <c:v>94.923672316056368</c:v>
                </c:pt>
                <c:pt idx="72">
                  <c:v>94.897562503988993</c:v>
                </c:pt>
                <c:pt idx="73">
                  <c:v>94.577282142629187</c:v>
                </c:pt>
                <c:pt idx="74">
                  <c:v>94.541308623780822</c:v>
                </c:pt>
                <c:pt idx="75">
                  <c:v>94.489088999646071</c:v>
                </c:pt>
                <c:pt idx="76">
                  <c:v>94.45717700711927</c:v>
                </c:pt>
                <c:pt idx="77">
                  <c:v>94.592948029869618</c:v>
                </c:pt>
                <c:pt idx="78">
                  <c:v>94.205942593226538</c:v>
                </c:pt>
                <c:pt idx="79">
                  <c:v>93.668080464638606</c:v>
                </c:pt>
                <c:pt idx="80">
                  <c:v>93.820097592675339</c:v>
                </c:pt>
                <c:pt idx="81">
                  <c:v>93.855490893477764</c:v>
                </c:pt>
                <c:pt idx="82">
                  <c:v>93.877539179223561</c:v>
                </c:pt>
                <c:pt idx="83">
                  <c:v>94.295876390347502</c:v>
                </c:pt>
                <c:pt idx="84">
                  <c:v>94.380008007009039</c:v>
                </c:pt>
                <c:pt idx="85">
                  <c:v>94.344614706206585</c:v>
                </c:pt>
                <c:pt idx="86">
                  <c:v>94.342874052068765</c:v>
                </c:pt>
                <c:pt idx="87">
                  <c:v>94.327208164828349</c:v>
                </c:pt>
                <c:pt idx="88">
                  <c:v>94.433968285281594</c:v>
                </c:pt>
                <c:pt idx="89">
                  <c:v>93.95006643496626</c:v>
                </c:pt>
                <c:pt idx="90">
                  <c:v>93.922215968761051</c:v>
                </c:pt>
                <c:pt idx="91">
                  <c:v>93.979657555309288</c:v>
                </c:pt>
                <c:pt idx="92">
                  <c:v>94.169388856332219</c:v>
                </c:pt>
                <c:pt idx="93">
                  <c:v>94.064369390016765</c:v>
                </c:pt>
                <c:pt idx="94">
                  <c:v>93.781803201643172</c:v>
                </c:pt>
                <c:pt idx="95">
                  <c:v>92.993286877208462</c:v>
                </c:pt>
                <c:pt idx="96">
                  <c:v>92.380576620694072</c:v>
                </c:pt>
                <c:pt idx="97">
                  <c:v>92.59467707964653</c:v>
                </c:pt>
                <c:pt idx="98">
                  <c:v>92.127021334617538</c:v>
                </c:pt>
                <c:pt idx="99">
                  <c:v>92.330677868743066</c:v>
                </c:pt>
                <c:pt idx="100">
                  <c:v>92.254089086678775</c:v>
                </c:pt>
                <c:pt idx="101">
                  <c:v>92.556382688614377</c:v>
                </c:pt>
                <c:pt idx="102">
                  <c:v>92.790790779174813</c:v>
                </c:pt>
                <c:pt idx="103">
                  <c:v>92.696215237686317</c:v>
                </c:pt>
                <c:pt idx="104">
                  <c:v>92.450783004252997</c:v>
                </c:pt>
                <c:pt idx="105">
                  <c:v>92.572048575854808</c:v>
                </c:pt>
                <c:pt idx="106">
                  <c:v>93.064653696859281</c:v>
                </c:pt>
                <c:pt idx="107">
                  <c:v>92.994447313300327</c:v>
                </c:pt>
                <c:pt idx="108">
                  <c:v>92.653279102286632</c:v>
                </c:pt>
                <c:pt idx="109">
                  <c:v>92.361429425177974</c:v>
                </c:pt>
                <c:pt idx="110">
                  <c:v>92.460066492988062</c:v>
                </c:pt>
                <c:pt idx="111">
                  <c:v>92.381156838739997</c:v>
                </c:pt>
                <c:pt idx="112">
                  <c:v>91.954696574972871</c:v>
                </c:pt>
                <c:pt idx="113">
                  <c:v>91.719128048320556</c:v>
                </c:pt>
                <c:pt idx="114">
                  <c:v>91.704622597172019</c:v>
                </c:pt>
                <c:pt idx="115">
                  <c:v>91.969782244167348</c:v>
                </c:pt>
                <c:pt idx="116">
                  <c:v>91.575814190972963</c:v>
                </c:pt>
                <c:pt idx="117">
                  <c:v>91.523594566838213</c:v>
                </c:pt>
                <c:pt idx="118">
                  <c:v>91.743497206250112</c:v>
                </c:pt>
                <c:pt idx="119">
                  <c:v>92.066098439793677</c:v>
                </c:pt>
                <c:pt idx="120">
                  <c:v>92.169377251971284</c:v>
                </c:pt>
                <c:pt idx="121">
                  <c:v>91.919883492216385</c:v>
                </c:pt>
                <c:pt idx="122">
                  <c:v>92.044050154047881</c:v>
                </c:pt>
                <c:pt idx="123">
                  <c:v>92.281939552883969</c:v>
                </c:pt>
                <c:pt idx="124">
                  <c:v>92.442659951609812</c:v>
                </c:pt>
                <c:pt idx="125">
                  <c:v>92.786729252853235</c:v>
                </c:pt>
                <c:pt idx="126">
                  <c:v>92.851133455952748</c:v>
                </c:pt>
                <c:pt idx="127">
                  <c:v>92.514606989306586</c:v>
                </c:pt>
                <c:pt idx="128">
                  <c:v>92.698536109870091</c:v>
                </c:pt>
                <c:pt idx="129">
                  <c:v>92.967757283187012</c:v>
                </c:pt>
                <c:pt idx="130">
                  <c:v>93.00431102008136</c:v>
                </c:pt>
              </c:numCache>
            </c:numRef>
          </c:val>
          <c:smooth val="0"/>
          <c:extLst xmlns:c16r2="http://schemas.microsoft.com/office/drawing/2015/06/chart">
            <c:ext xmlns:c16="http://schemas.microsoft.com/office/drawing/2014/chart" uri="{C3380CC4-5D6E-409C-BE32-E72D297353CC}">
              <c16:uniqueId val="{00000001-E5C3-B043-ABA7-345B53DE76FA}"/>
            </c:ext>
          </c:extLst>
        </c:ser>
        <c:dLbls>
          <c:showLegendKey val="0"/>
          <c:showVal val="0"/>
          <c:showCatName val="0"/>
          <c:showSerName val="0"/>
          <c:showPercent val="0"/>
          <c:showBubbleSize val="0"/>
        </c:dLbls>
        <c:smooth val="0"/>
        <c:axId val="491525336"/>
        <c:axId val="491528864"/>
      </c:lineChart>
      <c:dateAx>
        <c:axId val="491525336"/>
        <c:scaling>
          <c:orientation val="minMax"/>
        </c:scaling>
        <c:delete val="0"/>
        <c:axPos val="b"/>
        <c:numFmt formatCode="[$-409]m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28864"/>
        <c:crosses val="autoZero"/>
        <c:auto val="1"/>
        <c:lblOffset val="100"/>
        <c:baseTimeUnit val="days"/>
        <c:majorUnit val="1"/>
        <c:majorTimeUnit val="months"/>
      </c:dateAx>
      <c:valAx>
        <c:axId val="491528864"/>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525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97282386584132"/>
          <c:y val="9.1488447691526295E-2"/>
          <c:w val="0.76008327803796716"/>
          <c:h val="0.54030325777782295"/>
        </c:manualLayout>
      </c:layout>
      <c:barChart>
        <c:barDir val="col"/>
        <c:grouping val="clustered"/>
        <c:varyColors val="0"/>
        <c:ser>
          <c:idx val="0"/>
          <c:order val="0"/>
          <c:tx>
            <c:strRef>
              <c:f>'F2&amp;F3'!$B$3</c:f>
              <c:strCache>
                <c:ptCount val="1"/>
                <c:pt idx="0">
                  <c:v>Average Daily Turnover at BSE (LHS)</c:v>
                </c:pt>
              </c:strCache>
            </c:strRef>
          </c:tx>
          <c:spPr>
            <a:solidFill>
              <a:srgbClr val="FFC000"/>
            </a:solidFill>
          </c:spPr>
          <c:invertIfNegative val="0"/>
          <c:cat>
            <c:numRef>
              <c:f>'F2&amp;F3'!$A$5:$A$16</c:f>
              <c:numCache>
                <c:formatCode>[$-409]mmm\-yy;@</c:formatCode>
                <c:ptCount val="12"/>
                <c:pt idx="0">
                  <c:v>43034</c:v>
                </c:pt>
                <c:pt idx="1">
                  <c:v>43066</c:v>
                </c:pt>
                <c:pt idx="2">
                  <c:v>43098</c:v>
                </c:pt>
                <c:pt idx="3">
                  <c:v>43130</c:v>
                </c:pt>
                <c:pt idx="4">
                  <c:v>43134</c:v>
                </c:pt>
                <c:pt idx="5">
                  <c:v>43163</c:v>
                </c:pt>
                <c:pt idx="6">
                  <c:v>43194</c:v>
                </c:pt>
                <c:pt idx="7">
                  <c:v>43224</c:v>
                </c:pt>
                <c:pt idx="8">
                  <c:v>43255</c:v>
                </c:pt>
                <c:pt idx="9">
                  <c:v>43285</c:v>
                </c:pt>
                <c:pt idx="10">
                  <c:v>43316</c:v>
                </c:pt>
                <c:pt idx="11">
                  <c:v>43347</c:v>
                </c:pt>
              </c:numCache>
            </c:numRef>
          </c:cat>
          <c:val>
            <c:numRef>
              <c:f>'F2&amp;F3'!$B$5:$B$16</c:f>
              <c:numCache>
                <c:formatCode>#,##0</c:formatCode>
                <c:ptCount val="12"/>
                <c:pt idx="0">
                  <c:v>3899.8299999999995</c:v>
                </c:pt>
                <c:pt idx="1">
                  <c:v>5577.6627272727274</c:v>
                </c:pt>
                <c:pt idx="2">
                  <c:v>4784.4685000000009</c:v>
                </c:pt>
                <c:pt idx="3">
                  <c:v>5569.8845454545453</c:v>
                </c:pt>
                <c:pt idx="4">
                  <c:v>4303.0647368421041</c:v>
                </c:pt>
                <c:pt idx="5">
                  <c:v>4124.136315789473</c:v>
                </c:pt>
                <c:pt idx="6">
                  <c:v>3410.9361904761909</c:v>
                </c:pt>
                <c:pt idx="7">
                  <c:v>3425.4772727272725</c:v>
                </c:pt>
                <c:pt idx="8">
                  <c:v>3055.3614285714293</c:v>
                </c:pt>
                <c:pt idx="9">
                  <c:v>2962.2036363636366</c:v>
                </c:pt>
                <c:pt idx="10">
                  <c:v>3233.12380952381</c:v>
                </c:pt>
                <c:pt idx="11">
                  <c:v>3470.9283333333333</c:v>
                </c:pt>
              </c:numCache>
            </c:numRef>
          </c:val>
        </c:ser>
        <c:dLbls>
          <c:showLegendKey val="0"/>
          <c:showVal val="0"/>
          <c:showCatName val="0"/>
          <c:showSerName val="0"/>
          <c:showPercent val="0"/>
          <c:showBubbleSize val="0"/>
        </c:dLbls>
        <c:gapWidth val="200"/>
        <c:overlap val="-100"/>
        <c:axId val="264000952"/>
        <c:axId val="264007616"/>
      </c:barChart>
      <c:lineChart>
        <c:grouping val="standard"/>
        <c:varyColors val="0"/>
        <c:ser>
          <c:idx val="1"/>
          <c:order val="1"/>
          <c:tx>
            <c:strRef>
              <c:f>'F2&amp;F3'!$C$3</c:f>
              <c:strCache>
                <c:ptCount val="1"/>
                <c:pt idx="0">
                  <c:v>Average Daily Value of Sensex (RHS)</c:v>
                </c:pt>
              </c:strCache>
            </c:strRef>
          </c:tx>
          <c:spPr>
            <a:ln w="19050">
              <a:solidFill>
                <a:schemeClr val="accent2">
                  <a:lumMod val="50000"/>
                </a:schemeClr>
              </a:solidFill>
            </a:ln>
          </c:spPr>
          <c:marker>
            <c:symbol val="star"/>
            <c:size val="7"/>
            <c:spPr>
              <a:noFill/>
              <a:ln>
                <a:solidFill>
                  <a:schemeClr val="accent2">
                    <a:lumMod val="50000"/>
                  </a:schemeClr>
                </a:solidFill>
              </a:ln>
            </c:spPr>
          </c:marker>
          <c:cat>
            <c:numRef>
              <c:f>'F2&amp;F3'!$A$4:$A$15</c:f>
              <c:numCache>
                <c:formatCode>[$-409]mmm\-yy;@</c:formatCode>
                <c:ptCount val="12"/>
                <c:pt idx="0">
                  <c:v>43002</c:v>
                </c:pt>
                <c:pt idx="1">
                  <c:v>43034</c:v>
                </c:pt>
                <c:pt idx="2">
                  <c:v>43066</c:v>
                </c:pt>
                <c:pt idx="3">
                  <c:v>43098</c:v>
                </c:pt>
                <c:pt idx="4">
                  <c:v>43130</c:v>
                </c:pt>
                <c:pt idx="5">
                  <c:v>43134</c:v>
                </c:pt>
                <c:pt idx="6">
                  <c:v>43163</c:v>
                </c:pt>
                <c:pt idx="7">
                  <c:v>43194</c:v>
                </c:pt>
                <c:pt idx="8">
                  <c:v>43224</c:v>
                </c:pt>
                <c:pt idx="9">
                  <c:v>43255</c:v>
                </c:pt>
                <c:pt idx="10">
                  <c:v>43285</c:v>
                </c:pt>
                <c:pt idx="11">
                  <c:v>43316</c:v>
                </c:pt>
              </c:numCache>
            </c:numRef>
          </c:cat>
          <c:val>
            <c:numRef>
              <c:f>'F2&amp;F3'!$C$4:$C$15</c:f>
              <c:numCache>
                <c:formatCode>#,##0</c:formatCode>
                <c:ptCount val="12"/>
                <c:pt idx="0">
                  <c:v>31887.121428571427</c:v>
                </c:pt>
                <c:pt idx="1">
                  <c:v>32397.642499999998</c:v>
                </c:pt>
                <c:pt idx="2">
                  <c:v>33395.138636363627</c:v>
                </c:pt>
                <c:pt idx="3">
                  <c:v>33424.397000000004</c:v>
                </c:pt>
                <c:pt idx="4">
                  <c:v>34989.415000000008</c:v>
                </c:pt>
                <c:pt idx="5">
                  <c:v>34287.038421052639</c:v>
                </c:pt>
                <c:pt idx="6">
                  <c:v>33323.31947368422</c:v>
                </c:pt>
                <c:pt idx="7">
                  <c:v>34145.677142857145</c:v>
                </c:pt>
                <c:pt idx="8">
                  <c:v>35079.555909090908</c:v>
                </c:pt>
                <c:pt idx="9">
                  <c:v>35405.144761904761</c:v>
                </c:pt>
                <c:pt idx="10">
                  <c:v>36406.377272727266</c:v>
                </c:pt>
                <c:pt idx="11">
                  <c:v>38061.525238095237</c:v>
                </c:pt>
              </c:numCache>
            </c:numRef>
          </c:val>
          <c:smooth val="0"/>
        </c:ser>
        <c:dLbls>
          <c:showLegendKey val="0"/>
          <c:showVal val="0"/>
          <c:showCatName val="0"/>
          <c:showSerName val="0"/>
          <c:showPercent val="0"/>
          <c:showBubbleSize val="0"/>
        </c:dLbls>
        <c:marker val="1"/>
        <c:smooth val="0"/>
        <c:axId val="263998208"/>
        <c:axId val="264001344"/>
      </c:lineChart>
      <c:catAx>
        <c:axId val="264000952"/>
        <c:scaling>
          <c:orientation val="minMax"/>
        </c:scaling>
        <c:delete val="0"/>
        <c:axPos val="b"/>
        <c:numFmt formatCode="[$-409]mmm\-yy;@" sourceLinked="1"/>
        <c:majorTickMark val="none"/>
        <c:minorTickMark val="none"/>
        <c:tickLblPos val="nextTo"/>
        <c:txPr>
          <a:bodyPr rot="-5400000" vert="horz"/>
          <a:lstStyle/>
          <a:p>
            <a:pPr>
              <a:defRPr lang="en-IN" sz="1000" cap="none" baseline="0"/>
            </a:pPr>
            <a:endParaRPr lang="en-US"/>
          </a:p>
        </c:txPr>
        <c:crossAx val="264007616"/>
        <c:crosses val="autoZero"/>
        <c:auto val="0"/>
        <c:lblAlgn val="ctr"/>
        <c:lblOffset val="100"/>
        <c:noMultiLvlLbl val="0"/>
      </c:catAx>
      <c:valAx>
        <c:axId val="264007616"/>
        <c:scaling>
          <c:orientation val="minMax"/>
        </c:scaling>
        <c:delete val="0"/>
        <c:axPos val="l"/>
        <c:numFmt formatCode="#,##0" sourceLinked="1"/>
        <c:majorTickMark val="none"/>
        <c:minorTickMark val="none"/>
        <c:tickLblPos val="nextTo"/>
        <c:txPr>
          <a:bodyPr/>
          <a:lstStyle/>
          <a:p>
            <a:pPr>
              <a:defRPr lang="en-IN"/>
            </a:pPr>
            <a:endParaRPr lang="en-US"/>
          </a:p>
        </c:txPr>
        <c:crossAx val="264000952"/>
        <c:crosses val="autoZero"/>
        <c:crossBetween val="between"/>
        <c:majorUnit val="1000"/>
      </c:valAx>
      <c:valAx>
        <c:axId val="264001344"/>
        <c:scaling>
          <c:orientation val="minMax"/>
        </c:scaling>
        <c:delete val="0"/>
        <c:axPos val="r"/>
        <c:numFmt formatCode="#,##0" sourceLinked="1"/>
        <c:majorTickMark val="none"/>
        <c:minorTickMark val="none"/>
        <c:tickLblPos val="nextTo"/>
        <c:txPr>
          <a:bodyPr/>
          <a:lstStyle/>
          <a:p>
            <a:pPr>
              <a:defRPr lang="en-IN"/>
            </a:pPr>
            <a:endParaRPr lang="en-US"/>
          </a:p>
        </c:txPr>
        <c:crossAx val="263998208"/>
        <c:crosses val="max"/>
        <c:crossBetween val="between"/>
      </c:valAx>
      <c:catAx>
        <c:axId val="263998208"/>
        <c:scaling>
          <c:orientation val="minMax"/>
        </c:scaling>
        <c:delete val="1"/>
        <c:axPos val="b"/>
        <c:numFmt formatCode="[$-409]mmm\-yy;@" sourceLinked="1"/>
        <c:majorTickMark val="out"/>
        <c:minorTickMark val="none"/>
        <c:tickLblPos val="none"/>
        <c:crossAx val="264001344"/>
        <c:crosses val="autoZero"/>
        <c:auto val="0"/>
        <c:lblAlgn val="ctr"/>
        <c:lblOffset val="100"/>
        <c:noMultiLvlLbl val="1"/>
      </c:catAx>
    </c:plotArea>
    <c:legend>
      <c:legendPos val="b"/>
      <c:layout>
        <c:manualLayout>
          <c:xMode val="edge"/>
          <c:yMode val="edge"/>
          <c:x val="4.1383659053767508E-2"/>
          <c:y val="0.80325269593928472"/>
          <c:w val="0.92143373266163353"/>
          <c:h val="8.1036158673992248E-2"/>
        </c:manualLayout>
      </c:layout>
      <c:overlay val="0"/>
      <c:spPr>
        <a:ln w="3175">
          <a:solidFill>
            <a:srgbClr val="EEECE1">
              <a:lumMod val="10000"/>
            </a:srgbClr>
          </a:solidFill>
        </a:ln>
      </c:spPr>
      <c:txPr>
        <a:bodyPr/>
        <a:lstStyle/>
        <a:p>
          <a:pPr>
            <a:defRPr lang="en-IN" sz="1000" cap="none" baseline="0"/>
          </a:pPr>
          <a:endParaRPr lang="en-US"/>
        </a:p>
      </c:txPr>
    </c:legend>
    <c:plotVisOnly val="1"/>
    <c:dispBlanksAs val="gap"/>
    <c:showDLblsOverMax val="0"/>
  </c:chart>
  <c:spPr>
    <a:ln>
      <a:solidFill>
        <a:schemeClr val="accent6">
          <a:lumMod val="50000"/>
        </a:schemeClr>
      </a:solidFill>
    </a:ln>
  </c:spPr>
  <c:txPr>
    <a:bodyPr/>
    <a:lstStyle/>
    <a:p>
      <a:pPr>
        <a:defRPr sz="900" b="1" i="0" cap="all" baseline="0">
          <a:latin typeface="Garamond"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82239720034995"/>
          <c:y val="5.4726368159203981E-2"/>
          <c:w val="0.7774407146475113"/>
          <c:h val="0.48529012719563902"/>
        </c:manualLayout>
      </c:layout>
      <c:barChart>
        <c:barDir val="col"/>
        <c:grouping val="clustered"/>
        <c:varyColors val="0"/>
        <c:ser>
          <c:idx val="0"/>
          <c:order val="0"/>
          <c:tx>
            <c:strRef>
              <c:f>'F4&amp;5'!$B$4</c:f>
              <c:strCache>
                <c:ptCount val="1"/>
                <c:pt idx="0">
                  <c:v>Return</c:v>
                </c:pt>
              </c:strCache>
            </c:strRef>
          </c:tx>
          <c:spPr>
            <a:solidFill>
              <a:schemeClr val="accent1"/>
            </a:solidFill>
            <a:ln>
              <a:noFill/>
            </a:ln>
            <a:effectLst/>
          </c:spPr>
          <c:invertIfNegative val="0"/>
          <c:cat>
            <c:strRef>
              <c:f>'F4&amp;5'!$A$5:$A$19</c:f>
              <c:strCache>
                <c:ptCount val="15"/>
                <c:pt idx="0">
                  <c:v>S&amp;P BSE Sensex</c:v>
                </c:pt>
                <c:pt idx="1">
                  <c:v>S&amp;P BSE 100</c:v>
                </c:pt>
                <c:pt idx="2">
                  <c:v>S&amp;P BSE 200</c:v>
                </c:pt>
                <c:pt idx="3">
                  <c:v>S&amp;P BSE 500</c:v>
                </c:pt>
                <c:pt idx="4">
                  <c:v>S&amp;P BSE Large Cap</c:v>
                </c:pt>
                <c:pt idx="5">
                  <c:v>S&amp;P BSE Small Cap</c:v>
                </c:pt>
                <c:pt idx="6">
                  <c:v>S&amp;P BSE Consumer Durables</c:v>
                </c:pt>
                <c:pt idx="7">
                  <c:v>S&amp;P BSE Capital Goods</c:v>
                </c:pt>
                <c:pt idx="8">
                  <c:v>S&amp;P BSE Bankex</c:v>
                </c:pt>
                <c:pt idx="9">
                  <c:v>S&amp;P BSE Teck</c:v>
                </c:pt>
                <c:pt idx="10">
                  <c:v>S&amp;P BSE FMCG</c:v>
                </c:pt>
                <c:pt idx="11">
                  <c:v>S&amp;P BSE Metal </c:v>
                </c:pt>
                <c:pt idx="12">
                  <c:v>S&amp;P BSE PSU</c:v>
                </c:pt>
                <c:pt idx="13">
                  <c:v>S&amp;P BSE Power</c:v>
                </c:pt>
                <c:pt idx="14">
                  <c:v>S&amp;P BSE Healthcare</c:v>
                </c:pt>
              </c:strCache>
            </c:strRef>
          </c:cat>
          <c:val>
            <c:numRef>
              <c:f>'F4&amp;5'!$B$5:$B$19</c:f>
              <c:numCache>
                <c:formatCode>0.0</c:formatCode>
                <c:ptCount val="15"/>
                <c:pt idx="0">
                  <c:v>-6.2567618586277645</c:v>
                </c:pt>
                <c:pt idx="1">
                  <c:v>-7.2895247304436941</c:v>
                </c:pt>
                <c:pt idx="2">
                  <c:v>-8.1210399565163769</c:v>
                </c:pt>
                <c:pt idx="3">
                  <c:v>-8.8368820284989553</c:v>
                </c:pt>
                <c:pt idx="4">
                  <c:v>-7.1508124122326278</c:v>
                </c:pt>
                <c:pt idx="5">
                  <c:v>-16.067515064095108</c:v>
                </c:pt>
                <c:pt idx="6">
                  <c:v>-11.808963699046858</c:v>
                </c:pt>
                <c:pt idx="7">
                  <c:v>-9.9378525601207741</c:v>
                </c:pt>
                <c:pt idx="8">
                  <c:v>-11.813183264649165</c:v>
                </c:pt>
                <c:pt idx="9">
                  <c:v>-1.1072947647830171</c:v>
                </c:pt>
                <c:pt idx="10">
                  <c:v>-9.9355684329951686</c:v>
                </c:pt>
                <c:pt idx="11">
                  <c:v>-3.9252429762446446</c:v>
                </c:pt>
                <c:pt idx="12">
                  <c:v>-9.3102837776316481</c:v>
                </c:pt>
                <c:pt idx="13">
                  <c:v>-9.8700437236069991</c:v>
                </c:pt>
                <c:pt idx="14">
                  <c:v>-5.7687061348358153</c:v>
                </c:pt>
              </c:numCache>
            </c:numRef>
          </c:val>
        </c:ser>
        <c:dLbls>
          <c:showLegendKey val="0"/>
          <c:showVal val="0"/>
          <c:showCatName val="0"/>
          <c:showSerName val="0"/>
          <c:showPercent val="0"/>
          <c:showBubbleSize val="0"/>
        </c:dLbls>
        <c:gapWidth val="219"/>
        <c:axId val="263998992"/>
        <c:axId val="264004480"/>
      </c:barChart>
      <c:lineChart>
        <c:grouping val="standard"/>
        <c:varyColors val="0"/>
        <c:ser>
          <c:idx val="1"/>
          <c:order val="1"/>
          <c:tx>
            <c:strRef>
              <c:f>'F4&amp;5'!$C$4</c:f>
              <c:strCache>
                <c:ptCount val="1"/>
                <c:pt idx="0">
                  <c:v>Volatility</c:v>
                </c:pt>
              </c:strCache>
            </c:strRef>
          </c:tx>
          <c:spPr>
            <a:ln w="28575" cap="rnd">
              <a:solidFill>
                <a:schemeClr val="accent2"/>
              </a:solidFill>
              <a:round/>
            </a:ln>
            <a:effectLst/>
          </c:spPr>
          <c:marker>
            <c:symbol val="none"/>
          </c:marker>
          <c:cat>
            <c:strRef>
              <c:f>'F4&amp;5'!$A$5:$A$19</c:f>
              <c:strCache>
                <c:ptCount val="15"/>
                <c:pt idx="0">
                  <c:v>S&amp;P BSE Sensex</c:v>
                </c:pt>
                <c:pt idx="1">
                  <c:v>S&amp;P BSE 100</c:v>
                </c:pt>
                <c:pt idx="2">
                  <c:v>S&amp;P BSE 200</c:v>
                </c:pt>
                <c:pt idx="3">
                  <c:v>S&amp;P BSE 500</c:v>
                </c:pt>
                <c:pt idx="4">
                  <c:v>S&amp;P BSE Large Cap</c:v>
                </c:pt>
                <c:pt idx="5">
                  <c:v>S&amp;P BSE Small Cap</c:v>
                </c:pt>
                <c:pt idx="6">
                  <c:v>S&amp;P BSE Consumer Durables</c:v>
                </c:pt>
                <c:pt idx="7">
                  <c:v>S&amp;P BSE Capital Goods</c:v>
                </c:pt>
                <c:pt idx="8">
                  <c:v>S&amp;P BSE Bankex</c:v>
                </c:pt>
                <c:pt idx="9">
                  <c:v>S&amp;P BSE Teck</c:v>
                </c:pt>
                <c:pt idx="10">
                  <c:v>S&amp;P BSE FMCG</c:v>
                </c:pt>
                <c:pt idx="11">
                  <c:v>S&amp;P BSE Metal </c:v>
                </c:pt>
                <c:pt idx="12">
                  <c:v>S&amp;P BSE PSU</c:v>
                </c:pt>
                <c:pt idx="13">
                  <c:v>S&amp;P BSE Power</c:v>
                </c:pt>
                <c:pt idx="14">
                  <c:v>S&amp;P BSE Healthcare</c:v>
                </c:pt>
              </c:strCache>
            </c:strRef>
          </c:cat>
          <c:val>
            <c:numRef>
              <c:f>'F4&amp;5'!$C$5:$C$19</c:f>
              <c:numCache>
                <c:formatCode>0.0</c:formatCode>
                <c:ptCount val="15"/>
                <c:pt idx="0">
                  <c:v>0.80192051667007569</c:v>
                </c:pt>
                <c:pt idx="1">
                  <c:v>0.90210909990657473</c:v>
                </c:pt>
                <c:pt idx="2">
                  <c:v>0.91519994345350597</c:v>
                </c:pt>
                <c:pt idx="3">
                  <c:v>0.91517672130593042</c:v>
                </c:pt>
                <c:pt idx="4">
                  <c:v>0.87907822642109334</c:v>
                </c:pt>
                <c:pt idx="5">
                  <c:v>1.3223327796209283</c:v>
                </c:pt>
                <c:pt idx="6">
                  <c:v>1.2627051888800982</c:v>
                </c:pt>
                <c:pt idx="7">
                  <c:v>1.0543880715378717</c:v>
                </c:pt>
                <c:pt idx="8">
                  <c:v>1.1807015050036718</c:v>
                </c:pt>
                <c:pt idx="9">
                  <c:v>0.75418204192907978</c:v>
                </c:pt>
                <c:pt idx="10">
                  <c:v>1.3391517755818314</c:v>
                </c:pt>
                <c:pt idx="11">
                  <c:v>1.8152839704826322</c:v>
                </c:pt>
                <c:pt idx="12">
                  <c:v>1.1323308829247032</c:v>
                </c:pt>
                <c:pt idx="13">
                  <c:v>1.260373774843502</c:v>
                </c:pt>
                <c:pt idx="14">
                  <c:v>1.4420643451112858</c:v>
                </c:pt>
              </c:numCache>
            </c:numRef>
          </c:val>
          <c:smooth val="0"/>
        </c:ser>
        <c:dLbls>
          <c:showLegendKey val="0"/>
          <c:showVal val="0"/>
          <c:showCatName val="0"/>
          <c:showSerName val="0"/>
          <c:showPercent val="0"/>
          <c:showBubbleSize val="0"/>
        </c:dLbls>
        <c:marker val="1"/>
        <c:smooth val="0"/>
        <c:axId val="264003696"/>
        <c:axId val="264008400"/>
      </c:lineChart>
      <c:catAx>
        <c:axId val="2639989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64004480"/>
        <c:crosses val="autoZero"/>
        <c:auto val="1"/>
        <c:lblAlgn val="ctr"/>
        <c:lblOffset val="100"/>
        <c:noMultiLvlLbl val="0"/>
      </c:catAx>
      <c:valAx>
        <c:axId val="26400448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r>
                  <a:rPr lang="en-US"/>
                  <a:t>Return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63998992"/>
        <c:crosses val="autoZero"/>
        <c:crossBetween val="between"/>
      </c:valAx>
      <c:valAx>
        <c:axId val="264008400"/>
        <c:scaling>
          <c:orientation val="minMax"/>
          <c:min val="0.30000000000000004"/>
        </c:scaling>
        <c:delete val="0"/>
        <c:axPos val="r"/>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r>
                  <a:rPr lang="en-US"/>
                  <a:t>Volatility</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64003696"/>
        <c:crosses val="max"/>
        <c:crossBetween val="between"/>
      </c:valAx>
      <c:catAx>
        <c:axId val="264003696"/>
        <c:scaling>
          <c:orientation val="minMax"/>
        </c:scaling>
        <c:delete val="1"/>
        <c:axPos val="b"/>
        <c:numFmt formatCode="General" sourceLinked="1"/>
        <c:majorTickMark val="out"/>
        <c:minorTickMark val="none"/>
        <c:tickLblPos val="nextTo"/>
        <c:crossAx val="264008400"/>
        <c:crosses val="autoZero"/>
        <c:auto val="1"/>
        <c:lblAlgn val="ctr"/>
        <c:lblOffset val="100"/>
        <c:noMultiLvlLbl val="0"/>
      </c:catAx>
      <c:spPr>
        <a:noFill/>
        <a:ln>
          <a:noFill/>
        </a:ln>
        <a:effectLst/>
      </c:spPr>
    </c:plotArea>
    <c:legend>
      <c:legendPos val="b"/>
      <c:layout>
        <c:manualLayout>
          <c:xMode val="edge"/>
          <c:yMode val="edge"/>
          <c:x val="0.47752574564543071"/>
          <c:y val="0.89291701998788608"/>
          <c:w val="0.36313385826771655"/>
          <c:h val="7.4744780036823708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a:latin typeface="Garamond" panose="020204040303010108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74455664793313"/>
          <c:y val="5.0056882821387941E-2"/>
          <c:w val="0.74557428908957013"/>
          <c:h val="0.55283688515044838"/>
        </c:manualLayout>
      </c:layout>
      <c:barChart>
        <c:barDir val="col"/>
        <c:grouping val="clustered"/>
        <c:varyColors val="0"/>
        <c:ser>
          <c:idx val="0"/>
          <c:order val="0"/>
          <c:tx>
            <c:strRef>
              <c:f>'F4&amp;5'!$E$4</c:f>
              <c:strCache>
                <c:ptCount val="1"/>
                <c:pt idx="0">
                  <c:v>Return</c:v>
                </c:pt>
              </c:strCache>
            </c:strRef>
          </c:tx>
          <c:spPr>
            <a:solidFill>
              <a:schemeClr val="accent1"/>
            </a:solidFill>
            <a:ln>
              <a:noFill/>
            </a:ln>
            <a:effectLst/>
          </c:spPr>
          <c:invertIfNegative val="0"/>
          <c:cat>
            <c:strRef>
              <c:f>'F4&amp;5'!$D$5:$D$19</c:f>
              <c:strCache>
                <c:ptCount val="15"/>
                <c:pt idx="0">
                  <c:v>Nifty 50</c:v>
                </c:pt>
                <c:pt idx="1">
                  <c:v>Nifty Next 50</c:v>
                </c:pt>
                <c:pt idx="2">
                  <c:v>Nifty 100</c:v>
                </c:pt>
                <c:pt idx="3">
                  <c:v>Nifty 200</c:v>
                </c:pt>
                <c:pt idx="4">
                  <c:v>Nifty 500</c:v>
                </c:pt>
                <c:pt idx="5">
                  <c:v>Nifty Midcap 50</c:v>
                </c:pt>
                <c:pt idx="6">
                  <c:v>Nifty Midcap 100</c:v>
                </c:pt>
                <c:pt idx="7">
                  <c:v>Nifty Small 100</c:v>
                </c:pt>
                <c:pt idx="8">
                  <c:v>Nifty Bank</c:v>
                </c:pt>
                <c:pt idx="9">
                  <c:v> Nifty IT</c:v>
                </c:pt>
                <c:pt idx="10">
                  <c:v>Nifty FMCG</c:v>
                </c:pt>
                <c:pt idx="11">
                  <c:v>Nifty Pharma</c:v>
                </c:pt>
                <c:pt idx="12">
                  <c:v>Nifty PSU Bank</c:v>
                </c:pt>
                <c:pt idx="13">
                  <c:v>Nifty Media</c:v>
                </c:pt>
                <c:pt idx="14">
                  <c:v>Nifty MNC</c:v>
                </c:pt>
              </c:strCache>
            </c:strRef>
          </c:cat>
          <c:val>
            <c:numRef>
              <c:f>'F4&amp;5'!$E$5:$E$19</c:f>
              <c:numCache>
                <c:formatCode>0.0</c:formatCode>
                <c:ptCount val="15"/>
                <c:pt idx="0">
                  <c:v>-6.4213860708017574</c:v>
                </c:pt>
                <c:pt idx="1">
                  <c:v>-12.687949775532212</c:v>
                </c:pt>
                <c:pt idx="2">
                  <c:v>-7.303946480492546</c:v>
                </c:pt>
                <c:pt idx="3">
                  <c:v>-8.100247574332391</c:v>
                </c:pt>
                <c:pt idx="4">
                  <c:v>-8.7670136108887107</c:v>
                </c:pt>
                <c:pt idx="5">
                  <c:v>-13.518038705815217</c:v>
                </c:pt>
                <c:pt idx="6">
                  <c:v>-13.885730493036061</c:v>
                </c:pt>
                <c:pt idx="7">
                  <c:v>-19.794104799222843</c:v>
                </c:pt>
                <c:pt idx="8">
                  <c:v>-10.483665487719053</c:v>
                </c:pt>
                <c:pt idx="9">
                  <c:v>0.16854927457403923</c:v>
                </c:pt>
                <c:pt idx="10">
                  <c:v>-9.5828060361787948</c:v>
                </c:pt>
                <c:pt idx="11">
                  <c:v>-4.0275431986488242</c:v>
                </c:pt>
                <c:pt idx="12">
                  <c:v>-18.550746493741524</c:v>
                </c:pt>
                <c:pt idx="13">
                  <c:v>-13.823456920530964</c:v>
                </c:pt>
                <c:pt idx="14">
                  <c:v>-10.980360923614013</c:v>
                </c:pt>
              </c:numCache>
            </c:numRef>
          </c:val>
        </c:ser>
        <c:dLbls>
          <c:showLegendKey val="0"/>
          <c:showVal val="0"/>
          <c:showCatName val="0"/>
          <c:showSerName val="0"/>
          <c:showPercent val="0"/>
          <c:showBubbleSize val="0"/>
        </c:dLbls>
        <c:gapWidth val="219"/>
        <c:axId val="263999384"/>
        <c:axId val="264009184"/>
      </c:barChart>
      <c:lineChart>
        <c:grouping val="standard"/>
        <c:varyColors val="0"/>
        <c:ser>
          <c:idx val="1"/>
          <c:order val="1"/>
          <c:tx>
            <c:strRef>
              <c:f>'F4&amp;5'!$F$4</c:f>
              <c:strCache>
                <c:ptCount val="1"/>
                <c:pt idx="0">
                  <c:v>Volatility</c:v>
                </c:pt>
              </c:strCache>
            </c:strRef>
          </c:tx>
          <c:spPr>
            <a:ln w="28575" cap="rnd">
              <a:solidFill>
                <a:schemeClr val="accent2"/>
              </a:solidFill>
              <a:round/>
            </a:ln>
            <a:effectLst/>
          </c:spPr>
          <c:marker>
            <c:symbol val="none"/>
          </c:marker>
          <c:cat>
            <c:strRef>
              <c:f>'F4&amp;5'!$D$5:$D$19</c:f>
              <c:strCache>
                <c:ptCount val="15"/>
                <c:pt idx="0">
                  <c:v>Nifty 50</c:v>
                </c:pt>
                <c:pt idx="1">
                  <c:v>Nifty Next 50</c:v>
                </c:pt>
                <c:pt idx="2">
                  <c:v>Nifty 100</c:v>
                </c:pt>
                <c:pt idx="3">
                  <c:v>Nifty 200</c:v>
                </c:pt>
                <c:pt idx="4">
                  <c:v>Nifty 500</c:v>
                </c:pt>
                <c:pt idx="5">
                  <c:v>Nifty Midcap 50</c:v>
                </c:pt>
                <c:pt idx="6">
                  <c:v>Nifty Midcap 100</c:v>
                </c:pt>
                <c:pt idx="7">
                  <c:v>Nifty Small 100</c:v>
                </c:pt>
                <c:pt idx="8">
                  <c:v>Nifty Bank</c:v>
                </c:pt>
                <c:pt idx="9">
                  <c:v> Nifty IT</c:v>
                </c:pt>
                <c:pt idx="10">
                  <c:v>Nifty FMCG</c:v>
                </c:pt>
                <c:pt idx="11">
                  <c:v>Nifty Pharma</c:v>
                </c:pt>
                <c:pt idx="12">
                  <c:v>Nifty PSU Bank</c:v>
                </c:pt>
                <c:pt idx="13">
                  <c:v>Nifty Media</c:v>
                </c:pt>
                <c:pt idx="14">
                  <c:v>Nifty MNC</c:v>
                </c:pt>
              </c:strCache>
            </c:strRef>
          </c:cat>
          <c:val>
            <c:numRef>
              <c:f>'F4&amp;5'!$F$5:$F$19</c:f>
              <c:numCache>
                <c:formatCode>0.0</c:formatCode>
                <c:ptCount val="15"/>
                <c:pt idx="0">
                  <c:v>0.83469641023479824</c:v>
                </c:pt>
                <c:pt idx="1">
                  <c:v>1.4109975060168314</c:v>
                </c:pt>
                <c:pt idx="2">
                  <c:v>0.89133515997812751</c:v>
                </c:pt>
                <c:pt idx="3">
                  <c:v>0.92580474134632851</c:v>
                </c:pt>
                <c:pt idx="4">
                  <c:v>0.91434548722972941</c:v>
                </c:pt>
                <c:pt idx="5">
                  <c:v>1.5391109775895555</c:v>
                </c:pt>
                <c:pt idx="6">
                  <c:v>1.3807381922151303</c:v>
                </c:pt>
                <c:pt idx="7">
                  <c:v>1.6956512064045071</c:v>
                </c:pt>
                <c:pt idx="8">
                  <c:v>1.1343729674733325</c:v>
                </c:pt>
                <c:pt idx="9">
                  <c:v>1.0150276502916717</c:v>
                </c:pt>
                <c:pt idx="10">
                  <c:v>1.4374029542222575</c:v>
                </c:pt>
                <c:pt idx="11">
                  <c:v>1.6821506206649455</c:v>
                </c:pt>
                <c:pt idx="12">
                  <c:v>1.7444365356569398</c:v>
                </c:pt>
                <c:pt idx="13">
                  <c:v>1.1746073201034961</c:v>
                </c:pt>
                <c:pt idx="14">
                  <c:v>1.2732109009379702</c:v>
                </c:pt>
              </c:numCache>
            </c:numRef>
          </c:val>
          <c:smooth val="0"/>
        </c:ser>
        <c:dLbls>
          <c:showLegendKey val="0"/>
          <c:showVal val="0"/>
          <c:showCatName val="0"/>
          <c:showSerName val="0"/>
          <c:showPercent val="0"/>
          <c:showBubbleSize val="0"/>
        </c:dLbls>
        <c:marker val="1"/>
        <c:smooth val="0"/>
        <c:axId val="264006048"/>
        <c:axId val="264004088"/>
      </c:lineChart>
      <c:catAx>
        <c:axId val="2639993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64009184"/>
        <c:crosses val="autoZero"/>
        <c:auto val="1"/>
        <c:lblAlgn val="ctr"/>
        <c:lblOffset val="100"/>
        <c:noMultiLvlLbl val="0"/>
      </c:catAx>
      <c:valAx>
        <c:axId val="264009184"/>
        <c:scaling>
          <c:orientation val="minMax"/>
        </c:scaling>
        <c:delete val="0"/>
        <c:axPos val="l"/>
        <c:title>
          <c:tx>
            <c:rich>
              <a:bodyPr rot="-5400000" spcFirstLastPara="1" vertOverflow="ellipsis" vert="horz" wrap="square" anchor="ctr" anchorCtr="1"/>
              <a:lstStyle/>
              <a:p>
                <a:pPr>
                  <a:defRPr sz="900" b="1" i="1" u="none" strike="noStrike" kern="1200" baseline="0">
                    <a:solidFill>
                      <a:schemeClr val="tx1">
                        <a:lumMod val="65000"/>
                        <a:lumOff val="35000"/>
                      </a:schemeClr>
                    </a:solidFill>
                    <a:latin typeface="Garamond" panose="02020404030301010803" pitchFamily="18" charset="0"/>
                    <a:ea typeface="+mn-ea"/>
                    <a:cs typeface="+mn-cs"/>
                  </a:defRPr>
                </a:pPr>
                <a:r>
                  <a:rPr lang="en-US" sz="1100"/>
                  <a:t>Return </a:t>
                </a:r>
              </a:p>
            </c:rich>
          </c:tx>
          <c:overlay val="0"/>
          <c:spPr>
            <a:noFill/>
            <a:ln>
              <a:noFill/>
            </a:ln>
            <a:effectLst/>
          </c:spPr>
          <c:txPr>
            <a:bodyPr rot="-5400000" spcFirstLastPara="1" vertOverflow="ellipsis" vert="horz" wrap="square" anchor="ctr" anchorCtr="1"/>
            <a:lstStyle/>
            <a:p>
              <a:pPr>
                <a:defRPr sz="900" b="1" i="1"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63999384"/>
        <c:crosses val="autoZero"/>
        <c:crossBetween val="between"/>
      </c:valAx>
      <c:valAx>
        <c:axId val="264004088"/>
        <c:scaling>
          <c:orientation val="minMax"/>
          <c:min val="0.30000000000000004"/>
        </c:scaling>
        <c:delete val="0"/>
        <c:axPos val="r"/>
        <c:title>
          <c:tx>
            <c:rich>
              <a:bodyPr rot="-5400000" spcFirstLastPara="1" vertOverflow="ellipsis" vert="horz" wrap="square" anchor="ctr" anchorCtr="1"/>
              <a:lstStyle/>
              <a:p>
                <a:pPr>
                  <a:defRPr sz="900" b="1" i="1" u="none" strike="noStrike" kern="1200" baseline="0">
                    <a:solidFill>
                      <a:schemeClr val="tx1">
                        <a:lumMod val="65000"/>
                        <a:lumOff val="35000"/>
                      </a:schemeClr>
                    </a:solidFill>
                    <a:latin typeface="Garamond" panose="02020404030301010803" pitchFamily="18" charset="0"/>
                    <a:ea typeface="+mn-ea"/>
                    <a:cs typeface="+mn-cs"/>
                  </a:defRPr>
                </a:pPr>
                <a:r>
                  <a:rPr lang="en-US" sz="1100"/>
                  <a:t>Volatility</a:t>
                </a:r>
              </a:p>
            </c:rich>
          </c:tx>
          <c:layout>
            <c:manualLayout>
              <c:xMode val="edge"/>
              <c:yMode val="edge"/>
              <c:x val="0.94193336002491213"/>
              <c:y val="0.23412037659115137"/>
            </c:manualLayout>
          </c:layout>
          <c:overlay val="0"/>
          <c:spPr>
            <a:noFill/>
            <a:ln>
              <a:noFill/>
            </a:ln>
            <a:effectLst/>
          </c:spPr>
          <c:txPr>
            <a:bodyPr rot="-5400000" spcFirstLastPara="1" vertOverflow="ellipsis" vert="horz" wrap="square" anchor="ctr" anchorCtr="1"/>
            <a:lstStyle/>
            <a:p>
              <a:pPr>
                <a:defRPr sz="900" b="1" i="1"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64006048"/>
        <c:crosses val="max"/>
        <c:crossBetween val="between"/>
      </c:valAx>
      <c:catAx>
        <c:axId val="264006048"/>
        <c:scaling>
          <c:orientation val="minMax"/>
        </c:scaling>
        <c:delete val="1"/>
        <c:axPos val="b"/>
        <c:numFmt formatCode="General" sourceLinked="1"/>
        <c:majorTickMark val="out"/>
        <c:minorTickMark val="none"/>
        <c:tickLblPos val="nextTo"/>
        <c:crossAx val="264004088"/>
        <c:crosses val="autoZero"/>
        <c:auto val="1"/>
        <c:lblAlgn val="ctr"/>
        <c:lblOffset val="100"/>
        <c:noMultiLvlLbl val="0"/>
      </c:catAx>
      <c:spPr>
        <a:noFill/>
        <a:ln w="25400">
          <a:noFill/>
        </a:ln>
        <a:effectLst/>
      </c:spPr>
    </c:plotArea>
    <c:legend>
      <c:legendPos val="b"/>
      <c:layout>
        <c:manualLayout>
          <c:xMode val="edge"/>
          <c:yMode val="edge"/>
          <c:x val="0.55471325459317578"/>
          <c:y val="0.86489859222142684"/>
          <c:w val="0.35724015748031496"/>
          <c:h val="9.036847666768931E-2"/>
        </c:manualLayout>
      </c:layout>
      <c:overlay val="0"/>
      <c:spPr>
        <a:noFill/>
        <a:ln>
          <a:noFill/>
        </a:ln>
        <a:effectLst/>
      </c:spPr>
      <c:txPr>
        <a:bodyPr rot="0" spcFirstLastPara="1" vertOverflow="ellipsis" vert="horz" wrap="square" anchor="ctr" anchorCtr="1"/>
        <a:lstStyle/>
        <a:p>
          <a:pPr>
            <a:defRPr sz="900" b="1" i="1"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i="1">
          <a:latin typeface="Garamond" panose="02020404030301010803"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041362530413628"/>
          <c:y val="6.7939523638383376E-2"/>
          <c:w val="0.66420200148778197"/>
          <c:h val="0.61205116476622989"/>
        </c:manualLayout>
      </c:layout>
      <c:barChart>
        <c:barDir val="col"/>
        <c:grouping val="clustered"/>
        <c:varyColors val="0"/>
        <c:ser>
          <c:idx val="0"/>
          <c:order val="0"/>
          <c:tx>
            <c:strRef>
              <c:f>'F4'!$B$1</c:f>
              <c:strCache>
                <c:ptCount val="1"/>
                <c:pt idx="0">
                  <c:v>Average Daily Turnover (LHS)</c:v>
                </c:pt>
              </c:strCache>
            </c:strRef>
          </c:tx>
          <c:spPr>
            <a:solidFill>
              <a:srgbClr val="8064A2">
                <a:lumMod val="60000"/>
                <a:lumOff val="40000"/>
              </a:srgbClr>
            </a:solidFill>
          </c:spPr>
          <c:invertIfNegative val="0"/>
          <c:dLbls>
            <c:dLbl>
              <c:idx val="0"/>
              <c:layout>
                <c:manualLayout>
                  <c:x val="2.1929788896869608E-3"/>
                  <c:y val="-4.191565095458961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948938611589212E-3"/>
                  <c:y val="-1.220091324200913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2906883518498148E-3"/>
                  <c:y val="-6.399720652138399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2.972399150743099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3.112033195020746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4.3859649122807015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'F4'!$A$2:$A$13</c:f>
              <c:numCache>
                <c:formatCode>[$-409]mmm\-yy;@</c:formatCode>
                <c:ptCount val="12"/>
                <c:pt idx="0">
                  <c:v>43034</c:v>
                </c:pt>
                <c:pt idx="1">
                  <c:v>43066</c:v>
                </c:pt>
                <c:pt idx="2">
                  <c:v>43098</c:v>
                </c:pt>
                <c:pt idx="3">
                  <c:v>43130</c:v>
                </c:pt>
                <c:pt idx="4">
                  <c:v>43134</c:v>
                </c:pt>
                <c:pt idx="5">
                  <c:v>43163</c:v>
                </c:pt>
                <c:pt idx="6">
                  <c:v>43220</c:v>
                </c:pt>
                <c:pt idx="7">
                  <c:v>43221</c:v>
                </c:pt>
                <c:pt idx="8">
                  <c:v>43252</c:v>
                </c:pt>
                <c:pt idx="9">
                  <c:v>43282</c:v>
                </c:pt>
                <c:pt idx="10">
                  <c:v>43313</c:v>
                </c:pt>
                <c:pt idx="11">
                  <c:v>43344</c:v>
                </c:pt>
              </c:numCache>
            </c:numRef>
          </c:cat>
          <c:val>
            <c:numRef>
              <c:f>'F4'!$B$2:$B$13</c:f>
              <c:numCache>
                <c:formatCode>[&gt;=10000000]#\,##\,##\,##0;[&gt;=100000]#\,##\,##0;##,##0</c:formatCode>
                <c:ptCount val="12"/>
                <c:pt idx="0">
                  <c:v>654085.72656231583</c:v>
                </c:pt>
                <c:pt idx="1">
                  <c:v>702339.48444202775</c:v>
                </c:pt>
                <c:pt idx="2">
                  <c:v>685357.51637661213</c:v>
                </c:pt>
                <c:pt idx="3">
                  <c:v>727717.22666809405</c:v>
                </c:pt>
                <c:pt idx="4">
                  <c:v>843506.18635275459</c:v>
                </c:pt>
                <c:pt idx="5">
                  <c:v>918780.29609696532</c:v>
                </c:pt>
                <c:pt idx="6">
                  <c:v>743820.35165617149</c:v>
                </c:pt>
                <c:pt idx="7">
                  <c:v>879185.130065709</c:v>
                </c:pt>
                <c:pt idx="8">
                  <c:v>886219.84038245713</c:v>
                </c:pt>
                <c:pt idx="9">
                  <c:v>848048.939767309</c:v>
                </c:pt>
                <c:pt idx="10">
                  <c:v>954577.72960199043</c:v>
                </c:pt>
                <c:pt idx="11">
                  <c:v>1247702.2777777778</c:v>
                </c:pt>
              </c:numCache>
            </c:numRef>
          </c:val>
        </c:ser>
        <c:dLbls>
          <c:showLegendKey val="0"/>
          <c:showVal val="0"/>
          <c:showCatName val="0"/>
          <c:showSerName val="0"/>
          <c:showPercent val="0"/>
          <c:showBubbleSize val="0"/>
        </c:dLbls>
        <c:gapWidth val="351"/>
        <c:overlap val="78"/>
        <c:axId val="264011536"/>
        <c:axId val="264011928"/>
      </c:barChart>
      <c:lineChart>
        <c:grouping val="standard"/>
        <c:varyColors val="0"/>
        <c:ser>
          <c:idx val="1"/>
          <c:order val="1"/>
          <c:tx>
            <c:strRef>
              <c:f>'F4'!$C$1</c:f>
              <c:strCache>
                <c:ptCount val="1"/>
                <c:pt idx="0">
                  <c:v>Monthly Turnover (RHS)</c:v>
                </c:pt>
              </c:strCache>
            </c:strRef>
          </c:tx>
          <c:spPr>
            <a:ln w="22225">
              <a:solidFill>
                <a:srgbClr val="002060"/>
              </a:solidFill>
            </a:ln>
          </c:spPr>
          <c:marker>
            <c:symbol val="star"/>
            <c:size val="5"/>
            <c:spPr>
              <a:noFill/>
              <a:ln>
                <a:solidFill>
                  <a:srgbClr val="002060"/>
                </a:solidFill>
              </a:ln>
            </c:spPr>
          </c:marker>
          <c:cat>
            <c:numRef>
              <c:f>'F4'!$A$2:$A$13</c:f>
              <c:numCache>
                <c:formatCode>[$-409]mmm\-yy;@</c:formatCode>
                <c:ptCount val="12"/>
                <c:pt idx="0">
                  <c:v>43034</c:v>
                </c:pt>
                <c:pt idx="1">
                  <c:v>43066</c:v>
                </c:pt>
                <c:pt idx="2">
                  <c:v>43098</c:v>
                </c:pt>
                <c:pt idx="3">
                  <c:v>43130</c:v>
                </c:pt>
                <c:pt idx="4">
                  <c:v>43134</c:v>
                </c:pt>
                <c:pt idx="5">
                  <c:v>43163</c:v>
                </c:pt>
                <c:pt idx="6">
                  <c:v>43220</c:v>
                </c:pt>
                <c:pt idx="7">
                  <c:v>43221</c:v>
                </c:pt>
                <c:pt idx="8">
                  <c:v>43252</c:v>
                </c:pt>
                <c:pt idx="9">
                  <c:v>43282</c:v>
                </c:pt>
                <c:pt idx="10">
                  <c:v>43313</c:v>
                </c:pt>
                <c:pt idx="11">
                  <c:v>43344</c:v>
                </c:pt>
              </c:numCache>
            </c:numRef>
          </c:cat>
          <c:val>
            <c:numRef>
              <c:f>'F4'!$C$2:$C$13</c:f>
              <c:numCache>
                <c:formatCode>[&gt;=10000000]#\,##\,##\,##0;[&gt;=100000]#\,##\,##0;##,##0</c:formatCode>
                <c:ptCount val="12"/>
                <c:pt idx="0">
                  <c:v>13081714.531246318</c:v>
                </c:pt>
                <c:pt idx="1">
                  <c:v>15451468.657724611</c:v>
                </c:pt>
                <c:pt idx="2">
                  <c:v>13707150.327532243</c:v>
                </c:pt>
                <c:pt idx="3">
                  <c:v>16009778.986698069</c:v>
                </c:pt>
                <c:pt idx="4">
                  <c:v>16026617.540702337</c:v>
                </c:pt>
                <c:pt idx="5">
                  <c:v>17456825.62584234</c:v>
                </c:pt>
                <c:pt idx="6">
                  <c:v>15620227.3847796</c:v>
                </c:pt>
                <c:pt idx="7">
                  <c:v>19342072.861445598</c:v>
                </c:pt>
                <c:pt idx="8">
                  <c:v>18610616.6480316</c:v>
                </c:pt>
                <c:pt idx="9">
                  <c:v>18657076.674880799</c:v>
                </c:pt>
                <c:pt idx="10">
                  <c:v>20046132.321641799</c:v>
                </c:pt>
                <c:pt idx="11">
                  <c:v>22458641</c:v>
                </c:pt>
              </c:numCache>
            </c:numRef>
          </c:val>
          <c:smooth val="0"/>
        </c:ser>
        <c:dLbls>
          <c:showLegendKey val="0"/>
          <c:showVal val="0"/>
          <c:showCatName val="0"/>
          <c:showSerName val="0"/>
          <c:showPercent val="0"/>
          <c:showBubbleSize val="0"/>
        </c:dLbls>
        <c:marker val="1"/>
        <c:smooth val="0"/>
        <c:axId val="264013104"/>
        <c:axId val="264012320"/>
      </c:lineChart>
      <c:dateAx>
        <c:axId val="264011536"/>
        <c:scaling>
          <c:orientation val="minMax"/>
        </c:scaling>
        <c:delete val="0"/>
        <c:axPos val="b"/>
        <c:numFmt formatCode="[$-409]mmm\-yy;@" sourceLinked="1"/>
        <c:majorTickMark val="none"/>
        <c:minorTickMark val="none"/>
        <c:tickLblPos val="nextTo"/>
        <c:txPr>
          <a:bodyPr rot="-5400000" vert="horz"/>
          <a:lstStyle/>
          <a:p>
            <a:pPr>
              <a:defRPr/>
            </a:pPr>
            <a:endParaRPr lang="en-US"/>
          </a:p>
        </c:txPr>
        <c:crossAx val="264011928"/>
        <c:crosses val="autoZero"/>
        <c:auto val="1"/>
        <c:lblOffset val="100"/>
        <c:baseTimeUnit val="months"/>
      </c:dateAx>
      <c:valAx>
        <c:axId val="264011928"/>
        <c:scaling>
          <c:orientation val="minMax"/>
          <c:min val="600000"/>
        </c:scaling>
        <c:delete val="0"/>
        <c:axPos val="l"/>
        <c:numFmt formatCode="[&gt;=10000000]#\,##\,##\,##0;[&gt;=100000]#\,##\,##0;##,##0" sourceLinked="1"/>
        <c:majorTickMark val="none"/>
        <c:minorTickMark val="none"/>
        <c:tickLblPos val="nextTo"/>
        <c:crossAx val="264011536"/>
        <c:crosses val="autoZero"/>
        <c:crossBetween val="between"/>
      </c:valAx>
      <c:valAx>
        <c:axId val="264012320"/>
        <c:scaling>
          <c:orientation val="minMax"/>
          <c:min val="10000000"/>
        </c:scaling>
        <c:delete val="0"/>
        <c:axPos val="r"/>
        <c:numFmt formatCode="[&gt;=10000000]#\,##\,##\,##0;[&gt;=100000]#\,##\,##0;##,##0" sourceLinked="1"/>
        <c:majorTickMark val="none"/>
        <c:minorTickMark val="none"/>
        <c:tickLblPos val="nextTo"/>
        <c:spPr>
          <a:ln w="9525">
            <a:solidFill>
              <a:srgbClr val="EEECE1">
                <a:lumMod val="10000"/>
              </a:srgbClr>
            </a:solidFill>
          </a:ln>
        </c:spPr>
        <c:crossAx val="264013104"/>
        <c:crosses val="max"/>
        <c:crossBetween val="between"/>
      </c:valAx>
      <c:dateAx>
        <c:axId val="264013104"/>
        <c:scaling>
          <c:orientation val="minMax"/>
        </c:scaling>
        <c:delete val="1"/>
        <c:axPos val="b"/>
        <c:numFmt formatCode="[$-409]mmm\-yy;@" sourceLinked="1"/>
        <c:majorTickMark val="out"/>
        <c:minorTickMark val="none"/>
        <c:tickLblPos val="none"/>
        <c:crossAx val="264012320"/>
        <c:crosses val="autoZero"/>
        <c:auto val="1"/>
        <c:lblOffset val="100"/>
        <c:baseTimeUnit val="days"/>
      </c:dateAx>
    </c:plotArea>
    <c:legend>
      <c:legendPos val="b"/>
      <c:overlay val="0"/>
      <c:spPr>
        <a:ln w="3175">
          <a:solidFill>
            <a:srgbClr val="F79646">
              <a:lumMod val="50000"/>
            </a:srgbClr>
          </a:solidFill>
        </a:ln>
      </c:spPr>
    </c:legend>
    <c:plotVisOnly val="1"/>
    <c:dispBlanksAs val="gap"/>
    <c:showDLblsOverMax val="0"/>
  </c:chart>
  <c:spPr>
    <a:ln w="3175">
      <a:solidFill>
        <a:schemeClr val="accent6">
          <a:lumMod val="50000"/>
        </a:schemeClr>
      </a:solidFill>
    </a:ln>
  </c:spPr>
  <c:txPr>
    <a:bodyPr/>
    <a:lstStyle/>
    <a:p>
      <a:pPr>
        <a:defRPr sz="1000" b="0" i="0" baseline="0">
          <a:latin typeface="Garamond"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234846560360807E-2"/>
          <c:y val="0.16815397023000384"/>
          <c:w val="0.85764838122256148"/>
          <c:h val="0.56795677912523701"/>
        </c:manualLayout>
      </c:layout>
      <c:lineChart>
        <c:grouping val="standard"/>
        <c:varyColors val="0"/>
        <c:ser>
          <c:idx val="0"/>
          <c:order val="0"/>
          <c:tx>
            <c:strRef>
              <c:f>'F5'!$D$3</c:f>
              <c:strCache>
                <c:ptCount val="1"/>
                <c:pt idx="0">
                  <c:v>VIX Index</c:v>
                </c:pt>
              </c:strCache>
            </c:strRef>
          </c:tx>
          <c:spPr>
            <a:ln>
              <a:solidFill>
                <a:srgbClr val="92D050"/>
              </a:solidFill>
            </a:ln>
          </c:spPr>
          <c:marker>
            <c:symbol val="none"/>
          </c:marker>
          <c:dLbls>
            <c:dLbl>
              <c:idx val="11"/>
              <c:layout>
                <c:manualLayout>
                  <c:x val="-9.1567014437065938E-3"/>
                  <c:y val="-2.46361679313717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5400000" vert="horz" wrap="square" lIns="38100" tIns="19050" rIns="38100" bIns="19050" anchor="ctr">
                <a:spAutoFit/>
              </a:bodyPr>
              <a:lstStyle/>
              <a:p>
                <a:pPr>
                  <a:defRPr sz="800">
                    <a:latin typeface="Garamond" panose="02020404030301010803"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'F5'!$C$5:$C$16</c:f>
              <c:numCache>
                <c:formatCode>[$-409]mmm\-yy;@</c:formatCode>
                <c:ptCount val="12"/>
                <c:pt idx="0">
                  <c:v>43034</c:v>
                </c:pt>
                <c:pt idx="1">
                  <c:v>43066</c:v>
                </c:pt>
                <c:pt idx="2">
                  <c:v>43098</c:v>
                </c:pt>
                <c:pt idx="3">
                  <c:v>43101</c:v>
                </c:pt>
                <c:pt idx="4">
                  <c:v>43135</c:v>
                </c:pt>
                <c:pt idx="5">
                  <c:v>43164</c:v>
                </c:pt>
                <c:pt idx="6">
                  <c:v>43195</c:v>
                </c:pt>
                <c:pt idx="7">
                  <c:v>43226</c:v>
                </c:pt>
                <c:pt idx="8">
                  <c:v>43257</c:v>
                </c:pt>
                <c:pt idx="9">
                  <c:v>43287</c:v>
                </c:pt>
                <c:pt idx="10">
                  <c:v>43318</c:v>
                </c:pt>
                <c:pt idx="11">
                  <c:v>43349</c:v>
                </c:pt>
              </c:numCache>
            </c:numRef>
          </c:cat>
          <c:val>
            <c:numRef>
              <c:f>'F5'!$D$5:$D$16</c:f>
              <c:numCache>
                <c:formatCode>[&gt;=10000000]#.###\,##\,##0;[&gt;=100000]#.###\,##0;##,##0.0</c:formatCode>
                <c:ptCount val="12"/>
                <c:pt idx="0">
                  <c:v>12.112500000000001</c:v>
                </c:pt>
                <c:pt idx="1">
                  <c:v>13.55</c:v>
                </c:pt>
                <c:pt idx="2">
                  <c:v>12.67</c:v>
                </c:pt>
                <c:pt idx="3">
                  <c:v>15.93</c:v>
                </c:pt>
                <c:pt idx="4">
                  <c:v>13.805</c:v>
                </c:pt>
                <c:pt idx="5">
                  <c:v>15.7575</c:v>
                </c:pt>
                <c:pt idx="6">
                  <c:v>12.362500000000001</c:v>
                </c:pt>
                <c:pt idx="7">
                  <c:v>13.2225</c:v>
                </c:pt>
                <c:pt idx="8">
                  <c:v>12.9375</c:v>
                </c:pt>
                <c:pt idx="9">
                  <c:v>12.585000000000001</c:v>
                </c:pt>
                <c:pt idx="10">
                  <c:v>12.5975</c:v>
                </c:pt>
                <c:pt idx="11">
                  <c:v>17</c:v>
                </c:pt>
              </c:numCache>
            </c:numRef>
          </c:val>
          <c:smooth val="0"/>
        </c:ser>
        <c:dLbls>
          <c:showLegendKey val="0"/>
          <c:showVal val="0"/>
          <c:showCatName val="0"/>
          <c:showSerName val="0"/>
          <c:showPercent val="0"/>
          <c:showBubbleSize val="0"/>
        </c:dLbls>
        <c:smooth val="0"/>
        <c:axId val="494863392"/>
        <c:axId val="494868488"/>
      </c:lineChart>
      <c:dateAx>
        <c:axId val="494863392"/>
        <c:scaling>
          <c:orientation val="minMax"/>
        </c:scaling>
        <c:delete val="0"/>
        <c:axPos val="b"/>
        <c:numFmt formatCode="[$-409]mmm\-yy;@" sourceLinked="1"/>
        <c:majorTickMark val="none"/>
        <c:minorTickMark val="none"/>
        <c:tickLblPos val="nextTo"/>
        <c:txPr>
          <a:bodyPr rot="-5400000" vert="horz"/>
          <a:lstStyle/>
          <a:p>
            <a:pPr>
              <a:defRPr sz="900">
                <a:latin typeface="Garamond" pitchFamily="18" charset="0"/>
              </a:defRPr>
            </a:pPr>
            <a:endParaRPr lang="en-US"/>
          </a:p>
        </c:txPr>
        <c:crossAx val="494868488"/>
        <c:crosses val="autoZero"/>
        <c:auto val="1"/>
        <c:lblOffset val="100"/>
        <c:baseTimeUnit val="months"/>
      </c:dateAx>
      <c:valAx>
        <c:axId val="494868488"/>
        <c:scaling>
          <c:orientation val="minMax"/>
          <c:min val="10"/>
        </c:scaling>
        <c:delete val="0"/>
        <c:axPos val="l"/>
        <c:numFmt formatCode="#,##0" sourceLinked="0"/>
        <c:majorTickMark val="none"/>
        <c:minorTickMark val="none"/>
        <c:tickLblPos val="nextTo"/>
        <c:txPr>
          <a:bodyPr/>
          <a:lstStyle/>
          <a:p>
            <a:pPr>
              <a:defRPr sz="900">
                <a:latin typeface="Garamond" pitchFamily="18" charset="0"/>
              </a:defRPr>
            </a:pPr>
            <a:endParaRPr lang="en-US"/>
          </a:p>
        </c:txPr>
        <c:crossAx val="49486339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0978687535105"/>
          <c:y val="4.4029382311638186E-2"/>
          <c:w val="0.86025237787861719"/>
          <c:h val="0.70492789167946701"/>
        </c:manualLayout>
      </c:layout>
      <c:lineChart>
        <c:grouping val="standard"/>
        <c:varyColors val="0"/>
        <c:ser>
          <c:idx val="0"/>
          <c:order val="0"/>
          <c:tx>
            <c:strRef>
              <c:f>'F6'!$B$2</c:f>
              <c:strCache>
                <c:ptCount val="1"/>
                <c:pt idx="0">
                  <c:v>NSE (LHS)</c:v>
                </c:pt>
              </c:strCache>
            </c:strRef>
          </c:tx>
          <c:spPr>
            <a:ln w="22225">
              <a:solidFill>
                <a:srgbClr val="C45CB8"/>
              </a:solidFill>
            </a:ln>
            <a:effectLst/>
          </c:spPr>
          <c:marker>
            <c:symbol val="none"/>
          </c:marker>
          <c:cat>
            <c:numRef>
              <c:f>'F6'!$A$4:$A$15</c:f>
              <c:numCache>
                <c:formatCode>[$-409]mmm\-yy;@</c:formatCode>
                <c:ptCount val="12"/>
                <c:pt idx="0">
                  <c:v>43034</c:v>
                </c:pt>
                <c:pt idx="1">
                  <c:v>43066</c:v>
                </c:pt>
                <c:pt idx="2">
                  <c:v>43098</c:v>
                </c:pt>
                <c:pt idx="3">
                  <c:v>43130</c:v>
                </c:pt>
                <c:pt idx="4">
                  <c:v>43134</c:v>
                </c:pt>
                <c:pt idx="5">
                  <c:v>43162</c:v>
                </c:pt>
                <c:pt idx="6">
                  <c:v>43220</c:v>
                </c:pt>
                <c:pt idx="7">
                  <c:v>43221</c:v>
                </c:pt>
                <c:pt idx="8">
                  <c:v>43252</c:v>
                </c:pt>
                <c:pt idx="9">
                  <c:v>43282</c:v>
                </c:pt>
                <c:pt idx="10">
                  <c:v>43313</c:v>
                </c:pt>
                <c:pt idx="11">
                  <c:v>43344</c:v>
                </c:pt>
              </c:numCache>
            </c:numRef>
          </c:cat>
          <c:val>
            <c:numRef>
              <c:f>'F6'!$B$4:$B$15</c:f>
              <c:numCache>
                <c:formatCode>[&gt;=10000000]#\,##\,##\,##0;[&gt;=100000]#\,##\,##0;##,##0</c:formatCode>
                <c:ptCount val="12"/>
                <c:pt idx="0">
                  <c:v>405188.43233624997</c:v>
                </c:pt>
                <c:pt idx="1">
                  <c:v>496177.15048274997</c:v>
                </c:pt>
                <c:pt idx="2">
                  <c:v>394077.0650225</c:v>
                </c:pt>
                <c:pt idx="3">
                  <c:v>481163.01254524995</c:v>
                </c:pt>
                <c:pt idx="4">
                  <c:v>506671.42103376833</c:v>
                </c:pt>
                <c:pt idx="5">
                  <c:v>376612.26844481501</c:v>
                </c:pt>
                <c:pt idx="6">
                  <c:v>502657.175281259</c:v>
                </c:pt>
                <c:pt idx="7">
                  <c:v>689451.58313687996</c:v>
                </c:pt>
                <c:pt idx="8">
                  <c:v>612388.62365967</c:v>
                </c:pt>
                <c:pt idx="9">
                  <c:v>558865.96280513296</c:v>
                </c:pt>
                <c:pt idx="10">
                  <c:v>748881.50530931598</c:v>
                </c:pt>
                <c:pt idx="11">
                  <c:v>959940.86214919202</c:v>
                </c:pt>
              </c:numCache>
            </c:numRef>
          </c:val>
          <c:smooth val="0"/>
        </c:ser>
        <c:ser>
          <c:idx val="3"/>
          <c:order val="2"/>
          <c:tx>
            <c:strRef>
              <c:f>'F6'!$D$2</c:f>
              <c:strCache>
                <c:ptCount val="1"/>
                <c:pt idx="0">
                  <c:v>BSE  (LHS)</c:v>
                </c:pt>
              </c:strCache>
            </c:strRef>
          </c:tx>
          <c:spPr>
            <a:ln>
              <a:solidFill>
                <a:schemeClr val="accent2">
                  <a:lumMod val="75000"/>
                </a:schemeClr>
              </a:solidFill>
            </a:ln>
          </c:spPr>
          <c:marker>
            <c:symbol val="none"/>
          </c:marker>
          <c:cat>
            <c:numRef>
              <c:f>'F6'!$A$4:$A$15</c:f>
              <c:numCache>
                <c:formatCode>[$-409]mmm\-yy;@</c:formatCode>
                <c:ptCount val="12"/>
                <c:pt idx="0">
                  <c:v>43034</c:v>
                </c:pt>
                <c:pt idx="1">
                  <c:v>43066</c:v>
                </c:pt>
                <c:pt idx="2">
                  <c:v>43098</c:v>
                </c:pt>
                <c:pt idx="3">
                  <c:v>43130</c:v>
                </c:pt>
                <c:pt idx="4">
                  <c:v>43134</c:v>
                </c:pt>
                <c:pt idx="5">
                  <c:v>43162</c:v>
                </c:pt>
                <c:pt idx="6">
                  <c:v>43220</c:v>
                </c:pt>
                <c:pt idx="7">
                  <c:v>43221</c:v>
                </c:pt>
                <c:pt idx="8">
                  <c:v>43252</c:v>
                </c:pt>
                <c:pt idx="9">
                  <c:v>43282</c:v>
                </c:pt>
                <c:pt idx="10">
                  <c:v>43313</c:v>
                </c:pt>
                <c:pt idx="11">
                  <c:v>43344</c:v>
                </c:pt>
              </c:numCache>
            </c:numRef>
          </c:cat>
          <c:val>
            <c:numRef>
              <c:f>'F6'!$D$4:$D$15</c:f>
              <c:numCache>
                <c:formatCode>[&gt;=10000000]#\,##\,##\,##0;[&gt;=100000]#\,##\,##0;##,##0</c:formatCode>
                <c:ptCount val="12"/>
                <c:pt idx="0">
                  <c:v>340848.18759999989</c:v>
                </c:pt>
                <c:pt idx="1">
                  <c:v>401253.10490000021</c:v>
                </c:pt>
                <c:pt idx="2">
                  <c:v>319218.96279999975</c:v>
                </c:pt>
                <c:pt idx="3">
                  <c:v>540691.17720000038</c:v>
                </c:pt>
                <c:pt idx="4">
                  <c:v>421033.50580000004</c:v>
                </c:pt>
                <c:pt idx="5">
                  <c:v>314170.48449999996</c:v>
                </c:pt>
                <c:pt idx="6">
                  <c:v>509961.57419999986</c:v>
                </c:pt>
                <c:pt idx="7">
                  <c:v>728468.46439999994</c:v>
                </c:pt>
                <c:pt idx="8">
                  <c:v>713685.12680000009</c:v>
                </c:pt>
                <c:pt idx="9">
                  <c:v>645180.13820000016</c:v>
                </c:pt>
                <c:pt idx="10">
                  <c:v>708157.43030000001</c:v>
                </c:pt>
                <c:pt idx="11">
                  <c:v>680049.57489999989</c:v>
                </c:pt>
              </c:numCache>
            </c:numRef>
          </c:val>
          <c:smooth val="0"/>
        </c:ser>
        <c:dLbls>
          <c:showLegendKey val="0"/>
          <c:showVal val="0"/>
          <c:showCatName val="0"/>
          <c:showSerName val="0"/>
          <c:showPercent val="0"/>
          <c:showBubbleSize val="0"/>
        </c:dLbls>
        <c:marker val="1"/>
        <c:smooth val="0"/>
        <c:axId val="494865744"/>
        <c:axId val="494866920"/>
      </c:lineChart>
      <c:lineChart>
        <c:grouping val="standard"/>
        <c:varyColors val="0"/>
        <c:ser>
          <c:idx val="1"/>
          <c:order val="1"/>
          <c:tx>
            <c:strRef>
              <c:f>'F6'!$C$2</c:f>
              <c:strCache>
                <c:ptCount val="1"/>
                <c:pt idx="0">
                  <c:v>MSEI (RHS)</c:v>
                </c:pt>
              </c:strCache>
            </c:strRef>
          </c:tx>
          <c:spPr>
            <a:ln w="22225">
              <a:solidFill>
                <a:srgbClr val="00B0F0"/>
              </a:solidFill>
            </a:ln>
          </c:spPr>
          <c:marker>
            <c:symbol val="none"/>
          </c:marker>
          <c:cat>
            <c:numRef>
              <c:f>'F6'!$A$4:$A$15</c:f>
              <c:numCache>
                <c:formatCode>[$-409]mmm\-yy;@</c:formatCode>
                <c:ptCount val="12"/>
                <c:pt idx="0">
                  <c:v>43034</c:v>
                </c:pt>
                <c:pt idx="1">
                  <c:v>43066</c:v>
                </c:pt>
                <c:pt idx="2">
                  <c:v>43098</c:v>
                </c:pt>
                <c:pt idx="3">
                  <c:v>43130</c:v>
                </c:pt>
                <c:pt idx="4">
                  <c:v>43134</c:v>
                </c:pt>
                <c:pt idx="5">
                  <c:v>43162</c:v>
                </c:pt>
                <c:pt idx="6">
                  <c:v>43220</c:v>
                </c:pt>
                <c:pt idx="7">
                  <c:v>43221</c:v>
                </c:pt>
                <c:pt idx="8">
                  <c:v>43252</c:v>
                </c:pt>
                <c:pt idx="9">
                  <c:v>43282</c:v>
                </c:pt>
                <c:pt idx="10">
                  <c:v>43313</c:v>
                </c:pt>
                <c:pt idx="11">
                  <c:v>43344</c:v>
                </c:pt>
              </c:numCache>
            </c:numRef>
          </c:cat>
          <c:val>
            <c:numRef>
              <c:f>'F6'!$C$4:$C$15</c:f>
              <c:numCache>
                <c:formatCode>[&gt;=10000000]#\,##\,##\,##0;[&gt;=100000]#\,##\,##0;##,##0</c:formatCode>
                <c:ptCount val="12"/>
                <c:pt idx="0">
                  <c:v>5742.0071627500001</c:v>
                </c:pt>
                <c:pt idx="1">
                  <c:v>5564.7936149999996</c:v>
                </c:pt>
                <c:pt idx="2">
                  <c:v>9214.5582809999996</c:v>
                </c:pt>
                <c:pt idx="3">
                  <c:v>10573.5139745</c:v>
                </c:pt>
                <c:pt idx="4">
                  <c:v>9928.3736077499998</c:v>
                </c:pt>
                <c:pt idx="5">
                  <c:v>7480.7421287499992</c:v>
                </c:pt>
                <c:pt idx="6">
                  <c:v>6570.9601215000002</c:v>
                </c:pt>
                <c:pt idx="7">
                  <c:v>7236.9927849999995</c:v>
                </c:pt>
                <c:pt idx="8">
                  <c:v>5257.1648152499993</c:v>
                </c:pt>
                <c:pt idx="9">
                  <c:v>8394.2735352499985</c:v>
                </c:pt>
                <c:pt idx="10">
                  <c:v>3766.772727</c:v>
                </c:pt>
                <c:pt idx="11">
                  <c:v>3991.3625670000001</c:v>
                </c:pt>
              </c:numCache>
            </c:numRef>
          </c:val>
          <c:smooth val="0"/>
        </c:ser>
        <c:dLbls>
          <c:showLegendKey val="0"/>
          <c:showVal val="0"/>
          <c:showCatName val="0"/>
          <c:showSerName val="0"/>
          <c:showPercent val="0"/>
          <c:showBubbleSize val="0"/>
        </c:dLbls>
        <c:marker val="1"/>
        <c:smooth val="0"/>
        <c:axId val="494868880"/>
        <c:axId val="494863784"/>
      </c:lineChart>
      <c:dateAx>
        <c:axId val="494865744"/>
        <c:scaling>
          <c:orientation val="minMax"/>
        </c:scaling>
        <c:delete val="0"/>
        <c:axPos val="b"/>
        <c:numFmt formatCode="[$-409]mmm\-yy;@" sourceLinked="1"/>
        <c:majorTickMark val="none"/>
        <c:minorTickMark val="none"/>
        <c:tickLblPos val="nextTo"/>
        <c:txPr>
          <a:bodyPr rot="-5400000" vert="horz"/>
          <a:lstStyle/>
          <a:p>
            <a:pPr>
              <a:defRPr lang="en-IN" cap="none" baseline="0"/>
            </a:pPr>
            <a:endParaRPr lang="en-US"/>
          </a:p>
        </c:txPr>
        <c:crossAx val="494866920"/>
        <c:crosses val="autoZero"/>
        <c:auto val="1"/>
        <c:lblOffset val="100"/>
        <c:baseTimeUnit val="months"/>
      </c:dateAx>
      <c:valAx>
        <c:axId val="494866920"/>
        <c:scaling>
          <c:orientation val="minMax"/>
        </c:scaling>
        <c:delete val="0"/>
        <c:axPos val="l"/>
        <c:numFmt formatCode="[&gt;=10000000]#\,##\,##\,##0;[&gt;=100000]#\,##\,##0;##,##0" sourceLinked="1"/>
        <c:majorTickMark val="none"/>
        <c:minorTickMark val="none"/>
        <c:tickLblPos val="nextTo"/>
        <c:txPr>
          <a:bodyPr/>
          <a:lstStyle/>
          <a:p>
            <a:pPr>
              <a:defRPr lang="en-IN"/>
            </a:pPr>
            <a:endParaRPr lang="en-US"/>
          </a:p>
        </c:txPr>
        <c:crossAx val="494865744"/>
        <c:crosses val="autoZero"/>
        <c:crossBetween val="between"/>
      </c:valAx>
      <c:valAx>
        <c:axId val="494863784"/>
        <c:scaling>
          <c:orientation val="minMax"/>
        </c:scaling>
        <c:delete val="0"/>
        <c:axPos val="r"/>
        <c:numFmt formatCode="[&gt;=10000000]#\,##\,##\,##0;[&gt;=100000]#\,##\,##0;##,##0" sourceLinked="1"/>
        <c:majorTickMark val="out"/>
        <c:minorTickMark val="none"/>
        <c:tickLblPos val="nextTo"/>
        <c:crossAx val="494868880"/>
        <c:crosses val="max"/>
        <c:crossBetween val="between"/>
      </c:valAx>
      <c:dateAx>
        <c:axId val="494868880"/>
        <c:scaling>
          <c:orientation val="minMax"/>
        </c:scaling>
        <c:delete val="1"/>
        <c:axPos val="b"/>
        <c:numFmt formatCode="[$-409]mmm\-yy;@" sourceLinked="1"/>
        <c:majorTickMark val="out"/>
        <c:minorTickMark val="none"/>
        <c:tickLblPos val="nextTo"/>
        <c:crossAx val="494863784"/>
        <c:crosses val="autoZero"/>
        <c:auto val="1"/>
        <c:lblOffset val="100"/>
        <c:baseTimeUnit val="days"/>
      </c:dateAx>
    </c:plotArea>
    <c:legend>
      <c:legendPos val="b"/>
      <c:layout>
        <c:manualLayout>
          <c:xMode val="edge"/>
          <c:yMode val="edge"/>
          <c:x val="0.26623978933326431"/>
          <c:y val="0.92366722924637279"/>
          <c:w val="0.48512218150949676"/>
          <c:h val="6.0352921986448482E-2"/>
        </c:manualLayout>
      </c:layout>
      <c:overlay val="0"/>
      <c:spPr>
        <a:ln w="3175">
          <a:solidFill>
            <a:schemeClr val="accent6">
              <a:lumMod val="50000"/>
            </a:schemeClr>
          </a:solidFill>
        </a:ln>
      </c:spPr>
      <c:txPr>
        <a:bodyPr/>
        <a:lstStyle/>
        <a:p>
          <a:pPr>
            <a:defRPr lang="en-IN"/>
          </a:pPr>
          <a:endParaRPr lang="en-US"/>
        </a:p>
      </c:txPr>
    </c:legend>
    <c:plotVisOnly val="1"/>
    <c:dispBlanksAs val="gap"/>
    <c:showDLblsOverMax val="0"/>
  </c:chart>
  <c:spPr>
    <a:ln w="3175">
      <a:solidFill>
        <a:srgbClr val="F79646">
          <a:lumMod val="50000"/>
        </a:srgbClr>
      </a:solidFill>
    </a:ln>
  </c:spPr>
  <c:txPr>
    <a:bodyPr/>
    <a:lstStyle/>
    <a:p>
      <a:pPr>
        <a:defRPr sz="900" b="1" i="0" baseline="0">
          <a:latin typeface="Garamond"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81966359263459"/>
          <c:y val="2.3881477298460956E-2"/>
          <c:w val="0.86520093548617705"/>
          <c:h val="0.71078454235002775"/>
        </c:manualLayout>
      </c:layout>
      <c:lineChart>
        <c:grouping val="standard"/>
        <c:varyColors val="0"/>
        <c:ser>
          <c:idx val="0"/>
          <c:order val="0"/>
          <c:tx>
            <c:strRef>
              <c:f>'F7'!$B$2</c:f>
              <c:strCache>
                <c:ptCount val="1"/>
                <c:pt idx="0">
                  <c:v>BSE</c:v>
                </c:pt>
              </c:strCache>
            </c:strRef>
          </c:tx>
          <c:spPr>
            <a:ln w="22225">
              <a:solidFill>
                <a:srgbClr val="FF0000"/>
              </a:solidFill>
            </a:ln>
          </c:spPr>
          <c:marker>
            <c:symbol val="none"/>
          </c:marker>
          <c:cat>
            <c:numRef>
              <c:f>'F7'!$A$4:$A$15</c:f>
              <c:numCache>
                <c:formatCode>[$-409]mmm\-yy;@</c:formatCode>
                <c:ptCount val="12"/>
                <c:pt idx="0">
                  <c:v>43034</c:v>
                </c:pt>
                <c:pt idx="1">
                  <c:v>43066</c:v>
                </c:pt>
                <c:pt idx="2">
                  <c:v>43098</c:v>
                </c:pt>
                <c:pt idx="3">
                  <c:v>43130</c:v>
                </c:pt>
                <c:pt idx="4">
                  <c:v>43134</c:v>
                </c:pt>
                <c:pt idx="5">
                  <c:v>43163</c:v>
                </c:pt>
                <c:pt idx="6">
                  <c:v>43220</c:v>
                </c:pt>
                <c:pt idx="7">
                  <c:v>43221</c:v>
                </c:pt>
                <c:pt idx="8">
                  <c:v>43252</c:v>
                </c:pt>
                <c:pt idx="9">
                  <c:v>43282</c:v>
                </c:pt>
                <c:pt idx="10">
                  <c:v>43313</c:v>
                </c:pt>
                <c:pt idx="11">
                  <c:v>43344</c:v>
                </c:pt>
              </c:numCache>
            </c:numRef>
          </c:cat>
          <c:val>
            <c:numRef>
              <c:f>'F7'!$B$4:$B$15</c:f>
              <c:numCache>
                <c:formatCode>[&gt;9999999]##\,##\,##\,##0;[&gt;99999]##\,##\,##0;##,##0</c:formatCode>
                <c:ptCount val="12"/>
                <c:pt idx="0">
                  <c:v>18967.921000000002</c:v>
                </c:pt>
                <c:pt idx="1">
                  <c:v>26430.3043</c:v>
                </c:pt>
                <c:pt idx="2">
                  <c:v>17274.077100000002</c:v>
                </c:pt>
                <c:pt idx="3">
                  <c:v>16607.981399999997</c:v>
                </c:pt>
                <c:pt idx="4">
                  <c:v>23671.246299999999</c:v>
                </c:pt>
                <c:pt idx="5">
                  <c:v>28548.673699999996</c:v>
                </c:pt>
                <c:pt idx="6" formatCode="[&gt;=10000000]#\,##\,##\,##0;[&gt;=100000]#\,##\,##0;##,##0">
                  <c:v>8979.4696999999996</c:v>
                </c:pt>
                <c:pt idx="7" formatCode="[&gt;=10000000]#\,##\,##\,##0;[&gt;=100000]#\,##\,##0;##,##0">
                  <c:v>7943.6571999999987</c:v>
                </c:pt>
                <c:pt idx="8" formatCode="[&gt;=10000000]#\,##\,##\,##0;[&gt;=100000]#\,##\,##0;##,##0">
                  <c:v>6561.9539999999997</c:v>
                </c:pt>
                <c:pt idx="9" formatCode="[&gt;=10000000]#\,##\,##\,##0;[&gt;=100000]#\,##\,##0;##,##0">
                  <c:v>11056.945900000001</c:v>
                </c:pt>
                <c:pt idx="10" formatCode="[&gt;=10000000]#\,##\,##\,##0;[&gt;=100000]#\,##\,##0;##,##0">
                  <c:v>10591.9393</c:v>
                </c:pt>
                <c:pt idx="11" formatCode="[&gt;=10000000]#\,##\,##\,##0;[&gt;=100000]#\,##\,##0;##,##0">
                  <c:v>7489.28</c:v>
                </c:pt>
              </c:numCache>
            </c:numRef>
          </c:val>
          <c:smooth val="0"/>
        </c:ser>
        <c:ser>
          <c:idx val="1"/>
          <c:order val="1"/>
          <c:tx>
            <c:strRef>
              <c:f>'F7'!$C$2</c:f>
              <c:strCache>
                <c:ptCount val="1"/>
                <c:pt idx="0">
                  <c:v>NSE</c:v>
                </c:pt>
              </c:strCache>
            </c:strRef>
          </c:tx>
          <c:spPr>
            <a:ln w="22225">
              <a:solidFill>
                <a:srgbClr val="0070C0"/>
              </a:solidFill>
            </a:ln>
          </c:spPr>
          <c:marker>
            <c:symbol val="none"/>
          </c:marker>
          <c:cat>
            <c:numRef>
              <c:f>'F7'!$A$4:$A$15</c:f>
              <c:numCache>
                <c:formatCode>[$-409]mmm\-yy;@</c:formatCode>
                <c:ptCount val="12"/>
                <c:pt idx="0">
                  <c:v>43034</c:v>
                </c:pt>
                <c:pt idx="1">
                  <c:v>43066</c:v>
                </c:pt>
                <c:pt idx="2">
                  <c:v>43098</c:v>
                </c:pt>
                <c:pt idx="3">
                  <c:v>43130</c:v>
                </c:pt>
                <c:pt idx="4">
                  <c:v>43134</c:v>
                </c:pt>
                <c:pt idx="5">
                  <c:v>43163</c:v>
                </c:pt>
                <c:pt idx="6">
                  <c:v>43220</c:v>
                </c:pt>
                <c:pt idx="7">
                  <c:v>43221</c:v>
                </c:pt>
                <c:pt idx="8">
                  <c:v>43252</c:v>
                </c:pt>
                <c:pt idx="9">
                  <c:v>43282</c:v>
                </c:pt>
                <c:pt idx="10">
                  <c:v>43313</c:v>
                </c:pt>
                <c:pt idx="11">
                  <c:v>43344</c:v>
                </c:pt>
              </c:numCache>
            </c:numRef>
          </c:cat>
          <c:val>
            <c:numRef>
              <c:f>'F7'!$C$4:$C$15</c:f>
              <c:numCache>
                <c:formatCode>[&gt;9999999]##\,##\,##\,##0;[&gt;99999]##\,##\,##0;##,##0</c:formatCode>
                <c:ptCount val="12"/>
                <c:pt idx="0">
                  <c:v>25041.386688999999</c:v>
                </c:pt>
                <c:pt idx="1">
                  <c:v>36432.648518000002</c:v>
                </c:pt>
                <c:pt idx="2">
                  <c:v>30861.924450999995</c:v>
                </c:pt>
                <c:pt idx="3">
                  <c:v>32065.420130999999</c:v>
                </c:pt>
                <c:pt idx="4">
                  <c:v>23710.728652499998</c:v>
                </c:pt>
                <c:pt idx="5">
                  <c:v>23000.089435499998</c:v>
                </c:pt>
                <c:pt idx="6" formatCode="[&gt;=10000000]#\,##\,##\,##0;[&gt;=100000]#\,##\,##0;##,##0">
                  <c:v>27039.272571500002</c:v>
                </c:pt>
                <c:pt idx="7" formatCode="[&gt;=10000000]#\,##\,##\,##0;[&gt;=100000]#\,##\,##0;##,##0">
                  <c:v>12087.967003</c:v>
                </c:pt>
                <c:pt idx="8" formatCode="[&gt;=10000000]#\,##\,##\,##0;[&gt;=100000]#\,##\,##0;##,##0">
                  <c:v>8623.8254785000008</c:v>
                </c:pt>
                <c:pt idx="9" formatCode="[&gt;=10000000]#\,##\,##\,##0;[&gt;=100000]#\,##\,##0;##,##0">
                  <c:v>13944.553620500001</c:v>
                </c:pt>
                <c:pt idx="10" formatCode="[&gt;=10000000]#\,##\,##\,##0;[&gt;=100000]#\,##\,##0;##,##0">
                  <c:v>18422.714456500002</c:v>
                </c:pt>
                <c:pt idx="11" formatCode="[&gt;=10000000]#\,##\,##\,##0;[&gt;=100000]#\,##\,##0;##,##0">
                  <c:v>19345.563767</c:v>
                </c:pt>
              </c:numCache>
            </c:numRef>
          </c:val>
          <c:smooth val="0"/>
        </c:ser>
        <c:dLbls>
          <c:showLegendKey val="0"/>
          <c:showVal val="0"/>
          <c:showCatName val="0"/>
          <c:showSerName val="0"/>
          <c:showPercent val="0"/>
          <c:showBubbleSize val="0"/>
        </c:dLbls>
        <c:smooth val="0"/>
        <c:axId val="494859080"/>
        <c:axId val="494868096"/>
      </c:lineChart>
      <c:dateAx>
        <c:axId val="494859080"/>
        <c:scaling>
          <c:orientation val="minMax"/>
        </c:scaling>
        <c:delete val="0"/>
        <c:axPos val="b"/>
        <c:numFmt formatCode="[$-409]mmm\-yy;@" sourceLinked="1"/>
        <c:majorTickMark val="none"/>
        <c:minorTickMark val="none"/>
        <c:tickLblPos val="nextTo"/>
        <c:txPr>
          <a:bodyPr rot="-5400000" vert="horz"/>
          <a:lstStyle/>
          <a:p>
            <a:pPr>
              <a:defRPr lang="en-IN" sz="800" cap="none" baseline="0"/>
            </a:pPr>
            <a:endParaRPr lang="en-US"/>
          </a:p>
        </c:txPr>
        <c:crossAx val="494868096"/>
        <c:crosses val="autoZero"/>
        <c:auto val="1"/>
        <c:lblOffset val="100"/>
        <c:baseTimeUnit val="months"/>
        <c:majorUnit val="1"/>
        <c:majorTimeUnit val="months"/>
        <c:minorUnit val="1"/>
        <c:minorTimeUnit val="months"/>
      </c:dateAx>
      <c:valAx>
        <c:axId val="494868096"/>
        <c:scaling>
          <c:orientation val="minMax"/>
          <c:min val="5000"/>
        </c:scaling>
        <c:delete val="0"/>
        <c:axPos val="l"/>
        <c:numFmt formatCode="[&gt;9999999]##\,##\,##\,##0;[&gt;99999]##\,##\,##0;##,##0" sourceLinked="1"/>
        <c:majorTickMark val="none"/>
        <c:minorTickMark val="none"/>
        <c:tickLblPos val="nextTo"/>
        <c:txPr>
          <a:bodyPr/>
          <a:lstStyle/>
          <a:p>
            <a:pPr>
              <a:defRPr lang="en-IN"/>
            </a:pPr>
            <a:endParaRPr lang="en-US"/>
          </a:p>
        </c:txPr>
        <c:crossAx val="494859080"/>
        <c:crosses val="autoZero"/>
        <c:crossBetween val="between"/>
      </c:valAx>
    </c:plotArea>
    <c:legend>
      <c:legendPos val="b"/>
      <c:layout>
        <c:manualLayout>
          <c:xMode val="edge"/>
          <c:yMode val="edge"/>
          <c:x val="0.13450420687463818"/>
          <c:y val="0.90615765598710052"/>
          <c:w val="0.60843603580870675"/>
          <c:h val="7.2917890916804493E-2"/>
        </c:manualLayout>
      </c:layout>
      <c:overlay val="0"/>
      <c:spPr>
        <a:ln w="3175">
          <a:solidFill>
            <a:schemeClr val="accent6">
              <a:lumMod val="50000"/>
            </a:schemeClr>
          </a:solidFill>
        </a:ln>
      </c:spPr>
      <c:txPr>
        <a:bodyPr/>
        <a:lstStyle/>
        <a:p>
          <a:pPr>
            <a:defRPr lang="en-IN"/>
          </a:pPr>
          <a:endParaRPr lang="en-US"/>
        </a:p>
      </c:txPr>
    </c:legend>
    <c:plotVisOnly val="1"/>
    <c:dispBlanksAs val="gap"/>
    <c:showDLblsOverMax val="0"/>
  </c:chart>
  <c:spPr>
    <a:ln w="3175">
      <a:solidFill>
        <a:srgbClr val="F79646">
          <a:lumMod val="50000"/>
        </a:srgbClr>
      </a:solidFill>
    </a:ln>
  </c:spPr>
  <c:txPr>
    <a:bodyPr/>
    <a:lstStyle/>
    <a:p>
      <a:pPr>
        <a:defRPr sz="900" b="1" i="0" baseline="0">
          <a:latin typeface="Garamond"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0.69792</cdr:x>
      <cdr:y>0.87674</cdr:y>
    </cdr:from>
    <cdr:to>
      <cdr:x>0.89792</cdr:x>
      <cdr:y>0.96528</cdr:y>
    </cdr:to>
    <cdr:sp macro="" textlink="">
      <cdr:nvSpPr>
        <cdr:cNvPr id="2" name="TextBox 1"/>
        <cdr:cNvSpPr txBox="1"/>
      </cdr:nvSpPr>
      <cdr:spPr>
        <a:xfrm xmlns:a="http://schemas.openxmlformats.org/drawingml/2006/main">
          <a:off x="3190875" y="2405062"/>
          <a:ext cx="914400" cy="2428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221C4-4CE8-4963-99BB-F47F9F6B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21240</Words>
  <Characters>121068</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Tathagata Biswas</dc:creator>
  <cp:keywords/>
  <dc:description/>
  <cp:lastModifiedBy>Vanessa Quadri</cp:lastModifiedBy>
  <cp:revision>2</cp:revision>
  <cp:lastPrinted>2018-10-17T09:55:00Z</cp:lastPrinted>
  <dcterms:created xsi:type="dcterms:W3CDTF">2018-11-05T11:16:00Z</dcterms:created>
  <dcterms:modified xsi:type="dcterms:W3CDTF">2018-11-05T11:16:00Z</dcterms:modified>
</cp:coreProperties>
</file>